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D04D" w14:textId="77777777" w:rsidR="00C50196" w:rsidRPr="00D543BB" w:rsidRDefault="00C50196" w:rsidP="00C50196">
      <w:pPr>
        <w:rPr>
          <w:sz w:val="24"/>
          <w:szCs w:val="24"/>
        </w:rPr>
      </w:pPr>
      <w:r w:rsidRPr="00D543BB">
        <w:rPr>
          <w:sz w:val="24"/>
          <w:szCs w:val="24"/>
        </w:rPr>
        <w:t xml:space="preserve">California Department of Education </w:t>
      </w:r>
    </w:p>
    <w:p w14:paraId="38770B0A" w14:textId="77777777" w:rsidR="00C50196" w:rsidRPr="000C26F1" w:rsidRDefault="00C50196" w:rsidP="00C50196">
      <w:pPr>
        <w:rPr>
          <w:rFonts w:asciiTheme="minorHAnsi" w:eastAsiaTheme="minorHAnsi" w:hAnsiTheme="minorHAnsi" w:cstheme="minorBidi"/>
          <w:sz w:val="24"/>
          <w:szCs w:val="24"/>
        </w:rPr>
      </w:pPr>
      <w:r w:rsidRPr="00D543BB">
        <w:rPr>
          <w:sz w:val="24"/>
          <w:szCs w:val="24"/>
        </w:rPr>
        <w:t xml:space="preserve">Request for </w:t>
      </w:r>
      <w:r>
        <w:rPr>
          <w:sz w:val="24"/>
          <w:szCs w:val="24"/>
        </w:rPr>
        <w:t>Qualifications</w:t>
      </w:r>
      <w:r w:rsidRPr="00D543BB">
        <w:rPr>
          <w:sz w:val="24"/>
          <w:szCs w:val="24"/>
        </w:rPr>
        <w:t xml:space="preserve"> (RFQ) </w:t>
      </w:r>
      <w:bookmarkStart w:id="0" w:name="_Hlk37232491"/>
      <w:r w:rsidRPr="000C26F1">
        <w:rPr>
          <w:rFonts w:eastAsiaTheme="minorHAnsi"/>
          <w:sz w:val="24"/>
          <w:szCs w:val="24"/>
        </w:rPr>
        <w:t>CN220002</w:t>
      </w:r>
    </w:p>
    <w:bookmarkEnd w:id="0"/>
    <w:p w14:paraId="49EF5C25" w14:textId="77777777" w:rsidR="00C50196" w:rsidRPr="00D543BB" w:rsidRDefault="00C50196" w:rsidP="00C50196">
      <w:pPr>
        <w:rPr>
          <w:sz w:val="24"/>
          <w:szCs w:val="24"/>
        </w:rPr>
      </w:pPr>
      <w:r w:rsidRPr="00D543BB">
        <w:rPr>
          <w:sz w:val="24"/>
          <w:szCs w:val="24"/>
        </w:rPr>
        <w:t>ATTACHMENT 1</w:t>
      </w:r>
      <w:r>
        <w:rPr>
          <w:sz w:val="24"/>
          <w:szCs w:val="24"/>
        </w:rPr>
        <w:t>5</w:t>
      </w:r>
    </w:p>
    <w:p w14:paraId="6FCE35BA" w14:textId="22008991" w:rsidR="002379ED" w:rsidRPr="00C47BD8" w:rsidRDefault="002379ED" w:rsidP="00F22921">
      <w:pPr>
        <w:pStyle w:val="Heading1"/>
        <w:rPr>
          <w:rFonts w:ascii="Arial" w:hAnsi="Arial" w:cs="Arial"/>
        </w:rPr>
      </w:pPr>
      <w:r w:rsidRPr="00C47BD8">
        <w:rPr>
          <w:rFonts w:ascii="Arial" w:hAnsi="Arial" w:cs="Arial"/>
        </w:rPr>
        <w:t>Stage One: Qualification seven</w:t>
      </w:r>
      <w:r w:rsidR="00D16BFF" w:rsidRPr="00C47BD8">
        <w:rPr>
          <w:rFonts w:ascii="Arial" w:hAnsi="Arial" w:cs="Arial"/>
        </w:rPr>
        <w:t>—</w:t>
      </w:r>
      <w:r w:rsidRPr="00C47BD8">
        <w:rPr>
          <w:rFonts w:ascii="Arial" w:hAnsi="Arial" w:cs="Arial"/>
        </w:rPr>
        <w:t>item types and standards Form</w:t>
      </w:r>
    </w:p>
    <w:p w14:paraId="1A378857" w14:textId="2B546226" w:rsidR="002379ED" w:rsidRPr="00B91798" w:rsidRDefault="002379ED" w:rsidP="00F22921">
      <w:pPr>
        <w:pStyle w:val="Heading2"/>
        <w:spacing w:before="240" w:after="240"/>
      </w:pPr>
      <w:r w:rsidRPr="00B91798">
        <w:t>Purpose</w:t>
      </w:r>
    </w:p>
    <w:p w14:paraId="5F762168" w14:textId="6C9976C1" w:rsidR="002379ED" w:rsidRPr="005661C9" w:rsidRDefault="0035647F" w:rsidP="002379ED">
      <w:pPr>
        <w:rPr>
          <w:sz w:val="24"/>
          <w:szCs w:val="24"/>
        </w:rPr>
      </w:pPr>
      <w:r w:rsidRPr="00A625C5">
        <w:rPr>
          <w:sz w:val="24"/>
          <w:szCs w:val="24"/>
        </w:rPr>
        <w:t>This qualification response will be used to determine a contractor’s capacity and expertise to develop California assessments that include multiple item types and processes for creating new items. Only contractors that can support a sufficient assembly of item types will be considered qualified to submit proposed solutions.</w:t>
      </w:r>
    </w:p>
    <w:p w14:paraId="7B28E6B7" w14:textId="42BCBB23" w:rsidR="002379ED" w:rsidRDefault="002379ED" w:rsidP="00F22921">
      <w:pPr>
        <w:pStyle w:val="Heading2"/>
        <w:spacing w:before="240" w:after="240"/>
      </w:pPr>
      <w:r w:rsidRPr="00B91798">
        <w:t>Directions</w:t>
      </w:r>
    </w:p>
    <w:p w14:paraId="709D015E" w14:textId="01C21C28" w:rsidR="0035647F" w:rsidRPr="00270A96" w:rsidRDefault="0035647F" w:rsidP="0035647F">
      <w:pPr>
        <w:spacing w:after="120"/>
        <w:rPr>
          <w:sz w:val="24"/>
          <w:szCs w:val="24"/>
        </w:rPr>
      </w:pPr>
      <w:r w:rsidRPr="00A625C5">
        <w:rPr>
          <w:sz w:val="24"/>
          <w:szCs w:val="24"/>
        </w:rPr>
        <w:t>Your response below will be used to determine your capacity and expertise to successfully fulfil</w:t>
      </w:r>
      <w:r>
        <w:rPr>
          <w:sz w:val="24"/>
          <w:szCs w:val="24"/>
        </w:rPr>
        <w:t>l</w:t>
      </w:r>
      <w:r w:rsidRPr="00A625C5">
        <w:rPr>
          <w:sz w:val="24"/>
          <w:szCs w:val="24"/>
        </w:rPr>
        <w:t xml:space="preserve"> the </w:t>
      </w:r>
      <w:r w:rsidRPr="00270A96">
        <w:rPr>
          <w:sz w:val="24"/>
          <w:szCs w:val="24"/>
        </w:rPr>
        <w:t>purpose</w:t>
      </w:r>
      <w:r w:rsidR="00092E13" w:rsidRPr="00270A96">
        <w:rPr>
          <w:sz w:val="24"/>
          <w:szCs w:val="24"/>
        </w:rPr>
        <w:t xml:space="preserve"> described</w:t>
      </w:r>
      <w:r w:rsidRPr="00270A96">
        <w:rPr>
          <w:sz w:val="24"/>
          <w:szCs w:val="24"/>
        </w:rPr>
        <w:t xml:space="preserve"> above. Provide a narrative response illustrating a client experience or implemented relevant solution that details the following:</w:t>
      </w:r>
    </w:p>
    <w:p w14:paraId="1D3294FE" w14:textId="4EA962B2" w:rsidR="0035647F" w:rsidRPr="00270A96" w:rsidRDefault="0035647F" w:rsidP="00270A96">
      <w:pPr>
        <w:numPr>
          <w:ilvl w:val="0"/>
          <w:numId w:val="2"/>
        </w:numPr>
        <w:spacing w:after="120"/>
        <w:ind w:left="810"/>
        <w:rPr>
          <w:sz w:val="24"/>
          <w:szCs w:val="24"/>
        </w:rPr>
      </w:pPr>
      <w:r w:rsidRPr="00270A96">
        <w:rPr>
          <w:sz w:val="24"/>
          <w:szCs w:val="24"/>
        </w:rPr>
        <w:t xml:space="preserve">How you support the creation of item types, including technology-enhanced items that currently </w:t>
      </w:r>
      <w:r w:rsidR="00973B40">
        <w:rPr>
          <w:sz w:val="24"/>
          <w:szCs w:val="24"/>
        </w:rPr>
        <w:t xml:space="preserve">are </w:t>
      </w:r>
      <w:r w:rsidRPr="00270A96">
        <w:rPr>
          <w:sz w:val="24"/>
          <w:szCs w:val="24"/>
        </w:rPr>
        <w:t>successfully implemented for one of your clients</w:t>
      </w:r>
    </w:p>
    <w:p w14:paraId="78BEF5C6" w14:textId="75F04276" w:rsidR="007D25C1" w:rsidRPr="00270A96" w:rsidRDefault="0035647F" w:rsidP="00270A96">
      <w:pPr>
        <w:numPr>
          <w:ilvl w:val="0"/>
          <w:numId w:val="2"/>
        </w:numPr>
        <w:spacing w:after="120"/>
        <w:ind w:left="810"/>
        <w:rPr>
          <w:sz w:val="24"/>
          <w:szCs w:val="24"/>
        </w:rPr>
      </w:pPr>
      <w:r w:rsidRPr="00270A96">
        <w:rPr>
          <w:sz w:val="24"/>
          <w:szCs w:val="24"/>
        </w:rPr>
        <w:t>Item interoperability standards met by items</w:t>
      </w:r>
    </w:p>
    <w:p w14:paraId="3EF9F883" w14:textId="611A3C23" w:rsidR="005242F7" w:rsidRPr="00270A96" w:rsidRDefault="005242F7" w:rsidP="002379ED">
      <w:pPr>
        <w:rPr>
          <w:sz w:val="24"/>
          <w:szCs w:val="24"/>
        </w:rPr>
      </w:pPr>
      <w:r w:rsidRPr="00270A96">
        <w:rPr>
          <w:bCs/>
          <w:sz w:val="24"/>
          <w:szCs w:val="24"/>
        </w:rPr>
        <w:t>Expertise or an implemented relevant solution in lieu of current client experience is acceptable only when a potential contractor does not have current operational experience to provide as evidence for meeting the qualification.</w:t>
      </w:r>
    </w:p>
    <w:p w14:paraId="4BB731E0" w14:textId="188CC653" w:rsidR="005242F7" w:rsidRDefault="005242F7" w:rsidP="003502B3">
      <w:pPr>
        <w:spacing w:before="240"/>
        <w:rPr>
          <w:sz w:val="24"/>
          <w:szCs w:val="24"/>
        </w:rPr>
      </w:pPr>
      <w:r w:rsidRPr="00270A96">
        <w:rPr>
          <w:sz w:val="24"/>
          <w:szCs w:val="24"/>
        </w:rPr>
        <w:t xml:space="preserve">If </w:t>
      </w:r>
      <w:r w:rsidR="00DE1937" w:rsidRPr="00270A96">
        <w:rPr>
          <w:sz w:val="24"/>
          <w:szCs w:val="24"/>
        </w:rPr>
        <w:t>one or more</w:t>
      </w:r>
      <w:r w:rsidRPr="00270A96">
        <w:rPr>
          <w:sz w:val="24"/>
          <w:szCs w:val="24"/>
        </w:rPr>
        <w:t xml:space="preserve"> subcontractor</w:t>
      </w:r>
      <w:r w:rsidR="00DE1937" w:rsidRPr="00270A96">
        <w:rPr>
          <w:sz w:val="24"/>
          <w:szCs w:val="24"/>
        </w:rPr>
        <w:t>(s)</w:t>
      </w:r>
      <w:r>
        <w:rPr>
          <w:sz w:val="24"/>
          <w:szCs w:val="24"/>
        </w:rPr>
        <w:t xml:space="preserve"> will be employed to fulfi</w:t>
      </w:r>
      <w:r w:rsidR="00D1545F">
        <w:rPr>
          <w:sz w:val="24"/>
          <w:szCs w:val="24"/>
        </w:rPr>
        <w:t>l</w:t>
      </w:r>
      <w:r>
        <w:rPr>
          <w:sz w:val="24"/>
          <w:szCs w:val="24"/>
        </w:rPr>
        <w:t>l this qualification, Attachment 8 must be completed per the directions on the attachment.</w:t>
      </w:r>
    </w:p>
    <w:p w14:paraId="2EADC6FA" w14:textId="16BF85CB" w:rsidR="002379ED" w:rsidRPr="005661C9" w:rsidRDefault="006860C8" w:rsidP="003502B3">
      <w:pPr>
        <w:spacing w:before="240"/>
        <w:rPr>
          <w:b/>
          <w:sz w:val="24"/>
          <w:szCs w:val="24"/>
        </w:rPr>
      </w:pPr>
      <w:r w:rsidRPr="00371D89">
        <w:rPr>
          <w:sz w:val="24"/>
          <w:szCs w:val="24"/>
        </w:rPr>
        <w:t>Responses must be provided in the space below</w:t>
      </w:r>
      <w:r>
        <w:rPr>
          <w:sz w:val="24"/>
          <w:szCs w:val="24"/>
        </w:rPr>
        <w:t>. Responses must be typed in 12 pt. Arial font, double-spaced,</w:t>
      </w:r>
      <w:r w:rsidRPr="00371D89">
        <w:rPr>
          <w:sz w:val="24"/>
          <w:szCs w:val="24"/>
        </w:rPr>
        <w:t xml:space="preserve"> and limited to </w:t>
      </w:r>
      <w:r w:rsidR="005661C9" w:rsidRPr="005661C9">
        <w:rPr>
          <w:sz w:val="24"/>
          <w:szCs w:val="24"/>
        </w:rPr>
        <w:t>2</w:t>
      </w:r>
      <w:r w:rsidR="002379ED" w:rsidRPr="005661C9">
        <w:rPr>
          <w:sz w:val="24"/>
          <w:szCs w:val="24"/>
        </w:rPr>
        <w:t>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response box for the contractor to answer the directions of the qualification"/>
      </w:tblPr>
      <w:tblGrid>
        <w:gridCol w:w="9350"/>
      </w:tblGrid>
      <w:tr w:rsidR="002379ED" w:rsidRPr="005661C9" w14:paraId="7A0B4093" w14:textId="77777777" w:rsidTr="00C50196">
        <w:trPr>
          <w:trHeight w:val="1547"/>
        </w:trPr>
        <w:tc>
          <w:tcPr>
            <w:tcW w:w="9350" w:type="dxa"/>
            <w:shd w:val="clear" w:color="auto" w:fill="E7F0F9"/>
          </w:tcPr>
          <w:p w14:paraId="7ABB2F1C" w14:textId="36EFF4F7" w:rsidR="002379ED" w:rsidRPr="005661C9" w:rsidRDefault="00B22162" w:rsidP="0052105B">
            <w:pPr>
              <w:rPr>
                <w:sz w:val="24"/>
                <w:szCs w:val="24"/>
              </w:rPr>
            </w:pPr>
            <w:r w:rsidRPr="00C50196">
              <w:rPr>
                <w:rFonts w:eastAsiaTheme="minorHAnsi"/>
                <w:color w:val="000000"/>
                <w:sz w:val="24"/>
                <w:szCs w:val="24"/>
              </w:rPr>
              <w:t>[Enter response]</w:t>
            </w:r>
          </w:p>
        </w:tc>
      </w:tr>
    </w:tbl>
    <w:p w14:paraId="1CB94DE7" w14:textId="07242323" w:rsidR="002379ED" w:rsidRDefault="00973B40" w:rsidP="00F2292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In addition</w:t>
      </w:r>
      <w:r w:rsidR="005661C9" w:rsidRPr="005661C9">
        <w:rPr>
          <w:sz w:val="24"/>
          <w:szCs w:val="24"/>
        </w:rPr>
        <w:t xml:space="preserve">, for a client system currently in production operation, complete the </w:t>
      </w:r>
      <w:r w:rsidR="005661C9" w:rsidRPr="005661C9">
        <w:rPr>
          <w:b/>
          <w:sz w:val="24"/>
          <w:szCs w:val="24"/>
        </w:rPr>
        <w:t xml:space="preserve">Item Types Checklist </w:t>
      </w:r>
      <w:r w:rsidR="005661C9" w:rsidRPr="004157EB">
        <w:rPr>
          <w:sz w:val="24"/>
          <w:szCs w:val="24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checklist is for the contractor to identify if they commit to support the item type or if they currently support the item type by indicating yes or no."/>
      </w:tblPr>
      <w:tblGrid>
        <w:gridCol w:w="3116"/>
        <w:gridCol w:w="3117"/>
        <w:gridCol w:w="3117"/>
      </w:tblGrid>
      <w:tr w:rsidR="00B06B63" w14:paraId="2E64F2A4" w14:textId="77777777" w:rsidTr="0016457A">
        <w:trPr>
          <w:cantSplit/>
          <w:trHeight w:val="1430"/>
          <w:tblHeader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C6858" w14:textId="28029490" w:rsidR="00B06B63" w:rsidRDefault="00B06B63" w:rsidP="00B06B63">
            <w:pPr>
              <w:spacing w:before="240" w:after="120"/>
              <w:rPr>
                <w:sz w:val="24"/>
                <w:szCs w:val="24"/>
              </w:rPr>
            </w:pPr>
            <w:r w:rsidRPr="00CC03B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Item Type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A28DD" w14:textId="77777777" w:rsidR="00B06B63" w:rsidRDefault="00B06B63" w:rsidP="00B06B6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Will You </w:t>
            </w:r>
            <w:r w:rsidRPr="00CC03B4">
              <w:rPr>
                <w:rFonts w:eastAsia="Times New Roman"/>
                <w:b/>
                <w:bCs/>
                <w:sz w:val="24"/>
                <w:szCs w:val="24"/>
              </w:rPr>
              <w:t xml:space="preserve">Commit to Support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  <w:r w:rsidRPr="00CC03B4">
              <w:rPr>
                <w:rFonts w:eastAsia="Times New Roman"/>
                <w:b/>
                <w:bCs/>
                <w:sz w:val="24"/>
                <w:szCs w:val="24"/>
              </w:rPr>
              <w:t>his Item Type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?</w:t>
            </w:r>
          </w:p>
          <w:p w14:paraId="335BDBED" w14:textId="4ECE63E0" w:rsidR="00B06B63" w:rsidRPr="00B06B63" w:rsidRDefault="00B06B63" w:rsidP="00B06B63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bCs/>
                <w:sz w:val="24"/>
                <w:szCs w:val="24"/>
              </w:rPr>
              <w:t>(Indicate Yes or No)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A6E0D" w14:textId="77777777" w:rsidR="00B06B63" w:rsidRPr="00CC03B4" w:rsidRDefault="00B06B63" w:rsidP="00B06B6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Do You </w:t>
            </w:r>
            <w:r w:rsidRPr="00CC03B4">
              <w:rPr>
                <w:rFonts w:eastAsia="Times New Roman"/>
                <w:b/>
                <w:bCs/>
                <w:sz w:val="24"/>
                <w:szCs w:val="24"/>
              </w:rPr>
              <w:t xml:space="preserve">Currently Support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  <w:r w:rsidRPr="00CC03B4">
              <w:rPr>
                <w:rFonts w:eastAsia="Times New Roman"/>
                <w:b/>
                <w:bCs/>
                <w:sz w:val="24"/>
                <w:szCs w:val="24"/>
              </w:rPr>
              <w:t>his Item Type in an Operational Administration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?</w:t>
            </w:r>
          </w:p>
          <w:p w14:paraId="6610D269" w14:textId="7CBCD537" w:rsidR="00B06B63" w:rsidRPr="00B06B63" w:rsidRDefault="00B06B63" w:rsidP="00B06B63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bCs/>
                <w:sz w:val="24"/>
                <w:szCs w:val="24"/>
              </w:rPr>
              <w:t>(Indicate Yes or No)</w:t>
            </w:r>
          </w:p>
        </w:tc>
      </w:tr>
      <w:tr w:rsidR="00B06B63" w14:paraId="26C4CA0E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5804" w14:textId="734C9FC8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Set leader (Stimulus)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07E67483" w14:textId="3795DB5A" w:rsidR="00B06B63" w:rsidRDefault="00B06B63" w:rsidP="0094736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2F107E29" w14:textId="2E957AD4" w:rsidR="00B06B63" w:rsidRDefault="00B06B63" w:rsidP="00947365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5E3C4B61" w14:textId="77777777" w:rsidTr="00110E96">
        <w:trPr>
          <w:trHeight w:val="55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48C9" w14:textId="6371DAE6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Multiple choice, single select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155D2EB9" w14:textId="06D4A135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32D631AB" w14:textId="0B0CD85A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40E8DA61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B569" w14:textId="7EBCDF58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Multiple choice, multiple select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7D504991" w14:textId="78349B96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0C234A5F" w14:textId="26391DAF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2762C294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9A19" w14:textId="2CA1ACE4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Grid, multiple select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0B3A8947" w14:textId="16AD1162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5FB11440" w14:textId="1541C19B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7E3DD5E4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6DC0" w14:textId="12A856CB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Inline choice list, single select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3AB22B41" w14:textId="45D3D012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6032218C" w14:textId="08808750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37C77748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8A75" w14:textId="07AF15E1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 xml:space="preserve">Inline choice list, multiple select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2B238372" w14:textId="1FDB0445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0C767732" w14:textId="69E20B5E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5A9452DB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CEE2" w14:textId="21E3952F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Constructed response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4A08AA1D" w14:textId="110B7378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4972F7AC" w14:textId="303F8CDB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331231C4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7F71" w14:textId="083E052A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Composite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1094CA66" w14:textId="28C8230C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3725754F" w14:textId="7F598820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1E3FCC79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EC6A" w14:textId="27749656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Interactive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507991E6" w14:textId="7ADAFAB0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62DEF3E7" w14:textId="20F53ABC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1E590D9C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F27C" w14:textId="17CA7289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Bar-picturegraph, single select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16CA3F30" w14:textId="73B0C865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67E6DA7E" w14:textId="3DD01B36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76EFB16F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DA7C" w14:textId="02FE7F2A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Bar-picturegraph, multiple select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19A9A576" w14:textId="3324E226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1C3D4E40" w14:textId="6004CC77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3C4361BA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D467" w14:textId="2488B380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Match, single select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3DBF4E9B" w14:textId="30C9AE55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6F376C51" w14:textId="29049B61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08531464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F19E" w14:textId="1AD15470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Composite constructed response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7229F417" w14:textId="43D5740B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4E861150" w14:textId="4431C167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1D486457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EA23" w14:textId="5CA73922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Match, multiple select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59C02831" w14:textId="7CBAAC93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3BD2B3CC" w14:textId="6ED1ABDA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421B9EDF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1F2A" w14:textId="3B3990B8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lastRenderedPageBreak/>
              <w:t>Zone, single select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533E8BFD" w14:textId="3A8F046C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218D3AF5" w14:textId="207B7047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5F1C927C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B0FF" w14:textId="6E994706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Zone, multiple select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0754F444" w14:textId="4F867B34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612B8F12" w14:textId="1BA978A8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0CAEDAFD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7CEE" w14:textId="56C5F883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Interactive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53C1A727" w14:textId="02460903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47366433" w14:textId="7531603D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16B29EE1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C2F3" w14:textId="375B8D80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 xml:space="preserve">Matching tables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302AB01B" w14:textId="177A27FE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70B2CEC0" w14:textId="53D46D83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667E3CC5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CC6B" w14:textId="25C29662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Short text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710004ED" w14:textId="3B123B00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28C9F30F" w14:textId="445CE6E2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7EAFEC34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45DC" w14:textId="5ACCD655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 xml:space="preserve">Drag and drop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36FAB8CD" w14:textId="34770010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4B906CEF" w14:textId="456E531B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587C46F1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8FDC" w14:textId="7C400420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Hot spot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766CC642" w14:textId="3B488B94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45FEBBED" w14:textId="544A23B4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6480611D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6F35" w14:textId="1057C863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Table fill-in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35490E0F" w14:textId="79CF163A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4EAD2C11" w14:textId="691F88C6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2789D78A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86AE" w14:textId="74C15982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Graphing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10AD7F54" w14:textId="1A5A0AA9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6AFA833E" w14:textId="1894AA68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63D7134F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7FE7" w14:textId="3E604176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Equation/numeric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231DB8A8" w14:textId="3EE1CE92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4641C2B2" w14:textId="0B57B5B0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0C62C8B6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A613" w14:textId="25C83664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Two-part multiple-choice, with evidence responses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794C01B6" w14:textId="629852A0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73EAA903" w14:textId="77BE8244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598A6461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A1E5" w14:textId="03E74F9F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Hot text (select and move text)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46E19560" w14:textId="006AA055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572C4CC7" w14:textId="08A6C1EF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655C0A91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C145" w14:textId="28E700A5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Listening tasks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1BB83A5A" w14:textId="2282AAC1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05A350B6" w14:textId="15957A54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7D7F3B96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3C36" w14:textId="5388943A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Essay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1828ADCD" w14:textId="11F645EA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6BA03E34" w14:textId="09DD82F9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3DDB2248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DC83" w14:textId="5A46AE67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35A13A2C" w14:textId="7C80ADE1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054186C0" w14:textId="2FE4EDB9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  <w:tr w:rsidR="00B06B63" w14:paraId="0BD024B3" w14:textId="77777777" w:rsidTr="00110E96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648" w14:textId="4E33D485" w:rsidR="00B06B63" w:rsidRPr="00B06B63" w:rsidRDefault="00B06B63" w:rsidP="00B06B63">
            <w:pPr>
              <w:spacing w:before="240" w:after="120"/>
              <w:rPr>
                <w:b/>
                <w:sz w:val="24"/>
                <w:szCs w:val="24"/>
              </w:rPr>
            </w:pPr>
            <w:r w:rsidRPr="00B06B63">
              <w:rPr>
                <w:rFonts w:eastAsia="Times New Roman"/>
                <w:b/>
                <w:sz w:val="24"/>
                <w:szCs w:val="24"/>
              </w:rPr>
              <w:t>Speaking and listening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2AFADEA1" w14:textId="3C91A0BB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BFE"/>
            <w:vAlign w:val="center"/>
          </w:tcPr>
          <w:p w14:paraId="753BA259" w14:textId="6F9B86DC" w:rsidR="00B06B63" w:rsidRDefault="00B06B63" w:rsidP="00F22FCA">
            <w:pPr>
              <w:spacing w:before="240" w:after="120"/>
              <w:jc w:val="center"/>
              <w:rPr>
                <w:sz w:val="24"/>
                <w:szCs w:val="24"/>
              </w:rPr>
            </w:pPr>
          </w:p>
        </w:tc>
      </w:tr>
    </w:tbl>
    <w:p w14:paraId="0BEE4C32" w14:textId="2C02B278" w:rsidR="002379ED" w:rsidRPr="00B91798" w:rsidRDefault="002379ED" w:rsidP="00D76E80">
      <w:pPr>
        <w:pStyle w:val="Heading2"/>
        <w:spacing w:before="240" w:after="240"/>
      </w:pPr>
      <w:r w:rsidRPr="00B91798">
        <w:lastRenderedPageBreak/>
        <w:t>Client Reference</w:t>
      </w:r>
    </w:p>
    <w:p w14:paraId="4FEDD342" w14:textId="348C0ADC" w:rsidR="002379ED" w:rsidRPr="00B91798" w:rsidRDefault="002379ED" w:rsidP="009422CC">
      <w:pPr>
        <w:spacing w:after="120"/>
        <w:rPr>
          <w:sz w:val="24"/>
          <w:szCs w:val="24"/>
        </w:rPr>
      </w:pPr>
      <w:r w:rsidRPr="00B91798">
        <w:rPr>
          <w:sz w:val="24"/>
          <w:szCs w:val="24"/>
        </w:rPr>
        <w:t xml:space="preserve">Provide a client reference </w:t>
      </w:r>
      <w:r w:rsidR="0046359E">
        <w:rPr>
          <w:sz w:val="24"/>
          <w:szCs w:val="24"/>
        </w:rPr>
        <w:t>who</w:t>
      </w:r>
      <w:r w:rsidRPr="00B91798">
        <w:rPr>
          <w:sz w:val="24"/>
          <w:szCs w:val="24"/>
        </w:rPr>
        <w:t xml:space="preserve"> could substantiate each piece of information provided above. </w:t>
      </w:r>
      <w:r w:rsidR="00ED6CE0" w:rsidRPr="00B91798">
        <w:rPr>
          <w:sz w:val="24"/>
          <w:szCs w:val="24"/>
        </w:rPr>
        <w:t>Add more references as needed.</w:t>
      </w:r>
      <w:r w:rsidR="00451CD9">
        <w:rPr>
          <w:sz w:val="24"/>
          <w:szCs w:val="24"/>
        </w:rPr>
        <w:t xml:space="preserve"> The California Department of Education reserves the right to contact the client reference to substantiate the narrative response above.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the table for the contractor to write their client reference. "/>
      </w:tblPr>
      <w:tblGrid>
        <w:gridCol w:w="9350"/>
      </w:tblGrid>
      <w:tr w:rsidR="009422CC" w:rsidRPr="009422CC" w14:paraId="3C03D6C2" w14:textId="77777777" w:rsidTr="00F466CC">
        <w:trPr>
          <w:cantSplit/>
          <w:trHeight w:val="620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6A4A35EE" w14:textId="77777777" w:rsidR="009422CC" w:rsidRPr="009422CC" w:rsidRDefault="009422CC" w:rsidP="009422CC">
            <w:pPr>
              <w:widowControl/>
              <w:adjustRightInd w:val="0"/>
              <w:spacing w:before="24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422CC">
              <w:rPr>
                <w:rFonts w:eastAsiaTheme="minorHAnsi"/>
                <w:b/>
                <w:color w:val="000000"/>
                <w:sz w:val="24"/>
                <w:szCs w:val="24"/>
              </w:rPr>
              <w:t>Client Reference</w:t>
            </w:r>
          </w:p>
        </w:tc>
      </w:tr>
      <w:tr w:rsidR="009422CC" w:rsidRPr="009422CC" w14:paraId="50FDAFDB" w14:textId="77777777" w:rsidTr="00110E96">
        <w:trPr>
          <w:cantSplit/>
          <w:trHeight w:val="720"/>
        </w:trPr>
        <w:tc>
          <w:tcPr>
            <w:tcW w:w="9350" w:type="dxa"/>
            <w:shd w:val="clear" w:color="auto" w:fill="E6FBFE"/>
            <w:vAlign w:val="center"/>
          </w:tcPr>
          <w:p w14:paraId="7A52AE82" w14:textId="00B40D18" w:rsidR="009422CC" w:rsidRPr="00110E96" w:rsidRDefault="009422CC" w:rsidP="009422CC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110E96">
              <w:rPr>
                <w:rFonts w:eastAsiaTheme="minorHAnsi"/>
                <w:color w:val="000000"/>
                <w:sz w:val="24"/>
                <w:szCs w:val="24"/>
              </w:rPr>
              <w:t>Name:</w:t>
            </w:r>
            <w:r w:rsidR="00B22162" w:rsidRPr="00110E96">
              <w:rPr>
                <w:rFonts w:eastAsiaTheme="minorHAnsi"/>
                <w:color w:val="000000"/>
                <w:sz w:val="24"/>
                <w:szCs w:val="24"/>
              </w:rPr>
              <w:t xml:space="preserve">  [Enter Name]</w:t>
            </w:r>
          </w:p>
        </w:tc>
      </w:tr>
      <w:tr w:rsidR="009422CC" w:rsidRPr="009422CC" w14:paraId="34542248" w14:textId="77777777" w:rsidTr="00110E96">
        <w:trPr>
          <w:cantSplit/>
          <w:trHeight w:val="720"/>
        </w:trPr>
        <w:tc>
          <w:tcPr>
            <w:tcW w:w="9350" w:type="dxa"/>
            <w:shd w:val="clear" w:color="auto" w:fill="E6FBFE"/>
            <w:vAlign w:val="center"/>
          </w:tcPr>
          <w:p w14:paraId="2F503D80" w14:textId="4ACC2D32" w:rsidR="009422CC" w:rsidRPr="00110E96" w:rsidRDefault="009422CC" w:rsidP="009422CC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110E96">
              <w:rPr>
                <w:rFonts w:eastAsia="Calibri"/>
                <w:color w:val="000000"/>
                <w:sz w:val="24"/>
                <w:szCs w:val="24"/>
              </w:rPr>
              <w:t>Organization:</w:t>
            </w:r>
            <w:r w:rsidR="00B22162" w:rsidRPr="00110E96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="00B22162" w:rsidRPr="00110E96">
              <w:rPr>
                <w:rFonts w:eastAsiaTheme="minorHAnsi"/>
                <w:color w:val="000000"/>
                <w:sz w:val="24"/>
                <w:szCs w:val="24"/>
              </w:rPr>
              <w:t>[Enter Organization]</w:t>
            </w:r>
          </w:p>
        </w:tc>
      </w:tr>
      <w:tr w:rsidR="009422CC" w:rsidRPr="009422CC" w14:paraId="01FC612A" w14:textId="77777777" w:rsidTr="00110E96">
        <w:trPr>
          <w:cantSplit/>
          <w:trHeight w:val="720"/>
        </w:trPr>
        <w:tc>
          <w:tcPr>
            <w:tcW w:w="9350" w:type="dxa"/>
            <w:shd w:val="clear" w:color="auto" w:fill="E6FBFE"/>
            <w:vAlign w:val="center"/>
          </w:tcPr>
          <w:p w14:paraId="1AB3E246" w14:textId="0DD1519D" w:rsidR="009422CC" w:rsidRPr="00110E96" w:rsidRDefault="009422CC" w:rsidP="009422CC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110E96">
              <w:rPr>
                <w:rFonts w:eastAsia="Calibri"/>
                <w:iCs/>
                <w:color w:val="000000"/>
                <w:sz w:val="24"/>
                <w:szCs w:val="24"/>
              </w:rPr>
              <w:t xml:space="preserve">Phone number: </w:t>
            </w:r>
            <w:r w:rsidR="00B22162" w:rsidRPr="00110E96">
              <w:rPr>
                <w:rFonts w:eastAsia="Calibri"/>
                <w:iCs/>
                <w:color w:val="000000"/>
                <w:sz w:val="24"/>
                <w:szCs w:val="24"/>
              </w:rPr>
              <w:t xml:space="preserve"> </w:t>
            </w:r>
            <w:r w:rsidR="00B22162" w:rsidRPr="00110E96">
              <w:rPr>
                <w:rFonts w:eastAsiaTheme="minorHAnsi"/>
                <w:color w:val="000000"/>
                <w:sz w:val="24"/>
                <w:szCs w:val="24"/>
              </w:rPr>
              <w:t>[Enter Phone number]</w:t>
            </w:r>
          </w:p>
        </w:tc>
      </w:tr>
      <w:tr w:rsidR="009422CC" w:rsidRPr="009422CC" w14:paraId="03017E90" w14:textId="77777777" w:rsidTr="00110E96">
        <w:trPr>
          <w:cantSplit/>
          <w:trHeight w:val="720"/>
        </w:trPr>
        <w:tc>
          <w:tcPr>
            <w:tcW w:w="9350" w:type="dxa"/>
            <w:shd w:val="clear" w:color="auto" w:fill="E6FBFE"/>
            <w:vAlign w:val="center"/>
          </w:tcPr>
          <w:p w14:paraId="4A28318B" w14:textId="1228F66D" w:rsidR="009422CC" w:rsidRPr="00110E96" w:rsidRDefault="009422CC" w:rsidP="009422CC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110E96">
              <w:rPr>
                <w:rFonts w:eastAsia="Calibri"/>
                <w:iCs/>
                <w:color w:val="000000"/>
                <w:sz w:val="24"/>
                <w:szCs w:val="24"/>
              </w:rPr>
              <w:t>Email address:</w:t>
            </w:r>
            <w:r w:rsidR="00B22162" w:rsidRPr="00110E96">
              <w:rPr>
                <w:rFonts w:eastAsia="Calibri"/>
                <w:iCs/>
                <w:color w:val="000000"/>
                <w:sz w:val="24"/>
                <w:szCs w:val="24"/>
              </w:rPr>
              <w:t xml:space="preserve">  </w:t>
            </w:r>
            <w:r w:rsidR="00B22162" w:rsidRPr="00110E96">
              <w:rPr>
                <w:rFonts w:eastAsiaTheme="minorHAnsi"/>
                <w:color w:val="000000"/>
                <w:sz w:val="24"/>
                <w:szCs w:val="24"/>
              </w:rPr>
              <w:t>[Enter Email address]</w:t>
            </w:r>
          </w:p>
        </w:tc>
      </w:tr>
    </w:tbl>
    <w:p w14:paraId="59B3A28F" w14:textId="7CF66469" w:rsidR="0085307C" w:rsidRPr="00051D9D" w:rsidRDefault="00051D9D" w:rsidP="00D76E80">
      <w:pPr>
        <w:spacing w:before="240"/>
        <w:rPr>
          <w:sz w:val="24"/>
          <w:szCs w:val="24"/>
        </w:rPr>
      </w:pPr>
      <w:r w:rsidRPr="00051D9D">
        <w:rPr>
          <w:sz w:val="24"/>
          <w:szCs w:val="24"/>
        </w:rPr>
        <w:t>California Department of Education, April 2020</w:t>
      </w:r>
    </w:p>
    <w:sectPr w:rsidR="0085307C" w:rsidRPr="00051D9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4CE0" w14:textId="77777777" w:rsidR="0082438C" w:rsidRDefault="0082438C" w:rsidP="00E10188">
      <w:r>
        <w:separator/>
      </w:r>
    </w:p>
  </w:endnote>
  <w:endnote w:type="continuationSeparator" w:id="0">
    <w:p w14:paraId="3B539273" w14:textId="77777777" w:rsidR="0082438C" w:rsidRDefault="0082438C" w:rsidP="00E1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3334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8CA1A2" w14:textId="769B7DD3" w:rsidR="00AD3B29" w:rsidRDefault="00AD3B29">
            <w:pPr>
              <w:pStyle w:val="Footer"/>
              <w:jc w:val="center"/>
            </w:pPr>
            <w:r w:rsidRPr="00204EC3">
              <w:rPr>
                <w:sz w:val="24"/>
                <w:szCs w:val="24"/>
              </w:rPr>
              <w:t xml:space="preserve">Page </w:t>
            </w:r>
            <w:r w:rsidRPr="00204EC3">
              <w:rPr>
                <w:b/>
                <w:bCs/>
                <w:sz w:val="24"/>
                <w:szCs w:val="24"/>
              </w:rPr>
              <w:fldChar w:fldCharType="begin"/>
            </w:r>
            <w:r w:rsidRPr="00204EC3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204EC3">
              <w:rPr>
                <w:b/>
                <w:bCs/>
                <w:sz w:val="24"/>
                <w:szCs w:val="24"/>
              </w:rPr>
              <w:fldChar w:fldCharType="separate"/>
            </w:r>
            <w:r w:rsidRPr="00204EC3">
              <w:rPr>
                <w:b/>
                <w:bCs/>
                <w:noProof/>
                <w:sz w:val="24"/>
                <w:szCs w:val="24"/>
              </w:rPr>
              <w:t>2</w:t>
            </w:r>
            <w:r w:rsidRPr="00204EC3">
              <w:rPr>
                <w:b/>
                <w:bCs/>
                <w:sz w:val="24"/>
                <w:szCs w:val="24"/>
              </w:rPr>
              <w:fldChar w:fldCharType="end"/>
            </w:r>
            <w:r w:rsidRPr="00204EC3">
              <w:rPr>
                <w:sz w:val="24"/>
                <w:szCs w:val="24"/>
              </w:rPr>
              <w:t xml:space="preserve"> of </w:t>
            </w:r>
            <w:r w:rsidRPr="00204EC3">
              <w:rPr>
                <w:b/>
                <w:bCs/>
                <w:sz w:val="24"/>
                <w:szCs w:val="24"/>
              </w:rPr>
              <w:fldChar w:fldCharType="begin"/>
            </w:r>
            <w:r w:rsidRPr="00204EC3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204EC3">
              <w:rPr>
                <w:b/>
                <w:bCs/>
                <w:sz w:val="24"/>
                <w:szCs w:val="24"/>
              </w:rPr>
              <w:fldChar w:fldCharType="separate"/>
            </w:r>
            <w:r w:rsidRPr="00204EC3">
              <w:rPr>
                <w:b/>
                <w:bCs/>
                <w:noProof/>
                <w:sz w:val="24"/>
                <w:szCs w:val="24"/>
              </w:rPr>
              <w:t>2</w:t>
            </w:r>
            <w:r w:rsidRPr="00204E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009A" w14:textId="77777777" w:rsidR="0082438C" w:rsidRDefault="0082438C" w:rsidP="00E10188">
      <w:r>
        <w:separator/>
      </w:r>
    </w:p>
  </w:footnote>
  <w:footnote w:type="continuationSeparator" w:id="0">
    <w:p w14:paraId="6547C425" w14:textId="77777777" w:rsidR="0082438C" w:rsidRDefault="0082438C" w:rsidP="00E1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789"/>
    <w:multiLevelType w:val="hybridMultilevel"/>
    <w:tmpl w:val="21C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1B36"/>
    <w:multiLevelType w:val="hybridMultilevel"/>
    <w:tmpl w:val="5E8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5908"/>
    <w:multiLevelType w:val="hybridMultilevel"/>
    <w:tmpl w:val="A37EC1D8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96335">
    <w:abstractNumId w:val="1"/>
  </w:num>
  <w:num w:numId="2" w16cid:durableId="488332097">
    <w:abstractNumId w:val="0"/>
  </w:num>
  <w:num w:numId="3" w16cid:durableId="987123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ED"/>
    <w:rsid w:val="00051D9D"/>
    <w:rsid w:val="0006413D"/>
    <w:rsid w:val="00071C43"/>
    <w:rsid w:val="00071C96"/>
    <w:rsid w:val="0009047A"/>
    <w:rsid w:val="00092E13"/>
    <w:rsid w:val="00097FB8"/>
    <w:rsid w:val="000C26F1"/>
    <w:rsid w:val="00110E96"/>
    <w:rsid w:val="00146265"/>
    <w:rsid w:val="00162198"/>
    <w:rsid w:val="0016457A"/>
    <w:rsid w:val="00204EC3"/>
    <w:rsid w:val="002147FD"/>
    <w:rsid w:val="0022606B"/>
    <w:rsid w:val="002379ED"/>
    <w:rsid w:val="00270A96"/>
    <w:rsid w:val="002D5742"/>
    <w:rsid w:val="00304A09"/>
    <w:rsid w:val="003502B3"/>
    <w:rsid w:val="0035647F"/>
    <w:rsid w:val="00400B7F"/>
    <w:rsid w:val="004105E4"/>
    <w:rsid w:val="004157EB"/>
    <w:rsid w:val="00451CD9"/>
    <w:rsid w:val="0046359E"/>
    <w:rsid w:val="004F77AD"/>
    <w:rsid w:val="005242F7"/>
    <w:rsid w:val="005661C9"/>
    <w:rsid w:val="005820EB"/>
    <w:rsid w:val="00593D1A"/>
    <w:rsid w:val="005D15C5"/>
    <w:rsid w:val="00672ED5"/>
    <w:rsid w:val="006860C8"/>
    <w:rsid w:val="006A3CAF"/>
    <w:rsid w:val="00703BCF"/>
    <w:rsid w:val="00704F0D"/>
    <w:rsid w:val="007942CB"/>
    <w:rsid w:val="00796B7E"/>
    <w:rsid w:val="007D25C1"/>
    <w:rsid w:val="00802A29"/>
    <w:rsid w:val="0082438C"/>
    <w:rsid w:val="0085307C"/>
    <w:rsid w:val="00884294"/>
    <w:rsid w:val="008B0F6D"/>
    <w:rsid w:val="009422CC"/>
    <w:rsid w:val="00947365"/>
    <w:rsid w:val="0096332F"/>
    <w:rsid w:val="00973B40"/>
    <w:rsid w:val="00A07C0F"/>
    <w:rsid w:val="00A95E83"/>
    <w:rsid w:val="00AD3B29"/>
    <w:rsid w:val="00AE4722"/>
    <w:rsid w:val="00B06B63"/>
    <w:rsid w:val="00B22162"/>
    <w:rsid w:val="00B26D90"/>
    <w:rsid w:val="00C40717"/>
    <w:rsid w:val="00C47BD8"/>
    <w:rsid w:val="00C50196"/>
    <w:rsid w:val="00CC03B4"/>
    <w:rsid w:val="00D14C01"/>
    <w:rsid w:val="00D1545F"/>
    <w:rsid w:val="00D16BFF"/>
    <w:rsid w:val="00D543BB"/>
    <w:rsid w:val="00D76E80"/>
    <w:rsid w:val="00DE1937"/>
    <w:rsid w:val="00E04E29"/>
    <w:rsid w:val="00E10188"/>
    <w:rsid w:val="00ED6CE0"/>
    <w:rsid w:val="00F22921"/>
    <w:rsid w:val="00F22FCA"/>
    <w:rsid w:val="00F67888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0BF5"/>
  <w15:chartTrackingRefBased/>
  <w15:docId w15:val="{ECA72974-D5E1-4B64-8B8F-43AEE24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921"/>
    <w:pPr>
      <w:keepNext/>
      <w:keepLines/>
      <w:spacing w:before="240"/>
      <w:outlineLvl w:val="0"/>
    </w:pPr>
    <w:rPr>
      <w:rFonts w:ascii="Arial Bold" w:eastAsiaTheme="majorEastAsia" w:hAnsi="Arial Bold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92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,List1,List11"/>
    <w:basedOn w:val="Normal"/>
    <w:link w:val="ListParagraphChar"/>
    <w:uiPriority w:val="34"/>
    <w:qFormat/>
    <w:rsid w:val="002379ED"/>
    <w:pPr>
      <w:ind w:left="840" w:hanging="360"/>
    </w:pPr>
  </w:style>
  <w:style w:type="character" w:customStyle="1" w:styleId="ListParagraphChar">
    <w:name w:val="List Paragraph Char"/>
    <w:aliases w:val="list Char,List1 Char,List11 Char"/>
    <w:link w:val="ListParagraph"/>
    <w:uiPriority w:val="34"/>
    <w:locked/>
    <w:rsid w:val="002379ED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10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0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8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88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5E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5E4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157EB"/>
    <w:rPr>
      <w:color w:val="0000FF"/>
      <w:u w:val="single"/>
    </w:rPr>
  </w:style>
  <w:style w:type="paragraph" w:styleId="TOC2">
    <w:name w:val="toc 2"/>
    <w:basedOn w:val="Normal"/>
    <w:next w:val="Heading2"/>
    <w:uiPriority w:val="39"/>
    <w:qFormat/>
    <w:rsid w:val="0035647F"/>
    <w:pPr>
      <w:spacing w:before="100"/>
      <w:ind w:left="36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292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2921"/>
    <w:rPr>
      <w:rFonts w:ascii="Arial Bold" w:eastAsiaTheme="majorEastAsia" w:hAnsi="Arial Bold" w:cstheme="majorBidi"/>
      <w:b/>
      <w:caps/>
      <w:sz w:val="32"/>
      <w:szCs w:val="32"/>
    </w:rPr>
  </w:style>
  <w:style w:type="paragraph" w:styleId="NoSpacing">
    <w:name w:val="No Spacing"/>
    <w:uiPriority w:val="1"/>
    <w:qFormat/>
    <w:rsid w:val="005D15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94312F2166B488548FA0657CFA06B" ma:contentTypeVersion="0" ma:contentTypeDescription="Create a new document." ma:contentTypeScope="" ma:versionID="d1b3889e660a5e0f9dc9b8be10540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B0C8F-0BA9-4CB6-9B8F-4C9657C2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681F5-310E-480D-A933-100428280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0B721-B1DE-4522-A0AA-985A112B4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Types and Standards (CA Dept of Education)</vt:lpstr>
    </vt:vector>
  </TitlesOfParts>
  <Company>California Department of Education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Stage One Item Types and Standards - CAASPP (CA Dept of Education)</dc:title>
  <dc:subject>Stage One: Qualification Seven—Item Types and Standards Form.</dc:subject>
  <dc:creator>Johanna Harder</dc:creator>
  <cp:keywords/>
  <dc:description/>
  <cp:lastModifiedBy>Chelsea Manassero</cp:lastModifiedBy>
  <cp:revision>35</cp:revision>
  <dcterms:created xsi:type="dcterms:W3CDTF">2020-03-25T17:08:00Z</dcterms:created>
  <dcterms:modified xsi:type="dcterms:W3CDTF">2023-10-18T21:00:00Z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0x010100CC094312F2166B488548FA0657CFA06B</vt:lpwstr>
  </property>
</Properties>
</file>