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28D8" w14:textId="77777777" w:rsidR="002A761B" w:rsidRPr="009A39EF" w:rsidRDefault="002A761B" w:rsidP="002A761B">
      <w:pPr>
        <w:rPr>
          <w:sz w:val="24"/>
          <w:szCs w:val="24"/>
        </w:rPr>
      </w:pPr>
      <w:bookmarkStart w:id="0" w:name="_Hlk31098943"/>
      <w:r w:rsidRPr="009A39EF">
        <w:rPr>
          <w:sz w:val="24"/>
          <w:szCs w:val="24"/>
        </w:rPr>
        <w:t xml:space="preserve">California Department of Education </w:t>
      </w:r>
    </w:p>
    <w:p w14:paraId="7F59C39A" w14:textId="77777777" w:rsidR="002A761B" w:rsidRPr="009A39EF" w:rsidRDefault="002A761B" w:rsidP="002A761B">
      <w:pPr>
        <w:rPr>
          <w:rFonts w:asciiTheme="minorHAnsi" w:eastAsiaTheme="minorHAnsi" w:hAnsiTheme="minorHAnsi" w:cstheme="minorBidi"/>
          <w:sz w:val="24"/>
          <w:szCs w:val="24"/>
        </w:rPr>
      </w:pPr>
      <w:r w:rsidRPr="009A39EF">
        <w:rPr>
          <w:sz w:val="24"/>
          <w:szCs w:val="24"/>
        </w:rPr>
        <w:t xml:space="preserve">Request for Qualifications (RFQ) </w:t>
      </w:r>
      <w:bookmarkStart w:id="1" w:name="_Hlk37232491"/>
      <w:r w:rsidRPr="009A39EF">
        <w:rPr>
          <w:rFonts w:eastAsiaTheme="minorHAnsi"/>
          <w:sz w:val="24"/>
          <w:szCs w:val="24"/>
        </w:rPr>
        <w:t>CN220002</w:t>
      </w:r>
    </w:p>
    <w:bookmarkEnd w:id="1"/>
    <w:p w14:paraId="31B1E2AF" w14:textId="77777777" w:rsidR="002A761B" w:rsidRDefault="002A761B" w:rsidP="002A761B">
      <w:pPr>
        <w:rPr>
          <w:sz w:val="24"/>
          <w:szCs w:val="24"/>
        </w:rPr>
      </w:pPr>
      <w:r w:rsidRPr="009A39EF">
        <w:rPr>
          <w:sz w:val="24"/>
          <w:szCs w:val="24"/>
        </w:rPr>
        <w:t xml:space="preserve">ATTACHMENT </w:t>
      </w:r>
      <w:bookmarkEnd w:id="0"/>
      <w:r w:rsidRPr="009A39EF">
        <w:rPr>
          <w:sz w:val="24"/>
          <w:szCs w:val="24"/>
        </w:rPr>
        <w:t>8</w:t>
      </w:r>
    </w:p>
    <w:p w14:paraId="0F23B622" w14:textId="14614001" w:rsidR="00CE65D4" w:rsidRPr="003B12C5" w:rsidRDefault="009B4132" w:rsidP="00091036">
      <w:pPr>
        <w:pStyle w:val="Heading1"/>
      </w:pPr>
      <w:bookmarkStart w:id="2" w:name="_GoBack"/>
      <w:bookmarkEnd w:id="2"/>
      <w:r w:rsidRPr="003B12C5">
        <w:t>STAGE ONE: SUBCONTRACTORS</w:t>
      </w:r>
    </w:p>
    <w:p w14:paraId="047E1AE8" w14:textId="648229A9" w:rsidR="00280533" w:rsidRPr="00091036" w:rsidRDefault="00280533" w:rsidP="00AD1BD6">
      <w:pPr>
        <w:pStyle w:val="Heading2"/>
        <w:spacing w:before="240" w:after="240"/>
        <w:rPr>
          <w:b w:val="0"/>
        </w:rPr>
      </w:pPr>
      <w:r w:rsidRPr="00AD1BD6">
        <w:t>Purpose</w:t>
      </w:r>
    </w:p>
    <w:p w14:paraId="7AC3351F" w14:textId="3E10ED5D" w:rsidR="00BB4A40" w:rsidRDefault="00280533" w:rsidP="009B4132">
      <w:pPr>
        <w:spacing w:after="240"/>
        <w:rPr>
          <w:sz w:val="24"/>
          <w:szCs w:val="24"/>
        </w:rPr>
      </w:pPr>
      <w:r w:rsidRPr="00B00133">
        <w:rPr>
          <w:sz w:val="24"/>
          <w:szCs w:val="24"/>
        </w:rPr>
        <w:t xml:space="preserve">This qualification response </w:t>
      </w:r>
      <w:r w:rsidR="005F0A03">
        <w:rPr>
          <w:sz w:val="24"/>
          <w:szCs w:val="24"/>
        </w:rPr>
        <w:t>provides an opportunity for the contractor to i</w:t>
      </w:r>
      <w:r w:rsidR="00D34B55">
        <w:rPr>
          <w:sz w:val="24"/>
          <w:szCs w:val="24"/>
        </w:rPr>
        <w:t xml:space="preserve">dentify </w:t>
      </w:r>
      <w:r w:rsidR="00BB4A40">
        <w:rPr>
          <w:sz w:val="24"/>
          <w:szCs w:val="24"/>
        </w:rPr>
        <w:t>the   subcontractor</w:t>
      </w:r>
      <w:r w:rsidR="00D34B55">
        <w:rPr>
          <w:sz w:val="24"/>
          <w:szCs w:val="24"/>
        </w:rPr>
        <w:t>(s) who will provide</w:t>
      </w:r>
      <w:r w:rsidR="00D34B55" w:rsidRPr="00D34B55">
        <w:rPr>
          <w:sz w:val="24"/>
          <w:szCs w:val="24"/>
        </w:rPr>
        <w:t xml:space="preserve"> </w:t>
      </w:r>
      <w:r w:rsidR="00D34B55">
        <w:rPr>
          <w:sz w:val="24"/>
          <w:szCs w:val="24"/>
        </w:rPr>
        <w:t xml:space="preserve">services to support the contractor’s capacity and expertise in </w:t>
      </w:r>
      <w:r w:rsidR="00BB4A40">
        <w:rPr>
          <w:sz w:val="24"/>
          <w:szCs w:val="24"/>
        </w:rPr>
        <w:t>meet</w:t>
      </w:r>
      <w:r w:rsidR="00D34B55">
        <w:rPr>
          <w:sz w:val="24"/>
          <w:szCs w:val="24"/>
        </w:rPr>
        <w:t>ing</w:t>
      </w:r>
      <w:r w:rsidR="00BB4A40">
        <w:rPr>
          <w:sz w:val="24"/>
          <w:szCs w:val="24"/>
        </w:rPr>
        <w:t xml:space="preserve"> </w:t>
      </w:r>
      <w:r w:rsidR="00D34B55">
        <w:rPr>
          <w:sz w:val="24"/>
          <w:szCs w:val="24"/>
        </w:rPr>
        <w:t xml:space="preserve">the </w:t>
      </w:r>
      <w:r w:rsidR="00BB4A40">
        <w:rPr>
          <w:sz w:val="24"/>
          <w:szCs w:val="24"/>
        </w:rPr>
        <w:t>qualifications of this RFQ.</w:t>
      </w:r>
    </w:p>
    <w:p w14:paraId="3CFF94F7" w14:textId="5C4DC669" w:rsidR="00280533" w:rsidRPr="00091036" w:rsidRDefault="00280533" w:rsidP="00AD1BD6">
      <w:pPr>
        <w:pStyle w:val="Heading2"/>
        <w:spacing w:before="240" w:after="240"/>
        <w:rPr>
          <w:b w:val="0"/>
        </w:rPr>
      </w:pPr>
      <w:r w:rsidRPr="00091036">
        <w:t>Directions</w:t>
      </w:r>
    </w:p>
    <w:p w14:paraId="00A49DFB" w14:textId="218DDA1D" w:rsidR="00BB4A40" w:rsidRDefault="00BB4A40" w:rsidP="00584B31">
      <w:pPr>
        <w:spacing w:after="240"/>
        <w:rPr>
          <w:sz w:val="24"/>
          <w:szCs w:val="24"/>
        </w:rPr>
      </w:pPr>
      <w:r w:rsidRPr="00584B31">
        <w:rPr>
          <w:sz w:val="24"/>
          <w:szCs w:val="24"/>
        </w:rPr>
        <w:t xml:space="preserve">For qualifications 1 through 10, please </w:t>
      </w:r>
      <w:r w:rsidR="00584B31">
        <w:rPr>
          <w:sz w:val="24"/>
          <w:szCs w:val="24"/>
        </w:rPr>
        <w:t xml:space="preserve">indicate either </w:t>
      </w:r>
      <w:r w:rsidR="00F34A74">
        <w:rPr>
          <w:sz w:val="24"/>
          <w:szCs w:val="24"/>
        </w:rPr>
        <w:t>“</w:t>
      </w:r>
      <w:r w:rsidR="00584B31">
        <w:rPr>
          <w:sz w:val="24"/>
          <w:szCs w:val="24"/>
        </w:rPr>
        <w:t>yes</w:t>
      </w:r>
      <w:r w:rsidR="00F34A74">
        <w:rPr>
          <w:sz w:val="24"/>
          <w:szCs w:val="24"/>
        </w:rPr>
        <w:t>”</w:t>
      </w:r>
      <w:r w:rsidR="00584B31">
        <w:rPr>
          <w:sz w:val="24"/>
          <w:szCs w:val="24"/>
        </w:rPr>
        <w:t xml:space="preserve"> or </w:t>
      </w:r>
      <w:r w:rsidR="00F34A74">
        <w:rPr>
          <w:sz w:val="24"/>
          <w:szCs w:val="24"/>
        </w:rPr>
        <w:t>“</w:t>
      </w:r>
      <w:r w:rsidR="00584B31">
        <w:rPr>
          <w:sz w:val="24"/>
          <w:szCs w:val="24"/>
        </w:rPr>
        <w:t>no</w:t>
      </w:r>
      <w:r w:rsidR="00F34A74">
        <w:rPr>
          <w:sz w:val="24"/>
          <w:szCs w:val="24"/>
        </w:rPr>
        <w:t>”</w:t>
      </w:r>
      <w:r w:rsidR="00584B31">
        <w:rPr>
          <w:sz w:val="24"/>
          <w:szCs w:val="24"/>
        </w:rPr>
        <w:t xml:space="preserve"> </w:t>
      </w:r>
      <w:r w:rsidR="00856EBF">
        <w:rPr>
          <w:sz w:val="24"/>
          <w:szCs w:val="24"/>
        </w:rPr>
        <w:t>as to whether</w:t>
      </w:r>
      <w:r w:rsidRPr="00584B31">
        <w:rPr>
          <w:sz w:val="24"/>
          <w:szCs w:val="24"/>
        </w:rPr>
        <w:t xml:space="preserve"> it is the intention of the contractor to use the services of a subcontractor to meet the qualification stated.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for the contractor to indicate yes or no if they will use a contractor to meeting the qualification."/>
      </w:tblPr>
      <w:tblGrid>
        <w:gridCol w:w="6295"/>
        <w:gridCol w:w="3055"/>
      </w:tblGrid>
      <w:tr w:rsidR="000A7CB9" w14:paraId="54DFD877" w14:textId="77777777" w:rsidTr="00707088">
        <w:trPr>
          <w:cantSplit/>
          <w:trHeight w:val="917"/>
        </w:trPr>
        <w:tc>
          <w:tcPr>
            <w:tcW w:w="6295" w:type="dxa"/>
            <w:vAlign w:val="center"/>
          </w:tcPr>
          <w:p w14:paraId="6FCC46FC" w14:textId="1BF1E009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 w:rsidRPr="00CC6ACE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3055" w:type="dxa"/>
          </w:tcPr>
          <w:p w14:paraId="292C80AE" w14:textId="77777777" w:rsidR="000A7CB9" w:rsidRDefault="000A7CB9" w:rsidP="000A7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Subcontractor(s) Needed?</w:t>
            </w:r>
          </w:p>
          <w:p w14:paraId="0ACC2624" w14:textId="2B514AA9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  <w:r w:rsidRPr="00CC6A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Indicate</w:t>
            </w:r>
            <w:r w:rsidRPr="00CC6ACE">
              <w:rPr>
                <w:sz w:val="24"/>
                <w:szCs w:val="24"/>
              </w:rPr>
              <w:t xml:space="preserve"> </w:t>
            </w:r>
            <w:r w:rsidRPr="00D90E56">
              <w:rPr>
                <w:sz w:val="24"/>
                <w:szCs w:val="24"/>
              </w:rPr>
              <w:t>Yes</w:t>
            </w:r>
            <w:r w:rsidRPr="00CC6ACE">
              <w:rPr>
                <w:sz w:val="24"/>
                <w:szCs w:val="24"/>
              </w:rPr>
              <w:t xml:space="preserve"> or </w:t>
            </w:r>
            <w:r w:rsidRPr="00D90E56">
              <w:rPr>
                <w:sz w:val="24"/>
                <w:szCs w:val="24"/>
              </w:rPr>
              <w:t>No</w:t>
            </w:r>
            <w:r w:rsidRPr="00CC6ACE">
              <w:rPr>
                <w:sz w:val="24"/>
                <w:szCs w:val="24"/>
              </w:rPr>
              <w:t>)</w:t>
            </w:r>
          </w:p>
        </w:tc>
      </w:tr>
      <w:tr w:rsidR="000A7CB9" w14:paraId="2DAAC641" w14:textId="77777777" w:rsidTr="002A761B">
        <w:trPr>
          <w:cantSplit/>
        </w:trPr>
        <w:tc>
          <w:tcPr>
            <w:tcW w:w="6295" w:type="dxa"/>
          </w:tcPr>
          <w:p w14:paraId="2A803F93" w14:textId="68A9F8C1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1—Computer-based and adaptive assessments</w:t>
            </w:r>
          </w:p>
        </w:tc>
        <w:tc>
          <w:tcPr>
            <w:tcW w:w="3055" w:type="dxa"/>
            <w:shd w:val="clear" w:color="auto" w:fill="D1F7FF"/>
          </w:tcPr>
          <w:p w14:paraId="1513A4ED" w14:textId="1052113E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A7CB9" w14:paraId="6D8CCF13" w14:textId="77777777" w:rsidTr="002A761B">
        <w:trPr>
          <w:cantSplit/>
        </w:trPr>
        <w:tc>
          <w:tcPr>
            <w:tcW w:w="6295" w:type="dxa"/>
          </w:tcPr>
          <w:p w14:paraId="0B848143" w14:textId="5FD9B7C8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2—System access through a single sign-on</w:t>
            </w:r>
          </w:p>
        </w:tc>
        <w:tc>
          <w:tcPr>
            <w:tcW w:w="3055" w:type="dxa"/>
            <w:shd w:val="clear" w:color="auto" w:fill="D1F7FF"/>
          </w:tcPr>
          <w:p w14:paraId="755F8C0D" w14:textId="376C3DCF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A7CB9" w14:paraId="19CF5866" w14:textId="77777777" w:rsidTr="002A761B">
        <w:trPr>
          <w:cantSplit/>
        </w:trPr>
        <w:tc>
          <w:tcPr>
            <w:tcW w:w="6295" w:type="dxa"/>
          </w:tcPr>
          <w:p w14:paraId="4DF0EB96" w14:textId="604F7FFB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3—Test delivery</w:t>
            </w:r>
          </w:p>
        </w:tc>
        <w:tc>
          <w:tcPr>
            <w:tcW w:w="3055" w:type="dxa"/>
            <w:shd w:val="clear" w:color="auto" w:fill="D1F7FF"/>
          </w:tcPr>
          <w:p w14:paraId="2E8AB1AF" w14:textId="4E8BF036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A7CB9" w14:paraId="690567F9" w14:textId="77777777" w:rsidTr="002A761B">
        <w:trPr>
          <w:cantSplit/>
        </w:trPr>
        <w:tc>
          <w:tcPr>
            <w:tcW w:w="6295" w:type="dxa"/>
          </w:tcPr>
          <w:p w14:paraId="427F0205" w14:textId="0EAA16C5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4—Scoring and reporting</w:t>
            </w:r>
          </w:p>
        </w:tc>
        <w:tc>
          <w:tcPr>
            <w:tcW w:w="3055" w:type="dxa"/>
            <w:shd w:val="clear" w:color="auto" w:fill="D1F7FF"/>
          </w:tcPr>
          <w:p w14:paraId="1D7D3FCD" w14:textId="698B226E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A7CB9" w14:paraId="4CCF4212" w14:textId="77777777" w:rsidTr="002A761B">
        <w:trPr>
          <w:cantSplit/>
        </w:trPr>
        <w:tc>
          <w:tcPr>
            <w:tcW w:w="6295" w:type="dxa"/>
          </w:tcPr>
          <w:p w14:paraId="0F72A6C2" w14:textId="40D7ADCF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5—Secure browsers</w:t>
            </w:r>
          </w:p>
        </w:tc>
        <w:tc>
          <w:tcPr>
            <w:tcW w:w="3055" w:type="dxa"/>
            <w:shd w:val="clear" w:color="auto" w:fill="D1F7FF"/>
          </w:tcPr>
          <w:p w14:paraId="3C741826" w14:textId="19B4B57F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A7CB9" w14:paraId="7ACEE190" w14:textId="77777777" w:rsidTr="002A761B">
        <w:trPr>
          <w:cantSplit/>
        </w:trPr>
        <w:tc>
          <w:tcPr>
            <w:tcW w:w="6295" w:type="dxa"/>
          </w:tcPr>
          <w:p w14:paraId="46268554" w14:textId="364D309B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5—Reporting of test results</w:t>
            </w:r>
          </w:p>
        </w:tc>
        <w:tc>
          <w:tcPr>
            <w:tcW w:w="3055" w:type="dxa"/>
            <w:shd w:val="clear" w:color="auto" w:fill="D1F7FF"/>
          </w:tcPr>
          <w:p w14:paraId="4ED5CAB8" w14:textId="44A39351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A7CB9" w14:paraId="1B11AFEF" w14:textId="77777777" w:rsidTr="002A761B">
        <w:trPr>
          <w:cantSplit/>
        </w:trPr>
        <w:tc>
          <w:tcPr>
            <w:tcW w:w="6295" w:type="dxa"/>
          </w:tcPr>
          <w:p w14:paraId="6DB040A7" w14:textId="3E257A86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7—Item types and standards</w:t>
            </w:r>
          </w:p>
        </w:tc>
        <w:tc>
          <w:tcPr>
            <w:tcW w:w="3055" w:type="dxa"/>
            <w:shd w:val="clear" w:color="auto" w:fill="D1F7FF"/>
          </w:tcPr>
          <w:p w14:paraId="1DAD43E0" w14:textId="52575D85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A7CB9" w14:paraId="3FD98D33" w14:textId="77777777" w:rsidTr="002A761B">
        <w:trPr>
          <w:cantSplit/>
        </w:trPr>
        <w:tc>
          <w:tcPr>
            <w:tcW w:w="6295" w:type="dxa"/>
          </w:tcPr>
          <w:p w14:paraId="10972936" w14:textId="567C9964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8—Item bank and test forms</w:t>
            </w:r>
          </w:p>
        </w:tc>
        <w:tc>
          <w:tcPr>
            <w:tcW w:w="3055" w:type="dxa"/>
            <w:shd w:val="clear" w:color="auto" w:fill="D1F7FF"/>
          </w:tcPr>
          <w:p w14:paraId="1214B7BD" w14:textId="7CABA203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A7CB9" w14:paraId="292789EE" w14:textId="77777777" w:rsidTr="002A761B">
        <w:trPr>
          <w:cantSplit/>
        </w:trPr>
        <w:tc>
          <w:tcPr>
            <w:tcW w:w="6295" w:type="dxa"/>
          </w:tcPr>
          <w:p w14:paraId="180AB891" w14:textId="24AB608A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9—Item development and review process</w:t>
            </w:r>
          </w:p>
        </w:tc>
        <w:tc>
          <w:tcPr>
            <w:tcW w:w="3055" w:type="dxa"/>
            <w:shd w:val="clear" w:color="auto" w:fill="D1F7FF"/>
          </w:tcPr>
          <w:p w14:paraId="6E5760C0" w14:textId="5F73401A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A7CB9" w14:paraId="727F576B" w14:textId="77777777" w:rsidTr="002A761B">
        <w:trPr>
          <w:cantSplit/>
        </w:trPr>
        <w:tc>
          <w:tcPr>
            <w:tcW w:w="6295" w:type="dxa"/>
          </w:tcPr>
          <w:p w14:paraId="6CE343C1" w14:textId="6090B05C" w:rsidR="000A7CB9" w:rsidRDefault="000A7CB9" w:rsidP="000A7CB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10—Universal tools, designated supports, and</w:t>
            </w:r>
            <w:r>
              <w:rPr>
                <w:sz w:val="24"/>
                <w:szCs w:val="24"/>
              </w:rPr>
              <w:br/>
              <w:t>accommodations</w:t>
            </w:r>
          </w:p>
        </w:tc>
        <w:tc>
          <w:tcPr>
            <w:tcW w:w="3055" w:type="dxa"/>
            <w:shd w:val="clear" w:color="auto" w:fill="D1F7FF"/>
            <w:vAlign w:val="center"/>
          </w:tcPr>
          <w:p w14:paraId="65AB2A36" w14:textId="636F1EC1" w:rsidR="000A7CB9" w:rsidRDefault="000A7CB9" w:rsidP="000A7CB9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</w:tbl>
    <w:p w14:paraId="277EC365" w14:textId="27730784" w:rsidR="00BB4A40" w:rsidRPr="00584B31" w:rsidRDefault="00F34A74" w:rsidP="0066767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F</w:t>
      </w:r>
      <w:r w:rsidR="00BB4A40" w:rsidRPr="00584B31">
        <w:rPr>
          <w:sz w:val="24"/>
          <w:szCs w:val="24"/>
        </w:rPr>
        <w:t xml:space="preserve">or </w:t>
      </w:r>
      <w:r w:rsidR="00796F61">
        <w:rPr>
          <w:sz w:val="24"/>
          <w:szCs w:val="24"/>
        </w:rPr>
        <w:t>each of the</w:t>
      </w:r>
      <w:r>
        <w:rPr>
          <w:sz w:val="24"/>
          <w:szCs w:val="24"/>
        </w:rPr>
        <w:t xml:space="preserve"> </w:t>
      </w:r>
      <w:r w:rsidR="00BB4A40" w:rsidRPr="00584B31">
        <w:rPr>
          <w:sz w:val="24"/>
          <w:szCs w:val="24"/>
        </w:rPr>
        <w:t>qualification</w:t>
      </w:r>
      <w:r w:rsidR="00796F61">
        <w:rPr>
          <w:sz w:val="24"/>
          <w:szCs w:val="24"/>
        </w:rPr>
        <w:t xml:space="preserve">s </w:t>
      </w:r>
      <w:r w:rsidR="00522DC8">
        <w:rPr>
          <w:sz w:val="24"/>
          <w:szCs w:val="24"/>
        </w:rPr>
        <w:t>above</w:t>
      </w:r>
      <w:r w:rsidR="00BB4A40" w:rsidRPr="00584B31">
        <w:rPr>
          <w:sz w:val="24"/>
          <w:szCs w:val="24"/>
        </w:rPr>
        <w:t xml:space="preserve"> </w:t>
      </w:r>
      <w:r>
        <w:rPr>
          <w:sz w:val="24"/>
          <w:szCs w:val="24"/>
        </w:rPr>
        <w:t>that is indicated with “yes</w:t>
      </w:r>
      <w:r w:rsidR="00796F61">
        <w:rPr>
          <w:sz w:val="24"/>
          <w:szCs w:val="24"/>
        </w:rPr>
        <w:t>,</w:t>
      </w:r>
      <w:r>
        <w:rPr>
          <w:sz w:val="24"/>
          <w:szCs w:val="24"/>
        </w:rPr>
        <w:t xml:space="preserve">” </w:t>
      </w:r>
      <w:r w:rsidR="00BB4A40" w:rsidRPr="00584B31">
        <w:rPr>
          <w:sz w:val="24"/>
          <w:szCs w:val="24"/>
        </w:rPr>
        <w:t>provide the following</w:t>
      </w:r>
      <w:r>
        <w:rPr>
          <w:sz w:val="24"/>
          <w:szCs w:val="24"/>
        </w:rPr>
        <w:t xml:space="preserve"> in a written response</w:t>
      </w:r>
      <w:r w:rsidR="00BB4A40" w:rsidRPr="00584B31">
        <w:rPr>
          <w:sz w:val="24"/>
          <w:szCs w:val="24"/>
        </w:rPr>
        <w:t>:</w:t>
      </w:r>
    </w:p>
    <w:p w14:paraId="64BE2BC8" w14:textId="6CC13670" w:rsidR="00BB4A40" w:rsidRPr="00584B31" w:rsidRDefault="0004201F" w:rsidP="00667673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N</w:t>
      </w:r>
      <w:r w:rsidR="00BB4A40" w:rsidRPr="00584B31">
        <w:rPr>
          <w:sz w:val="24"/>
          <w:szCs w:val="24"/>
        </w:rPr>
        <w:t>ame of the subcontractor</w:t>
      </w:r>
    </w:p>
    <w:p w14:paraId="4BBC8184" w14:textId="51155985" w:rsidR="00BB4A40" w:rsidRPr="00584B31" w:rsidRDefault="0004201F" w:rsidP="00667673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B4A40" w:rsidRPr="00584B31">
        <w:rPr>
          <w:sz w:val="24"/>
          <w:szCs w:val="24"/>
        </w:rPr>
        <w:t xml:space="preserve">escription of </w:t>
      </w:r>
      <w:r>
        <w:rPr>
          <w:sz w:val="24"/>
          <w:szCs w:val="24"/>
        </w:rPr>
        <w:t>the</w:t>
      </w:r>
      <w:r w:rsidR="00BB4A40" w:rsidRPr="00584B31">
        <w:rPr>
          <w:sz w:val="24"/>
          <w:szCs w:val="24"/>
        </w:rPr>
        <w:t xml:space="preserve"> service</w:t>
      </w:r>
      <w:r>
        <w:rPr>
          <w:sz w:val="24"/>
          <w:szCs w:val="24"/>
        </w:rPr>
        <w:t xml:space="preserve"> that</w:t>
      </w:r>
      <w:r w:rsidR="00BB4A40" w:rsidRPr="00584B31">
        <w:rPr>
          <w:sz w:val="24"/>
          <w:szCs w:val="24"/>
        </w:rPr>
        <w:t xml:space="preserve"> would be provided by the subcontractor and why </w:t>
      </w:r>
      <w:r w:rsidR="00856EBF">
        <w:rPr>
          <w:sz w:val="24"/>
          <w:szCs w:val="24"/>
        </w:rPr>
        <w:t>that subcontractor was</w:t>
      </w:r>
      <w:r w:rsidR="00BB4A40" w:rsidRPr="00584B31">
        <w:rPr>
          <w:sz w:val="24"/>
          <w:szCs w:val="24"/>
        </w:rPr>
        <w:t xml:space="preserve"> chosen to provide this qualification</w:t>
      </w:r>
    </w:p>
    <w:p w14:paraId="538D51E7" w14:textId="547BDC93" w:rsidR="00BB4A40" w:rsidRPr="00584B31" w:rsidRDefault="0004201F" w:rsidP="00667673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</w:t>
      </w:r>
      <w:r w:rsidR="00BB4A40" w:rsidRPr="00584B31">
        <w:rPr>
          <w:sz w:val="24"/>
          <w:szCs w:val="24"/>
        </w:rPr>
        <w:t xml:space="preserve">escription of the existing </w:t>
      </w:r>
      <w:r w:rsidR="00BB4A40" w:rsidRPr="0005621B">
        <w:rPr>
          <w:sz w:val="24"/>
          <w:szCs w:val="24"/>
        </w:rPr>
        <w:t xml:space="preserve">contractual </w:t>
      </w:r>
      <w:r w:rsidR="00BB4A40" w:rsidRPr="00584B31">
        <w:rPr>
          <w:sz w:val="24"/>
          <w:szCs w:val="24"/>
        </w:rPr>
        <w:t>relationship between the contractor and the proposed subcontractor</w:t>
      </w:r>
    </w:p>
    <w:p w14:paraId="047844F3" w14:textId="7ED04407" w:rsidR="009B4132" w:rsidRDefault="00181BAF" w:rsidP="00C70F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</w:t>
      </w:r>
      <w:r w:rsidR="00BB4A40" w:rsidRPr="00CC6ACE">
        <w:rPr>
          <w:sz w:val="24"/>
          <w:szCs w:val="24"/>
        </w:rPr>
        <w:t>nly one subcontractor should be listed</w:t>
      </w:r>
      <w:r>
        <w:rPr>
          <w:sz w:val="24"/>
          <w:szCs w:val="24"/>
        </w:rPr>
        <w:t xml:space="preserve"> per text box</w:t>
      </w:r>
      <w:r w:rsidR="00F124A4" w:rsidRPr="00F124A4">
        <w:rPr>
          <w:sz w:val="24"/>
          <w:szCs w:val="24"/>
        </w:rPr>
        <w:t xml:space="preserve"> </w:t>
      </w:r>
      <w:r w:rsidR="00F124A4">
        <w:rPr>
          <w:sz w:val="24"/>
          <w:szCs w:val="24"/>
        </w:rPr>
        <w:t>to answer the above bulleted points</w:t>
      </w:r>
      <w:r>
        <w:rPr>
          <w:sz w:val="24"/>
          <w:szCs w:val="24"/>
        </w:rPr>
        <w:t>.</w:t>
      </w:r>
      <w:r w:rsidR="00BB4A40" w:rsidRPr="00CC6ACE">
        <w:rPr>
          <w:sz w:val="24"/>
          <w:szCs w:val="24"/>
        </w:rPr>
        <w:t xml:space="preserve"> </w:t>
      </w:r>
      <w:r w:rsidR="00F124A4">
        <w:rPr>
          <w:sz w:val="24"/>
          <w:szCs w:val="24"/>
        </w:rPr>
        <w:t>T</w:t>
      </w:r>
      <w:r w:rsidR="00BB4A40" w:rsidRPr="00CC6ACE">
        <w:rPr>
          <w:sz w:val="24"/>
          <w:szCs w:val="24"/>
        </w:rPr>
        <w:t>he response should not exceed 500 words.</w:t>
      </w:r>
      <w:r w:rsidR="00522DC8">
        <w:rPr>
          <w:sz w:val="24"/>
          <w:szCs w:val="24"/>
        </w:rPr>
        <w:t xml:space="preserve"> Add text boxes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ext box for the contractor to write a response for the subcontractor they intend to use to meet the qualification. "/>
      </w:tblPr>
      <w:tblGrid>
        <w:gridCol w:w="9350"/>
      </w:tblGrid>
      <w:tr w:rsidR="0026323B" w14:paraId="4683D705" w14:textId="77777777" w:rsidTr="0026323B">
        <w:tc>
          <w:tcPr>
            <w:tcW w:w="9350" w:type="dxa"/>
            <w:shd w:val="clear" w:color="auto" w:fill="F2F2F2" w:themeFill="background1" w:themeFillShade="F2"/>
          </w:tcPr>
          <w:p w14:paraId="6848A8E2" w14:textId="6ACE1FD2" w:rsidR="0026323B" w:rsidRPr="0026323B" w:rsidRDefault="0026323B" w:rsidP="0026323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bookmarkStart w:id="3" w:name="_Hlk37752518"/>
            <w:r w:rsidRPr="0026323B">
              <w:rPr>
                <w:b/>
                <w:sz w:val="24"/>
                <w:szCs w:val="24"/>
              </w:rPr>
              <w:t>Qualification #</w:t>
            </w:r>
          </w:p>
        </w:tc>
      </w:tr>
      <w:tr w:rsidR="0026323B" w14:paraId="0E81946D" w14:textId="77777777" w:rsidTr="002A761B">
        <w:tc>
          <w:tcPr>
            <w:tcW w:w="9350" w:type="dxa"/>
            <w:shd w:val="clear" w:color="auto" w:fill="D1F7FF"/>
          </w:tcPr>
          <w:p w14:paraId="4ADCAA64" w14:textId="412B2767" w:rsidR="0026323B" w:rsidRDefault="002A761B" w:rsidP="00C70FFE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2A761B">
              <w:rPr>
                <w:sz w:val="24"/>
                <w:szCs w:val="24"/>
              </w:rPr>
              <w:t xml:space="preserve">Enter </w:t>
            </w:r>
            <w:r w:rsidRPr="002A761B">
              <w:rPr>
                <w:sz w:val="24"/>
                <w:szCs w:val="24"/>
              </w:rPr>
              <w:t>Qualification #</w:t>
            </w:r>
            <w:r>
              <w:rPr>
                <w:sz w:val="24"/>
                <w:szCs w:val="24"/>
              </w:rPr>
              <w:t>]</w:t>
            </w:r>
          </w:p>
        </w:tc>
      </w:tr>
      <w:tr w:rsidR="0026323B" w14:paraId="1B01C98B" w14:textId="77777777" w:rsidTr="0026323B">
        <w:tc>
          <w:tcPr>
            <w:tcW w:w="9350" w:type="dxa"/>
            <w:shd w:val="clear" w:color="auto" w:fill="F2F2F2" w:themeFill="background1" w:themeFillShade="F2"/>
          </w:tcPr>
          <w:p w14:paraId="512F349A" w14:textId="77777777" w:rsidR="0026323B" w:rsidRPr="0026323B" w:rsidRDefault="0026323B" w:rsidP="000407AF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bookmarkStart w:id="4" w:name="_Hlk34140876"/>
            <w:bookmarkEnd w:id="3"/>
            <w:r w:rsidRPr="0026323B">
              <w:rPr>
                <w:b/>
                <w:sz w:val="24"/>
                <w:szCs w:val="24"/>
              </w:rPr>
              <w:t>Qualification #</w:t>
            </w:r>
          </w:p>
        </w:tc>
      </w:tr>
      <w:tr w:rsidR="002A761B" w14:paraId="71D928B7" w14:textId="77777777" w:rsidTr="002A761B">
        <w:tc>
          <w:tcPr>
            <w:tcW w:w="9350" w:type="dxa"/>
            <w:shd w:val="clear" w:color="auto" w:fill="D1F7FF"/>
          </w:tcPr>
          <w:p w14:paraId="2E9DABEB" w14:textId="74486B21" w:rsidR="002A761B" w:rsidRDefault="002A761B" w:rsidP="002A761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2A761B">
              <w:rPr>
                <w:sz w:val="24"/>
                <w:szCs w:val="24"/>
              </w:rPr>
              <w:t>Enter Qualification #</w:t>
            </w:r>
            <w:r>
              <w:rPr>
                <w:sz w:val="24"/>
                <w:szCs w:val="24"/>
              </w:rPr>
              <w:t>]</w:t>
            </w:r>
          </w:p>
        </w:tc>
      </w:tr>
      <w:tr w:rsidR="002A761B" w:rsidRPr="00A3386F" w14:paraId="03E1F54B" w14:textId="77777777" w:rsidTr="00F466CC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26436E0F" w14:textId="77777777" w:rsidR="002A761B" w:rsidRPr="00A3386F" w:rsidRDefault="002A761B" w:rsidP="002A761B">
            <w:pPr>
              <w:widowControl/>
              <w:adjustRightInd w:val="0"/>
              <w:spacing w:before="24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Qualification #</w:t>
            </w:r>
          </w:p>
        </w:tc>
      </w:tr>
      <w:tr w:rsidR="002A761B" w:rsidRPr="00A3386F" w14:paraId="2860A7EB" w14:textId="77777777" w:rsidTr="002A761B">
        <w:trPr>
          <w:cantSplit/>
          <w:trHeight w:val="720"/>
        </w:trPr>
        <w:tc>
          <w:tcPr>
            <w:tcW w:w="9350" w:type="dxa"/>
            <w:shd w:val="clear" w:color="auto" w:fill="D1F7FF"/>
          </w:tcPr>
          <w:p w14:paraId="0E8BE86F" w14:textId="27DD3319" w:rsidR="002A761B" w:rsidRPr="00A3386F" w:rsidRDefault="002A761B" w:rsidP="002A761B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2A761B">
              <w:rPr>
                <w:sz w:val="24"/>
                <w:szCs w:val="24"/>
              </w:rPr>
              <w:t>Enter Qualification #</w:t>
            </w:r>
            <w:r>
              <w:rPr>
                <w:sz w:val="24"/>
                <w:szCs w:val="24"/>
              </w:rPr>
              <w:t>]</w:t>
            </w:r>
          </w:p>
        </w:tc>
      </w:tr>
      <w:tr w:rsidR="002A761B" w:rsidRPr="00A3386F" w14:paraId="5CEB561E" w14:textId="77777777" w:rsidTr="00F466CC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2EF3E029" w14:textId="77777777" w:rsidR="002A761B" w:rsidRPr="00A3386F" w:rsidRDefault="002A761B" w:rsidP="002A761B">
            <w:pPr>
              <w:widowControl/>
              <w:adjustRightInd w:val="0"/>
              <w:spacing w:before="24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Qualification #</w:t>
            </w:r>
          </w:p>
        </w:tc>
      </w:tr>
      <w:tr w:rsidR="002A761B" w:rsidRPr="00A3386F" w14:paraId="6035290E" w14:textId="77777777" w:rsidTr="002A761B">
        <w:trPr>
          <w:cantSplit/>
          <w:trHeight w:val="720"/>
        </w:trPr>
        <w:tc>
          <w:tcPr>
            <w:tcW w:w="9350" w:type="dxa"/>
            <w:shd w:val="clear" w:color="auto" w:fill="D1F7FF"/>
          </w:tcPr>
          <w:p w14:paraId="4B5392D7" w14:textId="016B8007" w:rsidR="002A761B" w:rsidRPr="00A3386F" w:rsidRDefault="002A761B" w:rsidP="002A761B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2A761B">
              <w:rPr>
                <w:sz w:val="24"/>
                <w:szCs w:val="24"/>
              </w:rPr>
              <w:t>Enter Qualification #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29434044" w14:textId="76CA7560" w:rsidR="004E145C" w:rsidRDefault="008130F3" w:rsidP="009A1AE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California Department of Education, April 2020</w:t>
      </w:r>
      <w:bookmarkEnd w:id="4"/>
    </w:p>
    <w:sectPr w:rsidR="004E14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CD53" w14:textId="77777777" w:rsidR="00DC049C" w:rsidRDefault="00DC049C" w:rsidP="00B4217F">
      <w:r>
        <w:separator/>
      </w:r>
    </w:p>
  </w:endnote>
  <w:endnote w:type="continuationSeparator" w:id="0">
    <w:p w14:paraId="6081A998" w14:textId="77777777" w:rsidR="00DC049C" w:rsidRDefault="00DC049C" w:rsidP="00B4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5075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C092FB" w14:textId="5D51C8A3" w:rsidR="00AA01C2" w:rsidRDefault="00AA01C2">
            <w:pPr>
              <w:pStyle w:val="Footer"/>
              <w:jc w:val="center"/>
            </w:pPr>
            <w:r w:rsidRPr="00355C41">
              <w:rPr>
                <w:sz w:val="24"/>
                <w:szCs w:val="24"/>
              </w:rPr>
              <w:t xml:space="preserve">Page </w:t>
            </w:r>
            <w:r w:rsidRPr="00355C41">
              <w:rPr>
                <w:b/>
                <w:bCs/>
                <w:sz w:val="24"/>
                <w:szCs w:val="24"/>
              </w:rPr>
              <w:fldChar w:fldCharType="begin"/>
            </w:r>
            <w:r w:rsidRPr="00355C41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355C41">
              <w:rPr>
                <w:b/>
                <w:bCs/>
                <w:sz w:val="24"/>
                <w:szCs w:val="24"/>
              </w:rPr>
              <w:fldChar w:fldCharType="separate"/>
            </w:r>
            <w:r w:rsidRPr="00355C41">
              <w:rPr>
                <w:b/>
                <w:bCs/>
                <w:noProof/>
                <w:sz w:val="24"/>
                <w:szCs w:val="24"/>
              </w:rPr>
              <w:t>2</w:t>
            </w:r>
            <w:r w:rsidRPr="00355C41">
              <w:rPr>
                <w:b/>
                <w:bCs/>
                <w:sz w:val="24"/>
                <w:szCs w:val="24"/>
              </w:rPr>
              <w:fldChar w:fldCharType="end"/>
            </w:r>
            <w:r w:rsidRPr="00355C41">
              <w:rPr>
                <w:sz w:val="24"/>
                <w:szCs w:val="24"/>
              </w:rPr>
              <w:t xml:space="preserve"> of </w:t>
            </w:r>
            <w:r w:rsidRPr="00355C41">
              <w:rPr>
                <w:b/>
                <w:bCs/>
                <w:sz w:val="24"/>
                <w:szCs w:val="24"/>
              </w:rPr>
              <w:fldChar w:fldCharType="begin"/>
            </w:r>
            <w:r w:rsidRPr="00355C41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355C41">
              <w:rPr>
                <w:b/>
                <w:bCs/>
                <w:sz w:val="24"/>
                <w:szCs w:val="24"/>
              </w:rPr>
              <w:fldChar w:fldCharType="separate"/>
            </w:r>
            <w:r w:rsidRPr="00355C41">
              <w:rPr>
                <w:b/>
                <w:bCs/>
                <w:noProof/>
                <w:sz w:val="24"/>
                <w:szCs w:val="24"/>
              </w:rPr>
              <w:t>2</w:t>
            </w:r>
            <w:r w:rsidRPr="00355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7A51A" w14:textId="77777777" w:rsidR="00DC049C" w:rsidRDefault="00DC049C" w:rsidP="00B4217F">
      <w:r>
        <w:separator/>
      </w:r>
    </w:p>
  </w:footnote>
  <w:footnote w:type="continuationSeparator" w:id="0">
    <w:p w14:paraId="733F1FF8" w14:textId="77777777" w:rsidR="00DC049C" w:rsidRDefault="00DC049C" w:rsidP="00B4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4B2F"/>
    <w:multiLevelType w:val="hybridMultilevel"/>
    <w:tmpl w:val="3334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49F6"/>
    <w:multiLevelType w:val="hybridMultilevel"/>
    <w:tmpl w:val="739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D4"/>
    <w:rsid w:val="0004201F"/>
    <w:rsid w:val="0005621B"/>
    <w:rsid w:val="00071168"/>
    <w:rsid w:val="00091036"/>
    <w:rsid w:val="000A7CB9"/>
    <w:rsid w:val="000C6AE6"/>
    <w:rsid w:val="00181BAF"/>
    <w:rsid w:val="001C222A"/>
    <w:rsid w:val="001E12FB"/>
    <w:rsid w:val="00225A1F"/>
    <w:rsid w:val="0026323B"/>
    <w:rsid w:val="00280533"/>
    <w:rsid w:val="002A761B"/>
    <w:rsid w:val="00326CF5"/>
    <w:rsid w:val="003352B8"/>
    <w:rsid w:val="003369B6"/>
    <w:rsid w:val="00343E59"/>
    <w:rsid w:val="0034755F"/>
    <w:rsid w:val="00355C41"/>
    <w:rsid w:val="0039085D"/>
    <w:rsid w:val="0039517A"/>
    <w:rsid w:val="003B12C5"/>
    <w:rsid w:val="003E3105"/>
    <w:rsid w:val="00485EE0"/>
    <w:rsid w:val="004A03C3"/>
    <w:rsid w:val="004E145C"/>
    <w:rsid w:val="0050066E"/>
    <w:rsid w:val="00522DC8"/>
    <w:rsid w:val="00562FD7"/>
    <w:rsid w:val="00582725"/>
    <w:rsid w:val="00584B31"/>
    <w:rsid w:val="005F0A03"/>
    <w:rsid w:val="005F6B8E"/>
    <w:rsid w:val="005F7B01"/>
    <w:rsid w:val="00615DA0"/>
    <w:rsid w:val="00667673"/>
    <w:rsid w:val="00707088"/>
    <w:rsid w:val="007179E8"/>
    <w:rsid w:val="00794644"/>
    <w:rsid w:val="00796F61"/>
    <w:rsid w:val="00805E87"/>
    <w:rsid w:val="008130F3"/>
    <w:rsid w:val="0085307C"/>
    <w:rsid w:val="00856EBF"/>
    <w:rsid w:val="00967A86"/>
    <w:rsid w:val="009A1AE2"/>
    <w:rsid w:val="009A39EF"/>
    <w:rsid w:val="009B4132"/>
    <w:rsid w:val="009C3221"/>
    <w:rsid w:val="009D7DEB"/>
    <w:rsid w:val="00A23180"/>
    <w:rsid w:val="00A83367"/>
    <w:rsid w:val="00AA01C2"/>
    <w:rsid w:val="00AC7413"/>
    <w:rsid w:val="00AD1BD6"/>
    <w:rsid w:val="00AF102D"/>
    <w:rsid w:val="00B4217F"/>
    <w:rsid w:val="00B42D5B"/>
    <w:rsid w:val="00B76C4A"/>
    <w:rsid w:val="00BB4A40"/>
    <w:rsid w:val="00C551A4"/>
    <w:rsid w:val="00C6004D"/>
    <w:rsid w:val="00C70FFE"/>
    <w:rsid w:val="00CC6ACE"/>
    <w:rsid w:val="00CE19EC"/>
    <w:rsid w:val="00CE65D4"/>
    <w:rsid w:val="00D05288"/>
    <w:rsid w:val="00D310E9"/>
    <w:rsid w:val="00D34B55"/>
    <w:rsid w:val="00D4498B"/>
    <w:rsid w:val="00D8739F"/>
    <w:rsid w:val="00D90E56"/>
    <w:rsid w:val="00DC049C"/>
    <w:rsid w:val="00E006EC"/>
    <w:rsid w:val="00E16A1D"/>
    <w:rsid w:val="00E761CE"/>
    <w:rsid w:val="00E81C6C"/>
    <w:rsid w:val="00EA1FE3"/>
    <w:rsid w:val="00ED0ABF"/>
    <w:rsid w:val="00F124A4"/>
    <w:rsid w:val="00F34A7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BDE6"/>
  <w15:chartTrackingRefBased/>
  <w15:docId w15:val="{A920A1BC-2947-4693-B9C9-027B1589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2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BD6"/>
    <w:pPr>
      <w:keepNext/>
      <w:keepLines/>
      <w:spacing w:before="240" w:after="24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BD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,List1,List11"/>
    <w:basedOn w:val="Normal"/>
    <w:link w:val="ListParagraphChar"/>
    <w:uiPriority w:val="34"/>
    <w:qFormat/>
    <w:rsid w:val="00280533"/>
    <w:pPr>
      <w:ind w:left="840" w:hanging="360"/>
    </w:pPr>
  </w:style>
  <w:style w:type="character" w:customStyle="1" w:styleId="ListParagraphChar">
    <w:name w:val="List Paragraph Char"/>
    <w:aliases w:val="list Char,List1 Char,List11 Char"/>
    <w:link w:val="ListParagraph"/>
    <w:uiPriority w:val="34"/>
    <w:locked/>
    <w:rsid w:val="0028053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2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A1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1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1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1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2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17F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50066E"/>
    <w:pPr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D1BD6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3B12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AD1BD6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A8B97-A597-42A4-915F-8C7EC19CF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A6695-F75A-4325-BA7D-FEE07CB3B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BA6AA-29FB-41CE-A4BA-6A9579ADA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Subcontractors (CA Dept of Education)</vt:lpstr>
    </vt:vector>
  </TitlesOfParts>
  <Company>California Department of Education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CSA: Subcontractors - CAASPP (CA Dept of Education)</dc:title>
  <dc:subject>Stage One: Subcontractors.</dc:subject>
  <dc:creator>Johanna Harder</dc:creator>
  <cp:keywords/>
  <dc:description/>
  <cp:lastModifiedBy>Will Lee</cp:lastModifiedBy>
  <cp:revision>35</cp:revision>
  <cp:lastPrinted>2020-01-28T18:19:00Z</cp:lastPrinted>
  <dcterms:created xsi:type="dcterms:W3CDTF">2020-03-25T16:48:00Z</dcterms:created>
  <dcterms:modified xsi:type="dcterms:W3CDTF">2020-04-21T20:28:00Z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