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40C4" w14:textId="1E866318" w:rsidR="0093562A" w:rsidRDefault="0093562A" w:rsidP="0093562A">
      <w:pPr>
        <w:pStyle w:val="Heading1"/>
        <w:spacing w:before="0" w:after="240"/>
        <w:rPr>
          <w:sz w:val="44"/>
          <w:szCs w:val="44"/>
        </w:rPr>
      </w:pPr>
      <w:bookmarkStart w:id="0" w:name="_Toc3983551"/>
      <w:bookmarkStart w:id="1" w:name="_Toc3998136"/>
      <w:bookmarkStart w:id="2" w:name="_Toc158361579"/>
      <w:bookmarkStart w:id="3" w:name="_Toc164262838"/>
      <w:bookmarkStart w:id="4" w:name="_Toc508894838"/>
      <w:bookmarkStart w:id="5" w:name="_Toc274054932"/>
      <w:r>
        <w:rPr>
          <w:sz w:val="44"/>
          <w:szCs w:val="44"/>
        </w:rPr>
        <w:t>American Indian Education Center</w:t>
      </w:r>
      <w:r>
        <w:rPr>
          <w:sz w:val="44"/>
          <w:szCs w:val="44"/>
        </w:rPr>
        <w:br/>
      </w:r>
      <w:bookmarkStart w:id="6" w:name="_Toc3983552"/>
      <w:bookmarkStart w:id="7" w:name="_Toc3998137"/>
      <w:bookmarkStart w:id="8" w:name="_Toc155138369"/>
      <w:bookmarkStart w:id="9" w:name="_Toc158361580"/>
      <w:bookmarkEnd w:id="0"/>
      <w:bookmarkEnd w:id="1"/>
      <w:bookmarkEnd w:id="2"/>
      <w:r>
        <w:rPr>
          <w:sz w:val="44"/>
          <w:szCs w:val="44"/>
        </w:rPr>
        <w:t>Request for Applications</w:t>
      </w:r>
      <w:bookmarkEnd w:id="6"/>
      <w:bookmarkEnd w:id="7"/>
      <w:bookmarkEnd w:id="8"/>
      <w:bookmarkEnd w:id="9"/>
      <w:bookmarkEnd w:id="3"/>
    </w:p>
    <w:p w14:paraId="2CBE566D" w14:textId="77777777" w:rsidR="0093562A" w:rsidRDefault="0093562A" w:rsidP="0093562A">
      <w:pPr>
        <w:spacing w:before="840" w:after="240"/>
        <w:jc w:val="center"/>
        <w:rPr>
          <w:b/>
          <w:bCs w:val="0"/>
          <w:sz w:val="44"/>
          <w:szCs w:val="44"/>
        </w:rPr>
      </w:pPr>
      <w:bookmarkStart w:id="10" w:name="_Toc155138370"/>
      <w:bookmarkStart w:id="11" w:name="_Toc158361581"/>
      <w:r>
        <w:rPr>
          <w:b/>
          <w:bCs w:val="0"/>
          <w:sz w:val="44"/>
          <w:szCs w:val="44"/>
        </w:rPr>
        <w:t>October 1, 2024–September 30, 2029</w:t>
      </w:r>
      <w:bookmarkEnd w:id="10"/>
      <w:bookmarkEnd w:id="11"/>
    </w:p>
    <w:p w14:paraId="1D06686B" w14:textId="7A8020F1" w:rsidR="0093562A" w:rsidRDefault="0093562A" w:rsidP="0093562A">
      <w:pPr>
        <w:spacing w:after="360"/>
        <w:jc w:val="center"/>
        <w:rPr>
          <w:sz w:val="32"/>
          <w:szCs w:val="32"/>
        </w:rPr>
      </w:pPr>
      <w:r>
        <w:rPr>
          <w:noProof/>
          <w:sz w:val="28"/>
        </w:rPr>
        <w:drawing>
          <wp:inline distT="0" distB="0" distL="0" distR="0" wp14:anchorId="0FD8E04A" wp14:editId="6D5DBF20">
            <wp:extent cx="1693545" cy="1630045"/>
            <wp:effectExtent l="0" t="0" r="0" b="0"/>
            <wp:docPr id="1549868048" name="Picture 1" descr="California Department of Education seal"/>
            <wp:cNvGraphicFramePr/>
            <a:graphic xmlns:a="http://schemas.openxmlformats.org/drawingml/2006/main">
              <a:graphicData uri="http://schemas.openxmlformats.org/drawingml/2006/picture">
                <pic:pic xmlns:pic="http://schemas.openxmlformats.org/drawingml/2006/picture">
                  <pic:nvPicPr>
                    <pic:cNvPr id="1549868048" name="Picture 1" descr="California Department of Education seal"/>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1628775"/>
                    </a:xfrm>
                    <a:prstGeom prst="rect">
                      <a:avLst/>
                    </a:prstGeom>
                    <a:noFill/>
                    <a:ln>
                      <a:noFill/>
                    </a:ln>
                  </pic:spPr>
                </pic:pic>
              </a:graphicData>
            </a:graphic>
          </wp:inline>
        </w:drawing>
      </w:r>
    </w:p>
    <w:p w14:paraId="19E09C07" w14:textId="77777777" w:rsidR="0093562A" w:rsidRDefault="0093562A" w:rsidP="0093562A">
      <w:pPr>
        <w:jc w:val="center"/>
        <w:rPr>
          <w:sz w:val="36"/>
          <w:szCs w:val="36"/>
        </w:rPr>
      </w:pPr>
      <w:r>
        <w:rPr>
          <w:sz w:val="36"/>
          <w:szCs w:val="36"/>
        </w:rPr>
        <w:t>Student Achievement and Support Division</w:t>
      </w:r>
    </w:p>
    <w:p w14:paraId="58CE7323" w14:textId="77777777" w:rsidR="0093562A" w:rsidRDefault="0093562A" w:rsidP="0093562A">
      <w:pPr>
        <w:jc w:val="center"/>
        <w:rPr>
          <w:sz w:val="36"/>
          <w:szCs w:val="36"/>
        </w:rPr>
      </w:pPr>
      <w:bookmarkStart w:id="12" w:name="_Toc508894841"/>
      <w:bookmarkEnd w:id="4"/>
      <w:bookmarkEnd w:id="5"/>
      <w:r>
        <w:rPr>
          <w:sz w:val="36"/>
          <w:szCs w:val="36"/>
        </w:rPr>
        <w:t>California Department of Education</w:t>
      </w:r>
      <w:bookmarkEnd w:id="12"/>
    </w:p>
    <w:p w14:paraId="0323E135" w14:textId="77777777" w:rsidR="0093562A" w:rsidRDefault="0093562A" w:rsidP="0093562A">
      <w:pPr>
        <w:jc w:val="center"/>
        <w:rPr>
          <w:sz w:val="36"/>
          <w:szCs w:val="36"/>
        </w:rPr>
      </w:pPr>
      <w:bookmarkStart w:id="13" w:name="_Toc274054933"/>
      <w:bookmarkStart w:id="14" w:name="_Toc508894842"/>
      <w:r>
        <w:rPr>
          <w:sz w:val="36"/>
          <w:szCs w:val="36"/>
        </w:rPr>
        <w:t>1430 N Street, Suite 6</w:t>
      </w:r>
      <w:bookmarkEnd w:id="13"/>
      <w:bookmarkEnd w:id="14"/>
      <w:r>
        <w:rPr>
          <w:sz w:val="36"/>
          <w:szCs w:val="36"/>
        </w:rPr>
        <w:t>208</w:t>
      </w:r>
    </w:p>
    <w:p w14:paraId="1283596A" w14:textId="77777777" w:rsidR="0093562A" w:rsidRDefault="0093562A" w:rsidP="0093562A">
      <w:pPr>
        <w:spacing w:after="240"/>
        <w:jc w:val="center"/>
        <w:rPr>
          <w:sz w:val="36"/>
          <w:szCs w:val="36"/>
        </w:rPr>
      </w:pPr>
      <w:bookmarkStart w:id="15" w:name="_Toc274054934"/>
      <w:bookmarkStart w:id="16" w:name="_Toc508894843"/>
      <w:r>
        <w:rPr>
          <w:sz w:val="36"/>
          <w:szCs w:val="36"/>
        </w:rPr>
        <w:t>Sacramento, CA 95814-5901</w:t>
      </w:r>
      <w:bookmarkEnd w:id="15"/>
      <w:bookmarkEnd w:id="16"/>
    </w:p>
    <w:p w14:paraId="540A02F6" w14:textId="77777777" w:rsidR="0093562A" w:rsidRDefault="0093562A" w:rsidP="0093562A">
      <w:pPr>
        <w:spacing w:after="240"/>
        <w:jc w:val="center"/>
        <w:rPr>
          <w:sz w:val="36"/>
          <w:szCs w:val="36"/>
        </w:rPr>
      </w:pPr>
      <w:bookmarkStart w:id="17" w:name="_Toc508894845"/>
      <w:r>
        <w:rPr>
          <w:sz w:val="36"/>
          <w:szCs w:val="36"/>
        </w:rPr>
        <w:t>Applications Due:</w:t>
      </w:r>
      <w:bookmarkEnd w:id="17"/>
    </w:p>
    <w:p w14:paraId="1F2084D7" w14:textId="77777777" w:rsidR="0093562A" w:rsidRDefault="0093562A" w:rsidP="0093562A">
      <w:pPr>
        <w:jc w:val="center"/>
        <w:rPr>
          <w:sz w:val="36"/>
          <w:szCs w:val="36"/>
        </w:rPr>
      </w:pPr>
      <w:bookmarkStart w:id="18" w:name="_Toc508894846"/>
      <w:r>
        <w:rPr>
          <w:sz w:val="36"/>
          <w:szCs w:val="36"/>
        </w:rPr>
        <w:t>4 p.m.</w:t>
      </w:r>
      <w:bookmarkEnd w:id="18"/>
    </w:p>
    <w:p w14:paraId="3D94EE0B" w14:textId="1FCD4BB3" w:rsidR="0093562A" w:rsidRDefault="002A6C76" w:rsidP="0093562A">
      <w:pPr>
        <w:jc w:val="center"/>
        <w:rPr>
          <w:sz w:val="36"/>
          <w:szCs w:val="36"/>
        </w:rPr>
      </w:pPr>
      <w:bookmarkStart w:id="19" w:name="_Toc508894847"/>
      <w:r>
        <w:rPr>
          <w:sz w:val="36"/>
          <w:szCs w:val="36"/>
        </w:rPr>
        <w:t>Tuesday</w:t>
      </w:r>
      <w:r w:rsidR="0093562A">
        <w:rPr>
          <w:sz w:val="36"/>
          <w:szCs w:val="36"/>
        </w:rPr>
        <w:t xml:space="preserve">, </w:t>
      </w:r>
      <w:r w:rsidR="009A1691">
        <w:rPr>
          <w:sz w:val="36"/>
          <w:szCs w:val="36"/>
        </w:rPr>
        <w:t xml:space="preserve">September </w:t>
      </w:r>
      <w:r w:rsidR="00296458">
        <w:rPr>
          <w:sz w:val="36"/>
          <w:szCs w:val="36"/>
        </w:rPr>
        <w:t>10</w:t>
      </w:r>
      <w:r w:rsidR="0093562A">
        <w:rPr>
          <w:sz w:val="36"/>
          <w:szCs w:val="36"/>
        </w:rPr>
        <w:t>, 2024</w:t>
      </w:r>
      <w:bookmarkEnd w:id="19"/>
    </w:p>
    <w:p w14:paraId="06113994" w14:textId="48FD0E46" w:rsidR="000D54E7" w:rsidRPr="00152741" w:rsidRDefault="00C472BC" w:rsidP="000D54E7">
      <w:pPr>
        <w:tabs>
          <w:tab w:val="left" w:pos="7920"/>
        </w:tabs>
        <w:rPr>
          <w:szCs w:val="24"/>
        </w:rPr>
        <w:sectPr w:rsidR="000D54E7" w:rsidRPr="00152741" w:rsidSect="000D54E7">
          <w:footerReference w:type="default" r:id="rId8"/>
          <w:footerReference w:type="first" r:id="rId9"/>
          <w:pgSz w:w="12240" w:h="15840" w:code="1"/>
          <w:pgMar w:top="1440" w:right="1440" w:bottom="864" w:left="1440" w:header="720" w:footer="720" w:gutter="0"/>
          <w:pgNumType w:fmt="lowerRoman" w:start="1"/>
          <w:cols w:space="720"/>
          <w:titlePg/>
          <w:docGrid w:linePitch="326"/>
        </w:sectPr>
      </w:pPr>
      <w:r w:rsidRPr="00152741">
        <w:tab/>
      </w:r>
    </w:p>
    <w:bookmarkStart w:id="20" w:name="_Toc3983553" w:displacedByCustomXml="next"/>
    <w:bookmarkStart w:id="21" w:name="_Toc164262839" w:displacedByCustomXml="next"/>
    <w:sdt>
      <w:sdtPr>
        <w:rPr>
          <w:b w:val="0"/>
          <w:noProof/>
        </w:rPr>
        <w:id w:val="-299999701"/>
        <w:docPartObj>
          <w:docPartGallery w:val="Table of Contents"/>
          <w:docPartUnique/>
        </w:docPartObj>
      </w:sdtPr>
      <w:sdtEndPr>
        <w:rPr>
          <w:bCs w:val="0"/>
        </w:rPr>
      </w:sdtEndPr>
      <w:sdtContent>
        <w:p w14:paraId="44051B4E" w14:textId="77777777" w:rsidR="00F3332F" w:rsidRDefault="000D54E7" w:rsidP="00F9659F">
          <w:pPr>
            <w:pStyle w:val="Heading2"/>
            <w:numPr>
              <w:ilvl w:val="0"/>
              <w:numId w:val="0"/>
            </w:numPr>
            <w:spacing w:after="240"/>
            <w:ind w:left="900"/>
            <w:jc w:val="center"/>
            <w:rPr>
              <w:noProof/>
            </w:rPr>
          </w:pPr>
          <w:r w:rsidRPr="00F9659F">
            <w:rPr>
              <w:bCs w:val="0"/>
              <w:sz w:val="28"/>
              <w:szCs w:val="28"/>
            </w:rPr>
            <w:t>Table of Contents</w:t>
          </w:r>
          <w:bookmarkEnd w:id="21"/>
          <w:bookmarkEnd w:id="20"/>
          <w:r w:rsidRPr="00152741">
            <w:fldChar w:fldCharType="begin"/>
          </w:r>
          <w:r w:rsidRPr="00152741">
            <w:instrText xml:space="preserve"> TOC \o "1-3" \h \z \u </w:instrText>
          </w:r>
          <w:r w:rsidRPr="00152741">
            <w:fldChar w:fldCharType="separate"/>
          </w:r>
        </w:p>
        <w:p w14:paraId="12F55BA7" w14:textId="6E9847FE" w:rsidR="00F3332F" w:rsidRPr="000E572E" w:rsidRDefault="008277F4">
          <w:pPr>
            <w:pStyle w:val="TOC1"/>
            <w:rPr>
              <w:rFonts w:asciiTheme="minorHAnsi" w:eastAsiaTheme="minorEastAsia" w:hAnsiTheme="minorHAnsi" w:cstheme="minorBidi"/>
              <w:b w:val="0"/>
              <w:bCs w:val="0"/>
              <w:noProof/>
              <w:kern w:val="2"/>
              <w:szCs w:val="24"/>
            </w:rPr>
          </w:pPr>
          <w:hyperlink w:anchor="_Toc164262838" w:history="1">
            <w:r w:rsidR="00F3332F" w:rsidRPr="00F94E71">
              <w:rPr>
                <w:rStyle w:val="Hyperlink"/>
                <w:noProof/>
              </w:rPr>
              <w:t>American Indian Education Center Request for Applications</w:t>
            </w:r>
            <w:r w:rsidR="00F3332F">
              <w:rPr>
                <w:noProof/>
                <w:webHidden/>
              </w:rPr>
              <w:tab/>
            </w:r>
            <w:r w:rsidR="00F3332F">
              <w:rPr>
                <w:noProof/>
                <w:webHidden/>
              </w:rPr>
              <w:fldChar w:fldCharType="begin"/>
            </w:r>
            <w:r w:rsidR="00F3332F">
              <w:rPr>
                <w:noProof/>
                <w:webHidden/>
              </w:rPr>
              <w:instrText xml:space="preserve"> PAGEREF _Toc164262838 \h </w:instrText>
            </w:r>
            <w:r w:rsidR="00F3332F">
              <w:rPr>
                <w:noProof/>
                <w:webHidden/>
              </w:rPr>
            </w:r>
            <w:r w:rsidR="00F3332F">
              <w:rPr>
                <w:noProof/>
                <w:webHidden/>
              </w:rPr>
              <w:fldChar w:fldCharType="separate"/>
            </w:r>
            <w:r w:rsidR="0056527E">
              <w:rPr>
                <w:noProof/>
                <w:webHidden/>
              </w:rPr>
              <w:t>i</w:t>
            </w:r>
            <w:r w:rsidR="00F3332F">
              <w:rPr>
                <w:noProof/>
                <w:webHidden/>
              </w:rPr>
              <w:fldChar w:fldCharType="end"/>
            </w:r>
          </w:hyperlink>
        </w:p>
        <w:p w14:paraId="69C9C0C0" w14:textId="077D6163" w:rsidR="00F3332F" w:rsidRPr="000E572E" w:rsidRDefault="008277F4">
          <w:pPr>
            <w:pStyle w:val="TOC2"/>
            <w:rPr>
              <w:rFonts w:asciiTheme="minorHAnsi" w:eastAsiaTheme="minorEastAsia" w:hAnsiTheme="minorHAnsi" w:cstheme="minorBidi"/>
              <w:bCs w:val="0"/>
              <w:kern w:val="2"/>
              <w:szCs w:val="24"/>
            </w:rPr>
          </w:pPr>
          <w:hyperlink w:anchor="_Toc164262839" w:history="1">
            <w:r w:rsidR="00F3332F" w:rsidRPr="00F94E71">
              <w:rPr>
                <w:rStyle w:val="Hyperlink"/>
              </w:rPr>
              <w:t>Table of Contents</w:t>
            </w:r>
            <w:r w:rsidR="00F3332F">
              <w:rPr>
                <w:webHidden/>
              </w:rPr>
              <w:tab/>
            </w:r>
            <w:r w:rsidR="00F3332F">
              <w:rPr>
                <w:webHidden/>
              </w:rPr>
              <w:fldChar w:fldCharType="begin"/>
            </w:r>
            <w:r w:rsidR="00F3332F">
              <w:rPr>
                <w:webHidden/>
              </w:rPr>
              <w:instrText xml:space="preserve"> PAGEREF _Toc164262839 \h </w:instrText>
            </w:r>
            <w:r w:rsidR="00F3332F">
              <w:rPr>
                <w:webHidden/>
              </w:rPr>
            </w:r>
            <w:r w:rsidR="00F3332F">
              <w:rPr>
                <w:webHidden/>
              </w:rPr>
              <w:fldChar w:fldCharType="separate"/>
            </w:r>
            <w:r w:rsidR="0056527E">
              <w:rPr>
                <w:webHidden/>
              </w:rPr>
              <w:t>i</w:t>
            </w:r>
            <w:r w:rsidR="00F3332F">
              <w:rPr>
                <w:webHidden/>
              </w:rPr>
              <w:fldChar w:fldCharType="end"/>
            </w:r>
          </w:hyperlink>
        </w:p>
        <w:p w14:paraId="7BF47098" w14:textId="5D9956AB" w:rsidR="00F3332F" w:rsidRPr="000E572E" w:rsidRDefault="008277F4">
          <w:pPr>
            <w:pStyle w:val="TOC2"/>
            <w:rPr>
              <w:rFonts w:asciiTheme="minorHAnsi" w:eastAsiaTheme="minorEastAsia" w:hAnsiTheme="minorHAnsi" w:cstheme="minorBidi"/>
              <w:bCs w:val="0"/>
              <w:kern w:val="2"/>
              <w:szCs w:val="24"/>
            </w:rPr>
          </w:pPr>
          <w:hyperlink w:anchor="_Toc164262840" w:history="1">
            <w:r w:rsidR="00F3332F" w:rsidRPr="00F94E71">
              <w:rPr>
                <w:rStyle w:val="Hyperlink"/>
              </w:rPr>
              <w:t>I.</w:t>
            </w:r>
            <w:r w:rsidR="00F3332F" w:rsidRPr="000E572E">
              <w:rPr>
                <w:rFonts w:asciiTheme="minorHAnsi" w:eastAsiaTheme="minorEastAsia" w:hAnsiTheme="minorHAnsi" w:cstheme="minorBidi"/>
                <w:bCs w:val="0"/>
                <w:kern w:val="2"/>
                <w:szCs w:val="24"/>
              </w:rPr>
              <w:tab/>
            </w:r>
            <w:r w:rsidR="00F3332F" w:rsidRPr="00F94E71">
              <w:rPr>
                <w:rStyle w:val="Hyperlink"/>
              </w:rPr>
              <w:t>INTRODUCTION</w:t>
            </w:r>
            <w:r w:rsidR="00F3332F">
              <w:rPr>
                <w:webHidden/>
              </w:rPr>
              <w:tab/>
            </w:r>
            <w:r w:rsidR="00F3332F">
              <w:rPr>
                <w:webHidden/>
              </w:rPr>
              <w:fldChar w:fldCharType="begin"/>
            </w:r>
            <w:r w:rsidR="00F3332F">
              <w:rPr>
                <w:webHidden/>
              </w:rPr>
              <w:instrText xml:space="preserve"> PAGEREF _Toc164262840 \h </w:instrText>
            </w:r>
            <w:r w:rsidR="00F3332F">
              <w:rPr>
                <w:webHidden/>
              </w:rPr>
            </w:r>
            <w:r w:rsidR="00F3332F">
              <w:rPr>
                <w:webHidden/>
              </w:rPr>
              <w:fldChar w:fldCharType="separate"/>
            </w:r>
            <w:r w:rsidR="0056527E">
              <w:rPr>
                <w:webHidden/>
              </w:rPr>
              <w:t>1</w:t>
            </w:r>
            <w:r w:rsidR="00F3332F">
              <w:rPr>
                <w:webHidden/>
              </w:rPr>
              <w:fldChar w:fldCharType="end"/>
            </w:r>
          </w:hyperlink>
        </w:p>
        <w:p w14:paraId="6B90782B" w14:textId="0A0FA986" w:rsidR="00F3332F" w:rsidRPr="000E572E" w:rsidRDefault="008277F4">
          <w:pPr>
            <w:pStyle w:val="TOC3"/>
            <w:rPr>
              <w:rFonts w:asciiTheme="minorHAnsi" w:eastAsiaTheme="minorEastAsia" w:hAnsiTheme="minorHAnsi" w:cstheme="minorBidi"/>
              <w:bCs w:val="0"/>
              <w:kern w:val="2"/>
              <w:szCs w:val="24"/>
            </w:rPr>
          </w:pPr>
          <w:hyperlink w:anchor="_Toc164262841" w:history="1">
            <w:r w:rsidR="00F3332F" w:rsidRPr="00F94E71">
              <w:rPr>
                <w:rStyle w:val="Hyperlink"/>
              </w:rPr>
              <w:t>A.</w:t>
            </w:r>
            <w:r w:rsidR="00F3332F" w:rsidRPr="000E572E">
              <w:rPr>
                <w:rFonts w:asciiTheme="minorHAnsi" w:eastAsiaTheme="minorEastAsia" w:hAnsiTheme="minorHAnsi" w:cstheme="minorBidi"/>
                <w:bCs w:val="0"/>
                <w:kern w:val="2"/>
                <w:szCs w:val="24"/>
              </w:rPr>
              <w:tab/>
            </w:r>
            <w:r w:rsidR="00F3332F" w:rsidRPr="00F94E71">
              <w:rPr>
                <w:rStyle w:val="Hyperlink"/>
              </w:rPr>
              <w:t>Purpose</w:t>
            </w:r>
            <w:r w:rsidR="00F3332F">
              <w:rPr>
                <w:webHidden/>
              </w:rPr>
              <w:tab/>
            </w:r>
            <w:r w:rsidR="00F3332F">
              <w:rPr>
                <w:webHidden/>
              </w:rPr>
              <w:fldChar w:fldCharType="begin"/>
            </w:r>
            <w:r w:rsidR="00F3332F">
              <w:rPr>
                <w:webHidden/>
              </w:rPr>
              <w:instrText xml:space="preserve"> PAGEREF _Toc164262841 \h </w:instrText>
            </w:r>
            <w:r w:rsidR="00F3332F">
              <w:rPr>
                <w:webHidden/>
              </w:rPr>
            </w:r>
            <w:r w:rsidR="00F3332F">
              <w:rPr>
                <w:webHidden/>
              </w:rPr>
              <w:fldChar w:fldCharType="separate"/>
            </w:r>
            <w:r w:rsidR="0056527E">
              <w:rPr>
                <w:webHidden/>
              </w:rPr>
              <w:t>1</w:t>
            </w:r>
            <w:r w:rsidR="00F3332F">
              <w:rPr>
                <w:webHidden/>
              </w:rPr>
              <w:fldChar w:fldCharType="end"/>
            </w:r>
          </w:hyperlink>
        </w:p>
        <w:p w14:paraId="205EFAB1" w14:textId="63F24437" w:rsidR="00F3332F" w:rsidRPr="000E572E" w:rsidRDefault="008277F4">
          <w:pPr>
            <w:pStyle w:val="TOC3"/>
            <w:rPr>
              <w:rFonts w:asciiTheme="minorHAnsi" w:eastAsiaTheme="minorEastAsia" w:hAnsiTheme="minorHAnsi" w:cstheme="minorBidi"/>
              <w:bCs w:val="0"/>
              <w:kern w:val="2"/>
              <w:szCs w:val="24"/>
            </w:rPr>
          </w:pPr>
          <w:hyperlink w:anchor="_Toc164262842" w:history="1">
            <w:r w:rsidR="00F3332F" w:rsidRPr="00F94E71">
              <w:rPr>
                <w:rStyle w:val="Hyperlink"/>
              </w:rPr>
              <w:t>B.</w:t>
            </w:r>
            <w:r w:rsidR="00F3332F" w:rsidRPr="000E572E">
              <w:rPr>
                <w:rFonts w:asciiTheme="minorHAnsi" w:eastAsiaTheme="minorEastAsia" w:hAnsiTheme="minorHAnsi" w:cstheme="minorBidi"/>
                <w:bCs w:val="0"/>
                <w:kern w:val="2"/>
                <w:szCs w:val="24"/>
              </w:rPr>
              <w:tab/>
            </w:r>
            <w:r w:rsidR="00F3332F" w:rsidRPr="00F94E71">
              <w:rPr>
                <w:rStyle w:val="Hyperlink"/>
              </w:rPr>
              <w:t>Background</w:t>
            </w:r>
            <w:r w:rsidR="00F3332F">
              <w:rPr>
                <w:webHidden/>
              </w:rPr>
              <w:tab/>
            </w:r>
            <w:r w:rsidR="00F3332F">
              <w:rPr>
                <w:webHidden/>
              </w:rPr>
              <w:fldChar w:fldCharType="begin"/>
            </w:r>
            <w:r w:rsidR="00F3332F">
              <w:rPr>
                <w:webHidden/>
              </w:rPr>
              <w:instrText xml:space="preserve"> PAGEREF _Toc164262842 \h </w:instrText>
            </w:r>
            <w:r w:rsidR="00F3332F">
              <w:rPr>
                <w:webHidden/>
              </w:rPr>
            </w:r>
            <w:r w:rsidR="00F3332F">
              <w:rPr>
                <w:webHidden/>
              </w:rPr>
              <w:fldChar w:fldCharType="separate"/>
            </w:r>
            <w:r w:rsidR="0056527E">
              <w:rPr>
                <w:webHidden/>
              </w:rPr>
              <w:t>2</w:t>
            </w:r>
            <w:r w:rsidR="00F3332F">
              <w:rPr>
                <w:webHidden/>
              </w:rPr>
              <w:fldChar w:fldCharType="end"/>
            </w:r>
          </w:hyperlink>
        </w:p>
        <w:p w14:paraId="76C40F85" w14:textId="2631F760" w:rsidR="00F3332F" w:rsidRPr="000E572E" w:rsidRDefault="008277F4">
          <w:pPr>
            <w:pStyle w:val="TOC3"/>
            <w:rPr>
              <w:rFonts w:asciiTheme="minorHAnsi" w:eastAsiaTheme="minorEastAsia" w:hAnsiTheme="minorHAnsi" w:cstheme="minorBidi"/>
              <w:bCs w:val="0"/>
              <w:kern w:val="2"/>
              <w:szCs w:val="24"/>
            </w:rPr>
          </w:pPr>
          <w:hyperlink w:anchor="_Toc164262843" w:history="1">
            <w:r w:rsidR="00F3332F" w:rsidRPr="00F94E71">
              <w:rPr>
                <w:rStyle w:val="Hyperlink"/>
              </w:rPr>
              <w:t>C.</w:t>
            </w:r>
            <w:r w:rsidR="00F3332F" w:rsidRPr="000E572E">
              <w:rPr>
                <w:rFonts w:asciiTheme="minorHAnsi" w:eastAsiaTheme="minorEastAsia" w:hAnsiTheme="minorHAnsi" w:cstheme="minorBidi"/>
                <w:bCs w:val="0"/>
                <w:kern w:val="2"/>
                <w:szCs w:val="24"/>
              </w:rPr>
              <w:tab/>
            </w:r>
            <w:r w:rsidR="00F3332F" w:rsidRPr="00F94E71">
              <w:rPr>
                <w:rStyle w:val="Hyperlink"/>
              </w:rPr>
              <w:t>Eligibility Requirements</w:t>
            </w:r>
            <w:r w:rsidR="00F3332F">
              <w:rPr>
                <w:webHidden/>
              </w:rPr>
              <w:tab/>
            </w:r>
            <w:r w:rsidR="00F3332F">
              <w:rPr>
                <w:webHidden/>
              </w:rPr>
              <w:fldChar w:fldCharType="begin"/>
            </w:r>
            <w:r w:rsidR="00F3332F">
              <w:rPr>
                <w:webHidden/>
              </w:rPr>
              <w:instrText xml:space="preserve"> PAGEREF _Toc164262843 \h </w:instrText>
            </w:r>
            <w:r w:rsidR="00F3332F">
              <w:rPr>
                <w:webHidden/>
              </w:rPr>
            </w:r>
            <w:r w:rsidR="00F3332F">
              <w:rPr>
                <w:webHidden/>
              </w:rPr>
              <w:fldChar w:fldCharType="separate"/>
            </w:r>
            <w:r w:rsidR="0056527E">
              <w:rPr>
                <w:webHidden/>
              </w:rPr>
              <w:t>2</w:t>
            </w:r>
            <w:r w:rsidR="00F3332F">
              <w:rPr>
                <w:webHidden/>
              </w:rPr>
              <w:fldChar w:fldCharType="end"/>
            </w:r>
          </w:hyperlink>
        </w:p>
        <w:p w14:paraId="5A945C7F" w14:textId="24F8E248" w:rsidR="00F3332F" w:rsidRPr="000E572E" w:rsidRDefault="008277F4">
          <w:pPr>
            <w:pStyle w:val="TOC3"/>
            <w:rPr>
              <w:rFonts w:asciiTheme="minorHAnsi" w:eastAsiaTheme="minorEastAsia" w:hAnsiTheme="minorHAnsi" w:cstheme="minorBidi"/>
              <w:bCs w:val="0"/>
              <w:kern w:val="2"/>
              <w:szCs w:val="24"/>
            </w:rPr>
          </w:pPr>
          <w:hyperlink w:anchor="_Toc164262844" w:history="1">
            <w:r w:rsidR="00F3332F" w:rsidRPr="00F94E71">
              <w:rPr>
                <w:rStyle w:val="Hyperlink"/>
              </w:rPr>
              <w:t>D.</w:t>
            </w:r>
            <w:r w:rsidR="00F3332F" w:rsidRPr="000E572E">
              <w:rPr>
                <w:rFonts w:asciiTheme="minorHAnsi" w:eastAsiaTheme="minorEastAsia" w:hAnsiTheme="minorHAnsi" w:cstheme="minorBidi"/>
                <w:bCs w:val="0"/>
                <w:kern w:val="2"/>
                <w:szCs w:val="24"/>
              </w:rPr>
              <w:tab/>
            </w:r>
            <w:r w:rsidR="00F3332F" w:rsidRPr="00F94E71">
              <w:rPr>
                <w:rStyle w:val="Hyperlink"/>
              </w:rPr>
              <w:t>Grant Award Amounts</w:t>
            </w:r>
            <w:r w:rsidR="00F3332F">
              <w:rPr>
                <w:webHidden/>
              </w:rPr>
              <w:tab/>
            </w:r>
            <w:r w:rsidR="00F3332F">
              <w:rPr>
                <w:webHidden/>
              </w:rPr>
              <w:fldChar w:fldCharType="begin"/>
            </w:r>
            <w:r w:rsidR="00F3332F">
              <w:rPr>
                <w:webHidden/>
              </w:rPr>
              <w:instrText xml:space="preserve"> PAGEREF _Toc164262844 \h </w:instrText>
            </w:r>
            <w:r w:rsidR="00F3332F">
              <w:rPr>
                <w:webHidden/>
              </w:rPr>
            </w:r>
            <w:r w:rsidR="00F3332F">
              <w:rPr>
                <w:webHidden/>
              </w:rPr>
              <w:fldChar w:fldCharType="separate"/>
            </w:r>
            <w:r w:rsidR="0056527E">
              <w:rPr>
                <w:webHidden/>
              </w:rPr>
              <w:t>2</w:t>
            </w:r>
            <w:r w:rsidR="00F3332F">
              <w:rPr>
                <w:webHidden/>
              </w:rPr>
              <w:fldChar w:fldCharType="end"/>
            </w:r>
          </w:hyperlink>
        </w:p>
        <w:p w14:paraId="08AD65A8" w14:textId="545969B2" w:rsidR="00F3332F" w:rsidRPr="000E572E" w:rsidRDefault="008277F4">
          <w:pPr>
            <w:pStyle w:val="TOC3"/>
            <w:rPr>
              <w:rFonts w:asciiTheme="minorHAnsi" w:eastAsiaTheme="minorEastAsia" w:hAnsiTheme="minorHAnsi" w:cstheme="minorBidi"/>
              <w:bCs w:val="0"/>
              <w:kern w:val="2"/>
              <w:szCs w:val="24"/>
            </w:rPr>
          </w:pPr>
          <w:hyperlink w:anchor="_Toc164262845" w:history="1">
            <w:r w:rsidR="00F3332F" w:rsidRPr="00F94E71">
              <w:rPr>
                <w:rStyle w:val="Hyperlink"/>
              </w:rPr>
              <w:t>E.</w:t>
            </w:r>
            <w:r w:rsidR="00F3332F" w:rsidRPr="000E572E">
              <w:rPr>
                <w:rFonts w:asciiTheme="minorHAnsi" w:eastAsiaTheme="minorEastAsia" w:hAnsiTheme="minorHAnsi" w:cstheme="minorBidi"/>
                <w:bCs w:val="0"/>
                <w:kern w:val="2"/>
                <w:szCs w:val="24"/>
              </w:rPr>
              <w:tab/>
            </w:r>
            <w:r w:rsidR="00F3332F" w:rsidRPr="00F94E71">
              <w:rPr>
                <w:rStyle w:val="Hyperlink"/>
              </w:rPr>
              <w:t>Grant Funding Period</w:t>
            </w:r>
            <w:r w:rsidR="00F3332F">
              <w:rPr>
                <w:webHidden/>
              </w:rPr>
              <w:tab/>
            </w:r>
            <w:r w:rsidR="00F3332F">
              <w:rPr>
                <w:webHidden/>
              </w:rPr>
              <w:fldChar w:fldCharType="begin"/>
            </w:r>
            <w:r w:rsidR="00F3332F">
              <w:rPr>
                <w:webHidden/>
              </w:rPr>
              <w:instrText xml:space="preserve"> PAGEREF _Toc164262845 \h </w:instrText>
            </w:r>
            <w:r w:rsidR="00F3332F">
              <w:rPr>
                <w:webHidden/>
              </w:rPr>
            </w:r>
            <w:r w:rsidR="00F3332F">
              <w:rPr>
                <w:webHidden/>
              </w:rPr>
              <w:fldChar w:fldCharType="separate"/>
            </w:r>
            <w:r w:rsidR="0056527E">
              <w:rPr>
                <w:webHidden/>
              </w:rPr>
              <w:t>3</w:t>
            </w:r>
            <w:r w:rsidR="00F3332F">
              <w:rPr>
                <w:webHidden/>
              </w:rPr>
              <w:fldChar w:fldCharType="end"/>
            </w:r>
          </w:hyperlink>
        </w:p>
        <w:p w14:paraId="7F21989F" w14:textId="691B50EA" w:rsidR="00F3332F" w:rsidRPr="000E572E" w:rsidRDefault="008277F4">
          <w:pPr>
            <w:pStyle w:val="TOC3"/>
            <w:rPr>
              <w:rFonts w:asciiTheme="minorHAnsi" w:eastAsiaTheme="minorEastAsia" w:hAnsiTheme="minorHAnsi" w:cstheme="minorBidi"/>
              <w:bCs w:val="0"/>
              <w:kern w:val="2"/>
              <w:szCs w:val="24"/>
            </w:rPr>
          </w:pPr>
          <w:hyperlink w:anchor="_Toc164262846" w:history="1">
            <w:r w:rsidR="00F3332F" w:rsidRPr="00F94E71">
              <w:rPr>
                <w:rStyle w:val="Hyperlink"/>
              </w:rPr>
              <w:t>F.</w:t>
            </w:r>
            <w:r w:rsidR="00F3332F" w:rsidRPr="000E572E">
              <w:rPr>
                <w:rFonts w:asciiTheme="minorHAnsi" w:eastAsiaTheme="minorEastAsia" w:hAnsiTheme="minorHAnsi" w:cstheme="minorBidi"/>
                <w:bCs w:val="0"/>
                <w:kern w:val="2"/>
                <w:szCs w:val="24"/>
              </w:rPr>
              <w:tab/>
            </w:r>
            <w:r w:rsidR="00F3332F" w:rsidRPr="00F94E71">
              <w:rPr>
                <w:rStyle w:val="Hyperlink"/>
              </w:rPr>
              <w:t>Good Standing</w:t>
            </w:r>
            <w:r w:rsidR="00F3332F">
              <w:rPr>
                <w:webHidden/>
              </w:rPr>
              <w:tab/>
            </w:r>
            <w:r w:rsidR="00F3332F">
              <w:rPr>
                <w:webHidden/>
              </w:rPr>
              <w:fldChar w:fldCharType="begin"/>
            </w:r>
            <w:r w:rsidR="00F3332F">
              <w:rPr>
                <w:webHidden/>
              </w:rPr>
              <w:instrText xml:space="preserve"> PAGEREF _Toc164262846 \h </w:instrText>
            </w:r>
            <w:r w:rsidR="00F3332F">
              <w:rPr>
                <w:webHidden/>
              </w:rPr>
            </w:r>
            <w:r w:rsidR="00F3332F">
              <w:rPr>
                <w:webHidden/>
              </w:rPr>
              <w:fldChar w:fldCharType="separate"/>
            </w:r>
            <w:r w:rsidR="0056527E">
              <w:rPr>
                <w:webHidden/>
              </w:rPr>
              <w:t>3</w:t>
            </w:r>
            <w:r w:rsidR="00F3332F">
              <w:rPr>
                <w:webHidden/>
              </w:rPr>
              <w:fldChar w:fldCharType="end"/>
            </w:r>
          </w:hyperlink>
        </w:p>
        <w:p w14:paraId="46E90D9D" w14:textId="7B5CCB46" w:rsidR="00F3332F" w:rsidRPr="000E572E" w:rsidRDefault="008277F4">
          <w:pPr>
            <w:pStyle w:val="TOC3"/>
            <w:rPr>
              <w:rFonts w:asciiTheme="minorHAnsi" w:eastAsiaTheme="minorEastAsia" w:hAnsiTheme="minorHAnsi" w:cstheme="minorBidi"/>
              <w:bCs w:val="0"/>
              <w:kern w:val="2"/>
              <w:szCs w:val="24"/>
            </w:rPr>
          </w:pPr>
          <w:hyperlink w:anchor="_Toc164262847" w:history="1">
            <w:r w:rsidR="00F3332F" w:rsidRPr="00F94E71">
              <w:rPr>
                <w:rStyle w:val="Hyperlink"/>
              </w:rPr>
              <w:t>G.</w:t>
            </w:r>
            <w:r w:rsidR="00F3332F" w:rsidRPr="000E572E">
              <w:rPr>
                <w:rFonts w:asciiTheme="minorHAnsi" w:eastAsiaTheme="minorEastAsia" w:hAnsiTheme="minorHAnsi" w:cstheme="minorBidi"/>
                <w:bCs w:val="0"/>
                <w:kern w:val="2"/>
                <w:szCs w:val="24"/>
              </w:rPr>
              <w:tab/>
            </w:r>
            <w:r w:rsidR="00F3332F" w:rsidRPr="00F94E71">
              <w:rPr>
                <w:rStyle w:val="Hyperlink"/>
              </w:rPr>
              <w:t>Application Review Process</w:t>
            </w:r>
            <w:r w:rsidR="00F3332F">
              <w:rPr>
                <w:webHidden/>
              </w:rPr>
              <w:tab/>
            </w:r>
            <w:r w:rsidR="00F3332F">
              <w:rPr>
                <w:webHidden/>
              </w:rPr>
              <w:fldChar w:fldCharType="begin"/>
            </w:r>
            <w:r w:rsidR="00F3332F">
              <w:rPr>
                <w:webHidden/>
              </w:rPr>
              <w:instrText xml:space="preserve"> PAGEREF _Toc164262847 \h </w:instrText>
            </w:r>
            <w:r w:rsidR="00F3332F">
              <w:rPr>
                <w:webHidden/>
              </w:rPr>
            </w:r>
            <w:r w:rsidR="00F3332F">
              <w:rPr>
                <w:webHidden/>
              </w:rPr>
              <w:fldChar w:fldCharType="separate"/>
            </w:r>
            <w:r w:rsidR="0056527E">
              <w:rPr>
                <w:webHidden/>
              </w:rPr>
              <w:t>3</w:t>
            </w:r>
            <w:r w:rsidR="00F3332F">
              <w:rPr>
                <w:webHidden/>
              </w:rPr>
              <w:fldChar w:fldCharType="end"/>
            </w:r>
          </w:hyperlink>
        </w:p>
        <w:p w14:paraId="75BC11A1" w14:textId="404C77BD" w:rsidR="00F3332F" w:rsidRPr="000E572E" w:rsidRDefault="008277F4">
          <w:pPr>
            <w:pStyle w:val="TOC3"/>
            <w:rPr>
              <w:rFonts w:asciiTheme="minorHAnsi" w:eastAsiaTheme="minorEastAsia" w:hAnsiTheme="minorHAnsi" w:cstheme="minorBidi"/>
              <w:bCs w:val="0"/>
              <w:kern w:val="2"/>
              <w:szCs w:val="24"/>
            </w:rPr>
          </w:pPr>
          <w:hyperlink w:anchor="_Toc164262848" w:history="1">
            <w:r w:rsidR="00F3332F" w:rsidRPr="00F94E71">
              <w:rPr>
                <w:rStyle w:val="Hyperlink"/>
              </w:rPr>
              <w:t>I.</w:t>
            </w:r>
            <w:r w:rsidR="00F3332F" w:rsidRPr="000E572E">
              <w:rPr>
                <w:rFonts w:asciiTheme="minorHAnsi" w:eastAsiaTheme="minorEastAsia" w:hAnsiTheme="minorHAnsi" w:cstheme="minorBidi"/>
                <w:bCs w:val="0"/>
                <w:kern w:val="2"/>
                <w:szCs w:val="24"/>
              </w:rPr>
              <w:tab/>
            </w:r>
            <w:r w:rsidR="00F3332F" w:rsidRPr="00F94E71">
              <w:rPr>
                <w:rStyle w:val="Hyperlink"/>
              </w:rPr>
              <w:t>Grant Funding Procedures</w:t>
            </w:r>
            <w:r w:rsidR="00F3332F">
              <w:rPr>
                <w:webHidden/>
              </w:rPr>
              <w:tab/>
            </w:r>
            <w:r w:rsidR="00F3332F">
              <w:rPr>
                <w:webHidden/>
              </w:rPr>
              <w:fldChar w:fldCharType="begin"/>
            </w:r>
            <w:r w:rsidR="00F3332F">
              <w:rPr>
                <w:webHidden/>
              </w:rPr>
              <w:instrText xml:space="preserve"> PAGEREF _Toc164262848 \h </w:instrText>
            </w:r>
            <w:r w:rsidR="00F3332F">
              <w:rPr>
                <w:webHidden/>
              </w:rPr>
            </w:r>
            <w:r w:rsidR="00F3332F">
              <w:rPr>
                <w:webHidden/>
              </w:rPr>
              <w:fldChar w:fldCharType="separate"/>
            </w:r>
            <w:r w:rsidR="0056527E">
              <w:rPr>
                <w:webHidden/>
              </w:rPr>
              <w:t>5</w:t>
            </w:r>
            <w:r w:rsidR="00F3332F">
              <w:rPr>
                <w:webHidden/>
              </w:rPr>
              <w:fldChar w:fldCharType="end"/>
            </w:r>
          </w:hyperlink>
        </w:p>
        <w:p w14:paraId="4AFD4646" w14:textId="4EE606A5" w:rsidR="00F3332F" w:rsidRPr="000E572E" w:rsidRDefault="008277F4">
          <w:pPr>
            <w:pStyle w:val="TOC3"/>
            <w:rPr>
              <w:rFonts w:asciiTheme="minorHAnsi" w:eastAsiaTheme="minorEastAsia" w:hAnsiTheme="minorHAnsi" w:cstheme="minorBidi"/>
              <w:bCs w:val="0"/>
              <w:kern w:val="2"/>
              <w:szCs w:val="24"/>
            </w:rPr>
          </w:pPr>
          <w:hyperlink w:anchor="_Toc164262849" w:history="1">
            <w:r w:rsidR="00F3332F" w:rsidRPr="00F94E71">
              <w:rPr>
                <w:rStyle w:val="Hyperlink"/>
              </w:rPr>
              <w:t>J.</w:t>
            </w:r>
            <w:r w:rsidR="00F3332F" w:rsidRPr="000E572E">
              <w:rPr>
                <w:rFonts w:asciiTheme="minorHAnsi" w:eastAsiaTheme="minorEastAsia" w:hAnsiTheme="minorHAnsi" w:cstheme="minorBidi"/>
                <w:bCs w:val="0"/>
                <w:kern w:val="2"/>
                <w:szCs w:val="24"/>
              </w:rPr>
              <w:tab/>
            </w:r>
            <w:r w:rsidR="00F3332F" w:rsidRPr="00F94E71">
              <w:rPr>
                <w:rStyle w:val="Hyperlink"/>
              </w:rPr>
              <w:t>Formatting and Submission Requirements</w:t>
            </w:r>
            <w:r w:rsidR="00F3332F">
              <w:rPr>
                <w:webHidden/>
              </w:rPr>
              <w:tab/>
            </w:r>
            <w:r w:rsidR="00F3332F">
              <w:rPr>
                <w:webHidden/>
              </w:rPr>
              <w:fldChar w:fldCharType="begin"/>
            </w:r>
            <w:r w:rsidR="00F3332F">
              <w:rPr>
                <w:webHidden/>
              </w:rPr>
              <w:instrText xml:space="preserve"> PAGEREF _Toc164262849 \h </w:instrText>
            </w:r>
            <w:r w:rsidR="00F3332F">
              <w:rPr>
                <w:webHidden/>
              </w:rPr>
            </w:r>
            <w:r w:rsidR="00F3332F">
              <w:rPr>
                <w:webHidden/>
              </w:rPr>
              <w:fldChar w:fldCharType="separate"/>
            </w:r>
            <w:r w:rsidR="0056527E">
              <w:rPr>
                <w:webHidden/>
              </w:rPr>
              <w:t>5</w:t>
            </w:r>
            <w:r w:rsidR="00F3332F">
              <w:rPr>
                <w:webHidden/>
              </w:rPr>
              <w:fldChar w:fldCharType="end"/>
            </w:r>
          </w:hyperlink>
        </w:p>
        <w:p w14:paraId="717DBDC6" w14:textId="4BFC3832" w:rsidR="00F3332F" w:rsidRPr="000E572E" w:rsidRDefault="008277F4">
          <w:pPr>
            <w:pStyle w:val="TOC3"/>
            <w:rPr>
              <w:rFonts w:asciiTheme="minorHAnsi" w:eastAsiaTheme="minorEastAsia" w:hAnsiTheme="minorHAnsi" w:cstheme="minorBidi"/>
              <w:bCs w:val="0"/>
              <w:kern w:val="2"/>
              <w:szCs w:val="24"/>
            </w:rPr>
          </w:pPr>
          <w:hyperlink w:anchor="_Toc164262850" w:history="1">
            <w:r w:rsidR="00F3332F" w:rsidRPr="00F94E71">
              <w:rPr>
                <w:rStyle w:val="Hyperlink"/>
              </w:rPr>
              <w:t>K.</w:t>
            </w:r>
            <w:r w:rsidR="00F3332F" w:rsidRPr="000E572E">
              <w:rPr>
                <w:rFonts w:asciiTheme="minorHAnsi" w:eastAsiaTheme="minorEastAsia" w:hAnsiTheme="minorHAnsi" w:cstheme="minorBidi"/>
                <w:bCs w:val="0"/>
                <w:kern w:val="2"/>
                <w:szCs w:val="24"/>
              </w:rPr>
              <w:tab/>
            </w:r>
            <w:r w:rsidR="00F3332F" w:rsidRPr="00F94E71">
              <w:rPr>
                <w:rStyle w:val="Hyperlink"/>
              </w:rPr>
              <w:t>Grant Amendments</w:t>
            </w:r>
            <w:r w:rsidR="00F3332F">
              <w:rPr>
                <w:webHidden/>
              </w:rPr>
              <w:tab/>
            </w:r>
            <w:r w:rsidR="00F3332F">
              <w:rPr>
                <w:webHidden/>
              </w:rPr>
              <w:fldChar w:fldCharType="begin"/>
            </w:r>
            <w:r w:rsidR="00F3332F">
              <w:rPr>
                <w:webHidden/>
              </w:rPr>
              <w:instrText xml:space="preserve"> PAGEREF _Toc164262850 \h </w:instrText>
            </w:r>
            <w:r w:rsidR="00F3332F">
              <w:rPr>
                <w:webHidden/>
              </w:rPr>
            </w:r>
            <w:r w:rsidR="00F3332F">
              <w:rPr>
                <w:webHidden/>
              </w:rPr>
              <w:fldChar w:fldCharType="separate"/>
            </w:r>
            <w:r w:rsidR="0056527E">
              <w:rPr>
                <w:webHidden/>
              </w:rPr>
              <w:t>7</w:t>
            </w:r>
            <w:r w:rsidR="00F3332F">
              <w:rPr>
                <w:webHidden/>
              </w:rPr>
              <w:fldChar w:fldCharType="end"/>
            </w:r>
          </w:hyperlink>
        </w:p>
        <w:p w14:paraId="7FE646AB" w14:textId="1F4AEC3B" w:rsidR="00F3332F" w:rsidRPr="000E572E" w:rsidRDefault="008277F4">
          <w:pPr>
            <w:pStyle w:val="TOC3"/>
            <w:rPr>
              <w:rFonts w:asciiTheme="minorHAnsi" w:eastAsiaTheme="minorEastAsia" w:hAnsiTheme="minorHAnsi" w:cstheme="minorBidi"/>
              <w:bCs w:val="0"/>
              <w:kern w:val="2"/>
              <w:szCs w:val="24"/>
            </w:rPr>
          </w:pPr>
          <w:hyperlink w:anchor="_Toc164262851" w:history="1">
            <w:r w:rsidR="00F3332F" w:rsidRPr="00F94E71">
              <w:rPr>
                <w:rStyle w:val="Hyperlink"/>
              </w:rPr>
              <w:t>L.</w:t>
            </w:r>
            <w:r w:rsidR="00F3332F" w:rsidRPr="000E572E">
              <w:rPr>
                <w:rFonts w:asciiTheme="minorHAnsi" w:eastAsiaTheme="minorEastAsia" w:hAnsiTheme="minorHAnsi" w:cstheme="minorBidi"/>
                <w:bCs w:val="0"/>
                <w:kern w:val="2"/>
                <w:szCs w:val="24"/>
              </w:rPr>
              <w:tab/>
            </w:r>
            <w:r w:rsidR="00F3332F" w:rsidRPr="00F94E71">
              <w:rPr>
                <w:rStyle w:val="Hyperlink"/>
              </w:rPr>
              <w:t>Grant Extension</w:t>
            </w:r>
            <w:r w:rsidR="00F3332F">
              <w:rPr>
                <w:webHidden/>
              </w:rPr>
              <w:tab/>
            </w:r>
            <w:r w:rsidR="00F3332F">
              <w:rPr>
                <w:webHidden/>
              </w:rPr>
              <w:fldChar w:fldCharType="begin"/>
            </w:r>
            <w:r w:rsidR="00F3332F">
              <w:rPr>
                <w:webHidden/>
              </w:rPr>
              <w:instrText xml:space="preserve"> PAGEREF _Toc164262851 \h </w:instrText>
            </w:r>
            <w:r w:rsidR="00F3332F">
              <w:rPr>
                <w:webHidden/>
              </w:rPr>
            </w:r>
            <w:r w:rsidR="00F3332F">
              <w:rPr>
                <w:webHidden/>
              </w:rPr>
              <w:fldChar w:fldCharType="separate"/>
            </w:r>
            <w:r w:rsidR="0056527E">
              <w:rPr>
                <w:webHidden/>
              </w:rPr>
              <w:t>7</w:t>
            </w:r>
            <w:r w:rsidR="00F3332F">
              <w:rPr>
                <w:webHidden/>
              </w:rPr>
              <w:fldChar w:fldCharType="end"/>
            </w:r>
          </w:hyperlink>
        </w:p>
        <w:p w14:paraId="40320422" w14:textId="1FAFCF37" w:rsidR="00F3332F" w:rsidRPr="000E572E" w:rsidRDefault="008277F4">
          <w:pPr>
            <w:pStyle w:val="TOC2"/>
            <w:rPr>
              <w:rFonts w:asciiTheme="minorHAnsi" w:eastAsiaTheme="minorEastAsia" w:hAnsiTheme="minorHAnsi" w:cstheme="minorBidi"/>
              <w:bCs w:val="0"/>
              <w:kern w:val="2"/>
              <w:szCs w:val="24"/>
            </w:rPr>
          </w:pPr>
          <w:hyperlink w:anchor="_Toc164262852" w:history="1">
            <w:r w:rsidR="00F3332F" w:rsidRPr="00F94E71">
              <w:rPr>
                <w:rStyle w:val="Hyperlink"/>
              </w:rPr>
              <w:t>II.</w:t>
            </w:r>
            <w:r w:rsidR="00F3332F" w:rsidRPr="000E572E">
              <w:rPr>
                <w:rFonts w:asciiTheme="minorHAnsi" w:eastAsiaTheme="minorEastAsia" w:hAnsiTheme="minorHAnsi" w:cstheme="minorBidi"/>
                <w:bCs w:val="0"/>
                <w:kern w:val="2"/>
                <w:szCs w:val="24"/>
              </w:rPr>
              <w:tab/>
            </w:r>
            <w:r w:rsidR="00F3332F" w:rsidRPr="00F94E71">
              <w:rPr>
                <w:rStyle w:val="Hyperlink"/>
              </w:rPr>
              <w:t>APPLICATION INSTRUCTIONS</w:t>
            </w:r>
            <w:r w:rsidR="00F3332F">
              <w:rPr>
                <w:webHidden/>
              </w:rPr>
              <w:tab/>
            </w:r>
            <w:r w:rsidR="00F3332F">
              <w:rPr>
                <w:webHidden/>
              </w:rPr>
              <w:fldChar w:fldCharType="begin"/>
            </w:r>
            <w:r w:rsidR="00F3332F">
              <w:rPr>
                <w:webHidden/>
              </w:rPr>
              <w:instrText xml:space="preserve"> PAGEREF _Toc164262852 \h </w:instrText>
            </w:r>
            <w:r w:rsidR="00F3332F">
              <w:rPr>
                <w:webHidden/>
              </w:rPr>
            </w:r>
            <w:r w:rsidR="00F3332F">
              <w:rPr>
                <w:webHidden/>
              </w:rPr>
              <w:fldChar w:fldCharType="separate"/>
            </w:r>
            <w:r w:rsidR="0056527E">
              <w:rPr>
                <w:webHidden/>
              </w:rPr>
              <w:t>7</w:t>
            </w:r>
            <w:r w:rsidR="00F3332F">
              <w:rPr>
                <w:webHidden/>
              </w:rPr>
              <w:fldChar w:fldCharType="end"/>
            </w:r>
          </w:hyperlink>
        </w:p>
        <w:p w14:paraId="59D5697C" w14:textId="3083D2D1" w:rsidR="00F3332F" w:rsidRPr="000E572E" w:rsidRDefault="008277F4">
          <w:pPr>
            <w:pStyle w:val="TOC3"/>
            <w:rPr>
              <w:rFonts w:asciiTheme="minorHAnsi" w:eastAsiaTheme="minorEastAsia" w:hAnsiTheme="minorHAnsi" w:cstheme="minorBidi"/>
              <w:bCs w:val="0"/>
              <w:kern w:val="2"/>
              <w:szCs w:val="24"/>
            </w:rPr>
          </w:pPr>
          <w:hyperlink w:anchor="_Toc164262853" w:history="1">
            <w:r w:rsidR="00F3332F" w:rsidRPr="00F94E71">
              <w:rPr>
                <w:rStyle w:val="Hyperlink"/>
              </w:rPr>
              <w:t>A.</w:t>
            </w:r>
            <w:r w:rsidR="00F3332F" w:rsidRPr="000E572E">
              <w:rPr>
                <w:rFonts w:asciiTheme="minorHAnsi" w:eastAsiaTheme="minorEastAsia" w:hAnsiTheme="minorHAnsi" w:cstheme="minorBidi"/>
                <w:bCs w:val="0"/>
                <w:kern w:val="2"/>
                <w:szCs w:val="24"/>
              </w:rPr>
              <w:tab/>
            </w:r>
            <w:r w:rsidR="00F3332F" w:rsidRPr="00F94E71">
              <w:rPr>
                <w:rStyle w:val="Hyperlink"/>
              </w:rPr>
              <w:t>Required Assurances</w:t>
            </w:r>
            <w:r w:rsidR="00F3332F">
              <w:rPr>
                <w:webHidden/>
              </w:rPr>
              <w:tab/>
            </w:r>
            <w:r w:rsidR="00F3332F">
              <w:rPr>
                <w:webHidden/>
              </w:rPr>
              <w:fldChar w:fldCharType="begin"/>
            </w:r>
            <w:r w:rsidR="00F3332F">
              <w:rPr>
                <w:webHidden/>
              </w:rPr>
              <w:instrText xml:space="preserve"> PAGEREF _Toc164262853 \h </w:instrText>
            </w:r>
            <w:r w:rsidR="00F3332F">
              <w:rPr>
                <w:webHidden/>
              </w:rPr>
            </w:r>
            <w:r w:rsidR="00F3332F">
              <w:rPr>
                <w:webHidden/>
              </w:rPr>
              <w:fldChar w:fldCharType="separate"/>
            </w:r>
            <w:r w:rsidR="0056527E">
              <w:rPr>
                <w:webHidden/>
              </w:rPr>
              <w:t>8</w:t>
            </w:r>
            <w:r w:rsidR="00F3332F">
              <w:rPr>
                <w:webHidden/>
              </w:rPr>
              <w:fldChar w:fldCharType="end"/>
            </w:r>
          </w:hyperlink>
        </w:p>
        <w:p w14:paraId="6B3CB1C8" w14:textId="1E4D26F5" w:rsidR="00F3332F" w:rsidRPr="000E572E" w:rsidRDefault="008277F4">
          <w:pPr>
            <w:pStyle w:val="TOC3"/>
            <w:rPr>
              <w:rFonts w:asciiTheme="minorHAnsi" w:eastAsiaTheme="minorEastAsia" w:hAnsiTheme="minorHAnsi" w:cstheme="minorBidi"/>
              <w:bCs w:val="0"/>
              <w:kern w:val="2"/>
              <w:szCs w:val="24"/>
            </w:rPr>
          </w:pPr>
          <w:hyperlink w:anchor="_Toc164262854" w:history="1">
            <w:r w:rsidR="00F3332F" w:rsidRPr="00F94E71">
              <w:rPr>
                <w:rStyle w:val="Hyperlink"/>
              </w:rPr>
              <w:t>B.</w:t>
            </w:r>
            <w:r w:rsidR="00F3332F" w:rsidRPr="000E572E">
              <w:rPr>
                <w:rFonts w:asciiTheme="minorHAnsi" w:eastAsiaTheme="minorEastAsia" w:hAnsiTheme="minorHAnsi" w:cstheme="minorBidi"/>
                <w:bCs w:val="0"/>
                <w:kern w:val="2"/>
                <w:szCs w:val="24"/>
              </w:rPr>
              <w:tab/>
            </w:r>
            <w:r w:rsidR="00F3332F" w:rsidRPr="00F94E71">
              <w:rPr>
                <w:rStyle w:val="Hyperlink"/>
              </w:rPr>
              <w:t>Clarification of the Request for Applications</w:t>
            </w:r>
            <w:r w:rsidR="00F3332F">
              <w:rPr>
                <w:webHidden/>
              </w:rPr>
              <w:tab/>
            </w:r>
            <w:r w:rsidR="00F3332F">
              <w:rPr>
                <w:webHidden/>
              </w:rPr>
              <w:fldChar w:fldCharType="begin"/>
            </w:r>
            <w:r w:rsidR="00F3332F">
              <w:rPr>
                <w:webHidden/>
              </w:rPr>
              <w:instrText xml:space="preserve"> PAGEREF _Toc164262854 \h </w:instrText>
            </w:r>
            <w:r w:rsidR="00F3332F">
              <w:rPr>
                <w:webHidden/>
              </w:rPr>
            </w:r>
            <w:r w:rsidR="00F3332F">
              <w:rPr>
                <w:webHidden/>
              </w:rPr>
              <w:fldChar w:fldCharType="separate"/>
            </w:r>
            <w:r w:rsidR="0056527E">
              <w:rPr>
                <w:webHidden/>
              </w:rPr>
              <w:t>8</w:t>
            </w:r>
            <w:r w:rsidR="00F3332F">
              <w:rPr>
                <w:webHidden/>
              </w:rPr>
              <w:fldChar w:fldCharType="end"/>
            </w:r>
          </w:hyperlink>
        </w:p>
        <w:p w14:paraId="127D298A" w14:textId="6E4C9760" w:rsidR="00F3332F" w:rsidRPr="000E572E" w:rsidRDefault="008277F4">
          <w:pPr>
            <w:pStyle w:val="TOC2"/>
            <w:rPr>
              <w:rFonts w:asciiTheme="minorHAnsi" w:eastAsiaTheme="minorEastAsia" w:hAnsiTheme="minorHAnsi" w:cstheme="minorBidi"/>
              <w:bCs w:val="0"/>
              <w:kern w:val="2"/>
              <w:szCs w:val="24"/>
            </w:rPr>
          </w:pPr>
          <w:hyperlink w:anchor="_Toc164262855" w:history="1">
            <w:r w:rsidR="00F3332F" w:rsidRPr="00F94E71">
              <w:rPr>
                <w:rStyle w:val="Hyperlink"/>
              </w:rPr>
              <w:t>III.</w:t>
            </w:r>
            <w:r w:rsidR="00F3332F" w:rsidRPr="000E572E">
              <w:rPr>
                <w:rFonts w:asciiTheme="minorHAnsi" w:eastAsiaTheme="minorEastAsia" w:hAnsiTheme="minorHAnsi" w:cstheme="minorBidi"/>
                <w:bCs w:val="0"/>
                <w:kern w:val="2"/>
                <w:szCs w:val="24"/>
              </w:rPr>
              <w:tab/>
            </w:r>
            <w:r w:rsidR="00F3332F" w:rsidRPr="00F94E71">
              <w:rPr>
                <w:rStyle w:val="Hyperlink"/>
              </w:rPr>
              <w:t>DEVELOPING AN AMERICAN INDIAN EDUCATION CENTER PROGRAM</w:t>
            </w:r>
            <w:r w:rsidR="00F3332F">
              <w:rPr>
                <w:webHidden/>
              </w:rPr>
              <w:tab/>
            </w:r>
            <w:r w:rsidR="00F3332F">
              <w:rPr>
                <w:webHidden/>
              </w:rPr>
              <w:fldChar w:fldCharType="begin"/>
            </w:r>
            <w:r w:rsidR="00F3332F">
              <w:rPr>
                <w:webHidden/>
              </w:rPr>
              <w:instrText xml:space="preserve"> PAGEREF _Toc164262855 \h </w:instrText>
            </w:r>
            <w:r w:rsidR="00F3332F">
              <w:rPr>
                <w:webHidden/>
              </w:rPr>
            </w:r>
            <w:r w:rsidR="00F3332F">
              <w:rPr>
                <w:webHidden/>
              </w:rPr>
              <w:fldChar w:fldCharType="separate"/>
            </w:r>
            <w:r w:rsidR="0056527E">
              <w:rPr>
                <w:webHidden/>
              </w:rPr>
              <w:t>8</w:t>
            </w:r>
            <w:r w:rsidR="00F3332F">
              <w:rPr>
                <w:webHidden/>
              </w:rPr>
              <w:fldChar w:fldCharType="end"/>
            </w:r>
          </w:hyperlink>
        </w:p>
        <w:p w14:paraId="66AF4B8D" w14:textId="50FF51B5" w:rsidR="00F3332F" w:rsidRPr="000E572E" w:rsidRDefault="008277F4">
          <w:pPr>
            <w:pStyle w:val="TOC3"/>
            <w:rPr>
              <w:rFonts w:asciiTheme="minorHAnsi" w:eastAsiaTheme="minorEastAsia" w:hAnsiTheme="minorHAnsi" w:cstheme="minorBidi"/>
              <w:bCs w:val="0"/>
              <w:kern w:val="2"/>
              <w:szCs w:val="24"/>
            </w:rPr>
          </w:pPr>
          <w:hyperlink w:anchor="_Toc164262856" w:history="1">
            <w:r w:rsidR="00F3332F" w:rsidRPr="00F94E71">
              <w:rPr>
                <w:rStyle w:val="Hyperlink"/>
              </w:rPr>
              <w:t>A.</w:t>
            </w:r>
            <w:r w:rsidR="00F3332F" w:rsidRPr="000E572E">
              <w:rPr>
                <w:rFonts w:asciiTheme="minorHAnsi" w:eastAsiaTheme="minorEastAsia" w:hAnsiTheme="minorHAnsi" w:cstheme="minorBidi"/>
                <w:bCs w:val="0"/>
                <w:kern w:val="2"/>
                <w:szCs w:val="24"/>
              </w:rPr>
              <w:tab/>
            </w:r>
            <w:r w:rsidR="00F3332F" w:rsidRPr="00F94E71">
              <w:rPr>
                <w:rStyle w:val="Hyperlink"/>
              </w:rPr>
              <w:t>Agency Description</w:t>
            </w:r>
            <w:r w:rsidR="00F3332F">
              <w:rPr>
                <w:webHidden/>
              </w:rPr>
              <w:tab/>
            </w:r>
            <w:r w:rsidR="00F3332F">
              <w:rPr>
                <w:webHidden/>
              </w:rPr>
              <w:fldChar w:fldCharType="begin"/>
            </w:r>
            <w:r w:rsidR="00F3332F">
              <w:rPr>
                <w:webHidden/>
              </w:rPr>
              <w:instrText xml:space="preserve"> PAGEREF _Toc164262856 \h </w:instrText>
            </w:r>
            <w:r w:rsidR="00F3332F">
              <w:rPr>
                <w:webHidden/>
              </w:rPr>
            </w:r>
            <w:r w:rsidR="00F3332F">
              <w:rPr>
                <w:webHidden/>
              </w:rPr>
              <w:fldChar w:fldCharType="separate"/>
            </w:r>
            <w:r w:rsidR="0056527E">
              <w:rPr>
                <w:webHidden/>
              </w:rPr>
              <w:t>8</w:t>
            </w:r>
            <w:r w:rsidR="00F3332F">
              <w:rPr>
                <w:webHidden/>
              </w:rPr>
              <w:fldChar w:fldCharType="end"/>
            </w:r>
          </w:hyperlink>
        </w:p>
        <w:p w14:paraId="6DF257CE" w14:textId="6F2D3804" w:rsidR="00F3332F" w:rsidRPr="000E572E" w:rsidRDefault="008277F4">
          <w:pPr>
            <w:pStyle w:val="TOC3"/>
            <w:rPr>
              <w:rFonts w:asciiTheme="minorHAnsi" w:eastAsiaTheme="minorEastAsia" w:hAnsiTheme="minorHAnsi" w:cstheme="minorBidi"/>
              <w:bCs w:val="0"/>
              <w:kern w:val="2"/>
              <w:szCs w:val="24"/>
            </w:rPr>
          </w:pPr>
          <w:hyperlink w:anchor="_Toc164262857" w:history="1">
            <w:r w:rsidR="00F3332F" w:rsidRPr="00F94E71">
              <w:rPr>
                <w:rStyle w:val="Hyperlink"/>
              </w:rPr>
              <w:t>B.</w:t>
            </w:r>
            <w:r w:rsidR="00F3332F" w:rsidRPr="000E572E">
              <w:rPr>
                <w:rFonts w:asciiTheme="minorHAnsi" w:eastAsiaTheme="minorEastAsia" w:hAnsiTheme="minorHAnsi" w:cstheme="minorBidi"/>
                <w:bCs w:val="0"/>
                <w:kern w:val="2"/>
                <w:szCs w:val="24"/>
              </w:rPr>
              <w:tab/>
            </w:r>
            <w:r w:rsidR="00F3332F" w:rsidRPr="00F94E71">
              <w:rPr>
                <w:rStyle w:val="Hyperlink"/>
              </w:rPr>
              <w:t>Comprehensive Needs Assessment</w:t>
            </w:r>
            <w:r w:rsidR="00F3332F">
              <w:rPr>
                <w:webHidden/>
              </w:rPr>
              <w:tab/>
            </w:r>
            <w:r w:rsidR="00F3332F">
              <w:rPr>
                <w:webHidden/>
              </w:rPr>
              <w:fldChar w:fldCharType="begin"/>
            </w:r>
            <w:r w:rsidR="00F3332F">
              <w:rPr>
                <w:webHidden/>
              </w:rPr>
              <w:instrText xml:space="preserve"> PAGEREF _Toc164262857 \h </w:instrText>
            </w:r>
            <w:r w:rsidR="00F3332F">
              <w:rPr>
                <w:webHidden/>
              </w:rPr>
            </w:r>
            <w:r w:rsidR="00F3332F">
              <w:rPr>
                <w:webHidden/>
              </w:rPr>
              <w:fldChar w:fldCharType="separate"/>
            </w:r>
            <w:r w:rsidR="0056527E">
              <w:rPr>
                <w:webHidden/>
              </w:rPr>
              <w:t>9</w:t>
            </w:r>
            <w:r w:rsidR="00F3332F">
              <w:rPr>
                <w:webHidden/>
              </w:rPr>
              <w:fldChar w:fldCharType="end"/>
            </w:r>
          </w:hyperlink>
        </w:p>
        <w:p w14:paraId="051F7625" w14:textId="668EE3D5" w:rsidR="00F3332F" w:rsidRPr="000E572E" w:rsidRDefault="008277F4">
          <w:pPr>
            <w:pStyle w:val="TOC3"/>
            <w:rPr>
              <w:rFonts w:asciiTheme="minorHAnsi" w:eastAsiaTheme="minorEastAsia" w:hAnsiTheme="minorHAnsi" w:cstheme="minorBidi"/>
              <w:bCs w:val="0"/>
              <w:kern w:val="2"/>
              <w:szCs w:val="24"/>
            </w:rPr>
          </w:pPr>
          <w:hyperlink w:anchor="_Toc164262858" w:history="1">
            <w:r w:rsidR="00F3332F" w:rsidRPr="00F94E71">
              <w:rPr>
                <w:rStyle w:val="Hyperlink"/>
              </w:rPr>
              <w:t>C.</w:t>
            </w:r>
            <w:r w:rsidR="00F3332F" w:rsidRPr="000E572E">
              <w:rPr>
                <w:rFonts w:asciiTheme="minorHAnsi" w:eastAsiaTheme="minorEastAsia" w:hAnsiTheme="minorHAnsi" w:cstheme="minorBidi"/>
                <w:bCs w:val="0"/>
                <w:kern w:val="2"/>
                <w:szCs w:val="24"/>
              </w:rPr>
              <w:tab/>
            </w:r>
            <w:r w:rsidR="00F3332F" w:rsidRPr="00F94E71">
              <w:rPr>
                <w:rStyle w:val="Hyperlink"/>
              </w:rPr>
              <w:t>Comprehensive Plan</w:t>
            </w:r>
            <w:r w:rsidR="00F3332F">
              <w:rPr>
                <w:webHidden/>
              </w:rPr>
              <w:tab/>
            </w:r>
            <w:r w:rsidR="00F3332F">
              <w:rPr>
                <w:webHidden/>
              </w:rPr>
              <w:fldChar w:fldCharType="begin"/>
            </w:r>
            <w:r w:rsidR="00F3332F">
              <w:rPr>
                <w:webHidden/>
              </w:rPr>
              <w:instrText xml:space="preserve"> PAGEREF _Toc164262858 \h </w:instrText>
            </w:r>
            <w:r w:rsidR="00F3332F">
              <w:rPr>
                <w:webHidden/>
              </w:rPr>
            </w:r>
            <w:r w:rsidR="00F3332F">
              <w:rPr>
                <w:webHidden/>
              </w:rPr>
              <w:fldChar w:fldCharType="separate"/>
            </w:r>
            <w:r w:rsidR="0056527E">
              <w:rPr>
                <w:webHidden/>
              </w:rPr>
              <w:t>10</w:t>
            </w:r>
            <w:r w:rsidR="00F3332F">
              <w:rPr>
                <w:webHidden/>
              </w:rPr>
              <w:fldChar w:fldCharType="end"/>
            </w:r>
          </w:hyperlink>
        </w:p>
        <w:p w14:paraId="23042A1B" w14:textId="013B5810" w:rsidR="00F3332F" w:rsidRPr="000E572E" w:rsidRDefault="008277F4">
          <w:pPr>
            <w:pStyle w:val="TOC3"/>
            <w:rPr>
              <w:rFonts w:asciiTheme="minorHAnsi" w:eastAsiaTheme="minorEastAsia" w:hAnsiTheme="minorHAnsi" w:cstheme="minorBidi"/>
              <w:bCs w:val="0"/>
              <w:kern w:val="2"/>
              <w:szCs w:val="24"/>
            </w:rPr>
          </w:pPr>
          <w:hyperlink w:anchor="_Toc164262859" w:history="1">
            <w:r w:rsidR="00F3332F" w:rsidRPr="00F94E71">
              <w:rPr>
                <w:rStyle w:val="Hyperlink"/>
              </w:rPr>
              <w:t>D.</w:t>
            </w:r>
            <w:r w:rsidR="00F3332F" w:rsidRPr="000E572E">
              <w:rPr>
                <w:rFonts w:asciiTheme="minorHAnsi" w:eastAsiaTheme="minorEastAsia" w:hAnsiTheme="minorHAnsi" w:cstheme="minorBidi"/>
                <w:bCs w:val="0"/>
                <w:kern w:val="2"/>
                <w:szCs w:val="24"/>
              </w:rPr>
              <w:tab/>
            </w:r>
            <w:r w:rsidR="00F3332F" w:rsidRPr="00F94E71">
              <w:rPr>
                <w:rStyle w:val="Hyperlink"/>
              </w:rPr>
              <w:t>Program Budget</w:t>
            </w:r>
            <w:r w:rsidR="00F3332F">
              <w:rPr>
                <w:webHidden/>
              </w:rPr>
              <w:tab/>
            </w:r>
            <w:r w:rsidR="00F3332F">
              <w:rPr>
                <w:webHidden/>
              </w:rPr>
              <w:fldChar w:fldCharType="begin"/>
            </w:r>
            <w:r w:rsidR="00F3332F">
              <w:rPr>
                <w:webHidden/>
              </w:rPr>
              <w:instrText xml:space="preserve"> PAGEREF _Toc164262859 \h </w:instrText>
            </w:r>
            <w:r w:rsidR="00F3332F">
              <w:rPr>
                <w:webHidden/>
              </w:rPr>
            </w:r>
            <w:r w:rsidR="00F3332F">
              <w:rPr>
                <w:webHidden/>
              </w:rPr>
              <w:fldChar w:fldCharType="separate"/>
            </w:r>
            <w:r w:rsidR="0056527E">
              <w:rPr>
                <w:webHidden/>
              </w:rPr>
              <w:t>13</w:t>
            </w:r>
            <w:r w:rsidR="00F3332F">
              <w:rPr>
                <w:webHidden/>
              </w:rPr>
              <w:fldChar w:fldCharType="end"/>
            </w:r>
          </w:hyperlink>
        </w:p>
        <w:p w14:paraId="71D01E47" w14:textId="1B394850" w:rsidR="00F3332F" w:rsidRPr="000E572E" w:rsidRDefault="008277F4">
          <w:pPr>
            <w:pStyle w:val="TOC3"/>
            <w:rPr>
              <w:rFonts w:asciiTheme="minorHAnsi" w:eastAsiaTheme="minorEastAsia" w:hAnsiTheme="minorHAnsi" w:cstheme="minorBidi"/>
              <w:bCs w:val="0"/>
              <w:kern w:val="2"/>
              <w:szCs w:val="24"/>
            </w:rPr>
          </w:pPr>
          <w:hyperlink w:anchor="_Toc164262860" w:history="1">
            <w:r w:rsidR="00F3332F" w:rsidRPr="00F94E71">
              <w:rPr>
                <w:rStyle w:val="Hyperlink"/>
                <w:rFonts w:eastAsia="Calibri"/>
              </w:rPr>
              <w:t>E.</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Allowable and Reasonable Cost</w:t>
            </w:r>
            <w:r w:rsidR="00F3332F">
              <w:rPr>
                <w:webHidden/>
              </w:rPr>
              <w:tab/>
            </w:r>
            <w:r w:rsidR="00F3332F">
              <w:rPr>
                <w:webHidden/>
              </w:rPr>
              <w:fldChar w:fldCharType="begin"/>
            </w:r>
            <w:r w:rsidR="00F3332F">
              <w:rPr>
                <w:webHidden/>
              </w:rPr>
              <w:instrText xml:space="preserve"> PAGEREF _Toc164262860 \h </w:instrText>
            </w:r>
            <w:r w:rsidR="00F3332F">
              <w:rPr>
                <w:webHidden/>
              </w:rPr>
            </w:r>
            <w:r w:rsidR="00F3332F">
              <w:rPr>
                <w:webHidden/>
              </w:rPr>
              <w:fldChar w:fldCharType="separate"/>
            </w:r>
            <w:r w:rsidR="0056527E">
              <w:rPr>
                <w:webHidden/>
              </w:rPr>
              <w:t>19</w:t>
            </w:r>
            <w:r w:rsidR="00F3332F">
              <w:rPr>
                <w:webHidden/>
              </w:rPr>
              <w:fldChar w:fldCharType="end"/>
            </w:r>
          </w:hyperlink>
        </w:p>
        <w:p w14:paraId="58268D24" w14:textId="7E91C0DB" w:rsidR="00F3332F" w:rsidRPr="000E572E" w:rsidRDefault="008277F4">
          <w:pPr>
            <w:pStyle w:val="TOC3"/>
            <w:rPr>
              <w:rFonts w:asciiTheme="minorHAnsi" w:eastAsiaTheme="minorEastAsia" w:hAnsiTheme="minorHAnsi" w:cstheme="minorBidi"/>
              <w:bCs w:val="0"/>
              <w:kern w:val="2"/>
              <w:szCs w:val="24"/>
            </w:rPr>
          </w:pPr>
          <w:hyperlink w:anchor="_Toc164262861" w:history="1">
            <w:r w:rsidR="00F3332F" w:rsidRPr="00F94E71">
              <w:rPr>
                <w:rStyle w:val="Hyperlink"/>
                <w:rFonts w:eastAsia="Calibri"/>
              </w:rPr>
              <w:t>F.</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Unallowable Costs</w:t>
            </w:r>
            <w:r w:rsidR="00F3332F">
              <w:rPr>
                <w:webHidden/>
              </w:rPr>
              <w:tab/>
            </w:r>
            <w:r w:rsidR="00F3332F">
              <w:rPr>
                <w:webHidden/>
              </w:rPr>
              <w:fldChar w:fldCharType="begin"/>
            </w:r>
            <w:r w:rsidR="00F3332F">
              <w:rPr>
                <w:webHidden/>
              </w:rPr>
              <w:instrText xml:space="preserve"> PAGEREF _Toc164262861 \h </w:instrText>
            </w:r>
            <w:r w:rsidR="00F3332F">
              <w:rPr>
                <w:webHidden/>
              </w:rPr>
            </w:r>
            <w:r w:rsidR="00F3332F">
              <w:rPr>
                <w:webHidden/>
              </w:rPr>
              <w:fldChar w:fldCharType="separate"/>
            </w:r>
            <w:r w:rsidR="0056527E">
              <w:rPr>
                <w:webHidden/>
              </w:rPr>
              <w:t>19</w:t>
            </w:r>
            <w:r w:rsidR="00F3332F">
              <w:rPr>
                <w:webHidden/>
              </w:rPr>
              <w:fldChar w:fldCharType="end"/>
            </w:r>
          </w:hyperlink>
        </w:p>
        <w:p w14:paraId="5A0187F3" w14:textId="0030582E" w:rsidR="00F3332F" w:rsidRPr="000E572E" w:rsidRDefault="008277F4">
          <w:pPr>
            <w:pStyle w:val="TOC3"/>
            <w:rPr>
              <w:rFonts w:asciiTheme="minorHAnsi" w:eastAsiaTheme="minorEastAsia" w:hAnsiTheme="minorHAnsi" w:cstheme="minorBidi"/>
              <w:bCs w:val="0"/>
              <w:kern w:val="2"/>
              <w:szCs w:val="24"/>
            </w:rPr>
          </w:pPr>
          <w:hyperlink w:anchor="_Toc164262862" w:history="1">
            <w:r w:rsidR="00F3332F" w:rsidRPr="00F94E71">
              <w:rPr>
                <w:rStyle w:val="Hyperlink"/>
                <w:rFonts w:eastAsia="Calibri"/>
              </w:rPr>
              <w:t>G.</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Costs Requiring California Department of Education Approval</w:t>
            </w:r>
            <w:r w:rsidR="00F3332F">
              <w:rPr>
                <w:webHidden/>
              </w:rPr>
              <w:tab/>
            </w:r>
            <w:r w:rsidR="00F3332F">
              <w:rPr>
                <w:webHidden/>
              </w:rPr>
              <w:fldChar w:fldCharType="begin"/>
            </w:r>
            <w:r w:rsidR="00F3332F">
              <w:rPr>
                <w:webHidden/>
              </w:rPr>
              <w:instrText xml:space="preserve"> PAGEREF _Toc164262862 \h </w:instrText>
            </w:r>
            <w:r w:rsidR="00F3332F">
              <w:rPr>
                <w:webHidden/>
              </w:rPr>
            </w:r>
            <w:r w:rsidR="00F3332F">
              <w:rPr>
                <w:webHidden/>
              </w:rPr>
              <w:fldChar w:fldCharType="separate"/>
            </w:r>
            <w:r w:rsidR="0056527E">
              <w:rPr>
                <w:webHidden/>
              </w:rPr>
              <w:t>21</w:t>
            </w:r>
            <w:r w:rsidR="00F3332F">
              <w:rPr>
                <w:webHidden/>
              </w:rPr>
              <w:fldChar w:fldCharType="end"/>
            </w:r>
          </w:hyperlink>
        </w:p>
        <w:p w14:paraId="07C9685F" w14:textId="5A10E334" w:rsidR="00F3332F" w:rsidRPr="000E572E" w:rsidRDefault="008277F4">
          <w:pPr>
            <w:pStyle w:val="TOC2"/>
            <w:rPr>
              <w:rFonts w:asciiTheme="minorHAnsi" w:eastAsiaTheme="minorEastAsia" w:hAnsiTheme="minorHAnsi" w:cstheme="minorBidi"/>
              <w:bCs w:val="0"/>
              <w:kern w:val="2"/>
              <w:szCs w:val="24"/>
            </w:rPr>
          </w:pPr>
          <w:hyperlink w:anchor="_Toc164262863" w:history="1">
            <w:r w:rsidR="00F3332F" w:rsidRPr="00F94E71">
              <w:rPr>
                <w:rStyle w:val="Hyperlink"/>
              </w:rPr>
              <w:t>IV.</w:t>
            </w:r>
            <w:r w:rsidR="00F3332F" w:rsidRPr="000E572E">
              <w:rPr>
                <w:rFonts w:asciiTheme="minorHAnsi" w:eastAsiaTheme="minorEastAsia" w:hAnsiTheme="minorHAnsi" w:cstheme="minorBidi"/>
                <w:bCs w:val="0"/>
                <w:kern w:val="2"/>
                <w:szCs w:val="24"/>
              </w:rPr>
              <w:tab/>
            </w:r>
            <w:r w:rsidR="00F3332F" w:rsidRPr="00F94E71">
              <w:rPr>
                <w:rStyle w:val="Hyperlink"/>
              </w:rPr>
              <w:t>BUDGET REVISIONS, FISCAL, AND PROGRAMMATIC REPORTING REQUIREMENTS</w:t>
            </w:r>
            <w:r w:rsidR="00F3332F">
              <w:rPr>
                <w:webHidden/>
              </w:rPr>
              <w:tab/>
            </w:r>
            <w:r w:rsidR="00F3332F">
              <w:rPr>
                <w:webHidden/>
              </w:rPr>
              <w:fldChar w:fldCharType="begin"/>
            </w:r>
            <w:r w:rsidR="00F3332F">
              <w:rPr>
                <w:webHidden/>
              </w:rPr>
              <w:instrText xml:space="preserve"> PAGEREF _Toc164262863 \h </w:instrText>
            </w:r>
            <w:r w:rsidR="00F3332F">
              <w:rPr>
                <w:webHidden/>
              </w:rPr>
            </w:r>
            <w:r w:rsidR="00F3332F">
              <w:rPr>
                <w:webHidden/>
              </w:rPr>
              <w:fldChar w:fldCharType="separate"/>
            </w:r>
            <w:r w:rsidR="0056527E">
              <w:rPr>
                <w:webHidden/>
              </w:rPr>
              <w:t>21</w:t>
            </w:r>
            <w:r w:rsidR="00F3332F">
              <w:rPr>
                <w:webHidden/>
              </w:rPr>
              <w:fldChar w:fldCharType="end"/>
            </w:r>
          </w:hyperlink>
        </w:p>
        <w:p w14:paraId="54B5B7FD" w14:textId="0EB6FCA7" w:rsidR="00F3332F" w:rsidRPr="000E572E" w:rsidRDefault="008277F4">
          <w:pPr>
            <w:pStyle w:val="TOC3"/>
            <w:rPr>
              <w:rFonts w:asciiTheme="minorHAnsi" w:eastAsiaTheme="minorEastAsia" w:hAnsiTheme="minorHAnsi" w:cstheme="minorBidi"/>
              <w:bCs w:val="0"/>
              <w:kern w:val="2"/>
              <w:szCs w:val="24"/>
            </w:rPr>
          </w:pPr>
          <w:hyperlink w:anchor="_Toc164262864" w:history="1">
            <w:r w:rsidR="00F3332F" w:rsidRPr="00F94E71">
              <w:rPr>
                <w:rStyle w:val="Hyperlink"/>
                <w:rFonts w:eastAsia="Calibri"/>
              </w:rPr>
              <w:t>A.</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Fiscal Accountability Requirements</w:t>
            </w:r>
            <w:r w:rsidR="00F3332F">
              <w:rPr>
                <w:webHidden/>
              </w:rPr>
              <w:tab/>
            </w:r>
            <w:r w:rsidR="00F3332F">
              <w:rPr>
                <w:webHidden/>
              </w:rPr>
              <w:fldChar w:fldCharType="begin"/>
            </w:r>
            <w:r w:rsidR="00F3332F">
              <w:rPr>
                <w:webHidden/>
              </w:rPr>
              <w:instrText xml:space="preserve"> PAGEREF _Toc164262864 \h </w:instrText>
            </w:r>
            <w:r w:rsidR="00F3332F">
              <w:rPr>
                <w:webHidden/>
              </w:rPr>
            </w:r>
            <w:r w:rsidR="00F3332F">
              <w:rPr>
                <w:webHidden/>
              </w:rPr>
              <w:fldChar w:fldCharType="separate"/>
            </w:r>
            <w:r w:rsidR="0056527E">
              <w:rPr>
                <w:webHidden/>
              </w:rPr>
              <w:t>22</w:t>
            </w:r>
            <w:r w:rsidR="00F3332F">
              <w:rPr>
                <w:webHidden/>
              </w:rPr>
              <w:fldChar w:fldCharType="end"/>
            </w:r>
          </w:hyperlink>
        </w:p>
        <w:p w14:paraId="5A603695" w14:textId="3979FDDE" w:rsidR="00F3332F" w:rsidRPr="000E572E" w:rsidRDefault="008277F4">
          <w:pPr>
            <w:pStyle w:val="TOC3"/>
            <w:rPr>
              <w:rFonts w:asciiTheme="minorHAnsi" w:eastAsiaTheme="minorEastAsia" w:hAnsiTheme="minorHAnsi" w:cstheme="minorBidi"/>
              <w:bCs w:val="0"/>
              <w:kern w:val="2"/>
              <w:szCs w:val="24"/>
            </w:rPr>
          </w:pPr>
          <w:hyperlink w:anchor="_Toc164262865" w:history="1">
            <w:r w:rsidR="00F3332F" w:rsidRPr="00F94E71">
              <w:rPr>
                <w:rStyle w:val="Hyperlink"/>
                <w:rFonts w:eastAsia="Calibri"/>
              </w:rPr>
              <w:t>B.</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Financial Management Standards</w:t>
            </w:r>
            <w:r w:rsidR="00F3332F">
              <w:rPr>
                <w:webHidden/>
              </w:rPr>
              <w:tab/>
            </w:r>
            <w:r w:rsidR="00F3332F">
              <w:rPr>
                <w:webHidden/>
              </w:rPr>
              <w:fldChar w:fldCharType="begin"/>
            </w:r>
            <w:r w:rsidR="00F3332F">
              <w:rPr>
                <w:webHidden/>
              </w:rPr>
              <w:instrText xml:space="preserve"> PAGEREF _Toc164262865 \h </w:instrText>
            </w:r>
            <w:r w:rsidR="00F3332F">
              <w:rPr>
                <w:webHidden/>
              </w:rPr>
            </w:r>
            <w:r w:rsidR="00F3332F">
              <w:rPr>
                <w:webHidden/>
              </w:rPr>
              <w:fldChar w:fldCharType="separate"/>
            </w:r>
            <w:r w:rsidR="0056527E">
              <w:rPr>
                <w:webHidden/>
              </w:rPr>
              <w:t>22</w:t>
            </w:r>
            <w:r w:rsidR="00F3332F">
              <w:rPr>
                <w:webHidden/>
              </w:rPr>
              <w:fldChar w:fldCharType="end"/>
            </w:r>
          </w:hyperlink>
        </w:p>
        <w:p w14:paraId="381ACB85" w14:textId="446414EC" w:rsidR="00F3332F" w:rsidRPr="000E572E" w:rsidRDefault="008277F4">
          <w:pPr>
            <w:pStyle w:val="TOC3"/>
            <w:rPr>
              <w:rFonts w:asciiTheme="minorHAnsi" w:eastAsiaTheme="minorEastAsia" w:hAnsiTheme="minorHAnsi" w:cstheme="minorBidi"/>
              <w:bCs w:val="0"/>
              <w:kern w:val="2"/>
              <w:szCs w:val="24"/>
            </w:rPr>
          </w:pPr>
          <w:hyperlink w:anchor="_Toc164262866" w:history="1">
            <w:r w:rsidR="00F3332F" w:rsidRPr="00F94E71">
              <w:rPr>
                <w:rStyle w:val="Hyperlink"/>
                <w:rFonts w:eastAsia="Calibri"/>
              </w:rPr>
              <w:t>C.</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Internal Control Standards</w:t>
            </w:r>
            <w:r w:rsidR="00F3332F">
              <w:rPr>
                <w:webHidden/>
              </w:rPr>
              <w:tab/>
            </w:r>
            <w:r w:rsidR="00F3332F">
              <w:rPr>
                <w:webHidden/>
              </w:rPr>
              <w:fldChar w:fldCharType="begin"/>
            </w:r>
            <w:r w:rsidR="00F3332F">
              <w:rPr>
                <w:webHidden/>
              </w:rPr>
              <w:instrText xml:space="preserve"> PAGEREF _Toc164262866 \h </w:instrText>
            </w:r>
            <w:r w:rsidR="00F3332F">
              <w:rPr>
                <w:webHidden/>
              </w:rPr>
            </w:r>
            <w:r w:rsidR="00F3332F">
              <w:rPr>
                <w:webHidden/>
              </w:rPr>
              <w:fldChar w:fldCharType="separate"/>
            </w:r>
            <w:r w:rsidR="0056527E">
              <w:rPr>
                <w:webHidden/>
              </w:rPr>
              <w:t>24</w:t>
            </w:r>
            <w:r w:rsidR="00F3332F">
              <w:rPr>
                <w:webHidden/>
              </w:rPr>
              <w:fldChar w:fldCharType="end"/>
            </w:r>
          </w:hyperlink>
        </w:p>
        <w:p w14:paraId="76FE7B8A" w14:textId="24D52BD4" w:rsidR="00F3332F" w:rsidRPr="000E572E" w:rsidRDefault="008277F4">
          <w:pPr>
            <w:pStyle w:val="TOC3"/>
            <w:rPr>
              <w:rFonts w:asciiTheme="minorHAnsi" w:eastAsiaTheme="minorEastAsia" w:hAnsiTheme="minorHAnsi" w:cstheme="minorBidi"/>
              <w:bCs w:val="0"/>
              <w:kern w:val="2"/>
              <w:szCs w:val="24"/>
            </w:rPr>
          </w:pPr>
          <w:hyperlink w:anchor="_Toc164262867" w:history="1">
            <w:r w:rsidR="00F3332F" w:rsidRPr="00F94E71">
              <w:rPr>
                <w:rStyle w:val="Hyperlink"/>
                <w:rFonts w:eastAsia="Calibri"/>
              </w:rPr>
              <w:t>D.</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Audit Standards</w:t>
            </w:r>
            <w:r w:rsidR="00F3332F">
              <w:rPr>
                <w:webHidden/>
              </w:rPr>
              <w:tab/>
            </w:r>
            <w:r w:rsidR="00F3332F">
              <w:rPr>
                <w:webHidden/>
              </w:rPr>
              <w:fldChar w:fldCharType="begin"/>
            </w:r>
            <w:r w:rsidR="00F3332F">
              <w:rPr>
                <w:webHidden/>
              </w:rPr>
              <w:instrText xml:space="preserve"> PAGEREF _Toc164262867 \h </w:instrText>
            </w:r>
            <w:r w:rsidR="00F3332F">
              <w:rPr>
                <w:webHidden/>
              </w:rPr>
            </w:r>
            <w:r w:rsidR="00F3332F">
              <w:rPr>
                <w:webHidden/>
              </w:rPr>
              <w:fldChar w:fldCharType="separate"/>
            </w:r>
            <w:r w:rsidR="0056527E">
              <w:rPr>
                <w:webHidden/>
              </w:rPr>
              <w:t>25</w:t>
            </w:r>
            <w:r w:rsidR="00F3332F">
              <w:rPr>
                <w:webHidden/>
              </w:rPr>
              <w:fldChar w:fldCharType="end"/>
            </w:r>
          </w:hyperlink>
        </w:p>
        <w:p w14:paraId="1BD64F40" w14:textId="75CD6797" w:rsidR="00F3332F" w:rsidRPr="000E572E" w:rsidRDefault="008277F4">
          <w:pPr>
            <w:pStyle w:val="TOC3"/>
            <w:rPr>
              <w:rFonts w:asciiTheme="minorHAnsi" w:eastAsiaTheme="minorEastAsia" w:hAnsiTheme="minorHAnsi" w:cstheme="minorBidi"/>
              <w:bCs w:val="0"/>
              <w:kern w:val="2"/>
              <w:szCs w:val="24"/>
            </w:rPr>
          </w:pPr>
          <w:hyperlink w:anchor="_Toc164262868" w:history="1">
            <w:r w:rsidR="00F3332F" w:rsidRPr="00F94E71">
              <w:rPr>
                <w:rStyle w:val="Hyperlink"/>
                <w:rFonts w:eastAsia="Calibri"/>
              </w:rPr>
              <w:t>E.</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References</w:t>
            </w:r>
            <w:r w:rsidR="00F3332F">
              <w:rPr>
                <w:webHidden/>
              </w:rPr>
              <w:tab/>
            </w:r>
            <w:r w:rsidR="00F3332F">
              <w:rPr>
                <w:webHidden/>
              </w:rPr>
              <w:fldChar w:fldCharType="begin"/>
            </w:r>
            <w:r w:rsidR="00F3332F">
              <w:rPr>
                <w:webHidden/>
              </w:rPr>
              <w:instrText xml:space="preserve"> PAGEREF _Toc164262868 \h </w:instrText>
            </w:r>
            <w:r w:rsidR="00F3332F">
              <w:rPr>
                <w:webHidden/>
              </w:rPr>
            </w:r>
            <w:r w:rsidR="00F3332F">
              <w:rPr>
                <w:webHidden/>
              </w:rPr>
              <w:fldChar w:fldCharType="separate"/>
            </w:r>
            <w:r w:rsidR="0056527E">
              <w:rPr>
                <w:webHidden/>
              </w:rPr>
              <w:t>26</w:t>
            </w:r>
            <w:r w:rsidR="00F3332F">
              <w:rPr>
                <w:webHidden/>
              </w:rPr>
              <w:fldChar w:fldCharType="end"/>
            </w:r>
          </w:hyperlink>
        </w:p>
        <w:p w14:paraId="07AB164E" w14:textId="3929BBF5" w:rsidR="00F3332F" w:rsidRPr="000E572E" w:rsidRDefault="008277F4">
          <w:pPr>
            <w:pStyle w:val="TOC3"/>
            <w:rPr>
              <w:rFonts w:asciiTheme="minorHAnsi" w:eastAsiaTheme="minorEastAsia" w:hAnsiTheme="minorHAnsi" w:cstheme="minorBidi"/>
              <w:bCs w:val="0"/>
              <w:kern w:val="2"/>
              <w:szCs w:val="24"/>
            </w:rPr>
          </w:pPr>
          <w:hyperlink w:anchor="_Toc164262869" w:history="1">
            <w:r w:rsidR="00F3332F" w:rsidRPr="00F94E71">
              <w:rPr>
                <w:rStyle w:val="Hyperlink"/>
                <w:rFonts w:eastAsia="Calibri"/>
              </w:rPr>
              <w:t>F.</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Application Budget Revisions</w:t>
            </w:r>
            <w:r w:rsidR="00F3332F">
              <w:rPr>
                <w:webHidden/>
              </w:rPr>
              <w:tab/>
            </w:r>
            <w:r w:rsidR="00F3332F">
              <w:rPr>
                <w:webHidden/>
              </w:rPr>
              <w:fldChar w:fldCharType="begin"/>
            </w:r>
            <w:r w:rsidR="00F3332F">
              <w:rPr>
                <w:webHidden/>
              </w:rPr>
              <w:instrText xml:space="preserve"> PAGEREF _Toc164262869 \h </w:instrText>
            </w:r>
            <w:r w:rsidR="00F3332F">
              <w:rPr>
                <w:webHidden/>
              </w:rPr>
            </w:r>
            <w:r w:rsidR="00F3332F">
              <w:rPr>
                <w:webHidden/>
              </w:rPr>
              <w:fldChar w:fldCharType="separate"/>
            </w:r>
            <w:r w:rsidR="0056527E">
              <w:rPr>
                <w:webHidden/>
              </w:rPr>
              <w:t>26</w:t>
            </w:r>
            <w:r w:rsidR="00F3332F">
              <w:rPr>
                <w:webHidden/>
              </w:rPr>
              <w:fldChar w:fldCharType="end"/>
            </w:r>
          </w:hyperlink>
        </w:p>
        <w:p w14:paraId="49836FD3" w14:textId="0E21EA7B" w:rsidR="00F3332F" w:rsidRPr="000E572E" w:rsidRDefault="008277F4">
          <w:pPr>
            <w:pStyle w:val="TOC3"/>
            <w:rPr>
              <w:rFonts w:asciiTheme="minorHAnsi" w:eastAsiaTheme="minorEastAsia" w:hAnsiTheme="minorHAnsi" w:cstheme="minorBidi"/>
              <w:bCs w:val="0"/>
              <w:kern w:val="2"/>
              <w:szCs w:val="24"/>
            </w:rPr>
          </w:pPr>
          <w:hyperlink w:anchor="_Toc164262870" w:history="1">
            <w:r w:rsidR="00F3332F" w:rsidRPr="00F94E71">
              <w:rPr>
                <w:rStyle w:val="Hyperlink"/>
                <w:rFonts w:eastAsia="Calibri"/>
              </w:rPr>
              <w:t>G.</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Reporting Requirements</w:t>
            </w:r>
            <w:r w:rsidR="00F3332F">
              <w:rPr>
                <w:webHidden/>
              </w:rPr>
              <w:tab/>
            </w:r>
            <w:r w:rsidR="00F3332F">
              <w:rPr>
                <w:webHidden/>
              </w:rPr>
              <w:fldChar w:fldCharType="begin"/>
            </w:r>
            <w:r w:rsidR="00F3332F">
              <w:rPr>
                <w:webHidden/>
              </w:rPr>
              <w:instrText xml:space="preserve"> PAGEREF _Toc164262870 \h </w:instrText>
            </w:r>
            <w:r w:rsidR="00F3332F">
              <w:rPr>
                <w:webHidden/>
              </w:rPr>
            </w:r>
            <w:r w:rsidR="00F3332F">
              <w:rPr>
                <w:webHidden/>
              </w:rPr>
              <w:fldChar w:fldCharType="separate"/>
            </w:r>
            <w:r w:rsidR="0056527E">
              <w:rPr>
                <w:webHidden/>
              </w:rPr>
              <w:t>26</w:t>
            </w:r>
            <w:r w:rsidR="00F3332F">
              <w:rPr>
                <w:webHidden/>
              </w:rPr>
              <w:fldChar w:fldCharType="end"/>
            </w:r>
          </w:hyperlink>
        </w:p>
        <w:p w14:paraId="5265C20D" w14:textId="4B9D7867" w:rsidR="00F3332F" w:rsidRPr="000E572E" w:rsidRDefault="008277F4">
          <w:pPr>
            <w:pStyle w:val="TOC3"/>
            <w:rPr>
              <w:rFonts w:asciiTheme="minorHAnsi" w:eastAsiaTheme="minorEastAsia" w:hAnsiTheme="minorHAnsi" w:cstheme="minorBidi"/>
              <w:bCs w:val="0"/>
              <w:kern w:val="2"/>
              <w:szCs w:val="24"/>
            </w:rPr>
          </w:pPr>
          <w:hyperlink w:anchor="_Toc164262871" w:history="1">
            <w:r w:rsidR="00F3332F" w:rsidRPr="00F94E71">
              <w:rPr>
                <w:rStyle w:val="Hyperlink"/>
                <w:rFonts w:eastAsia="Calibri"/>
              </w:rPr>
              <w:t>H.</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Programmatic Reporting</w:t>
            </w:r>
            <w:r w:rsidR="00F3332F">
              <w:rPr>
                <w:webHidden/>
              </w:rPr>
              <w:tab/>
            </w:r>
            <w:r w:rsidR="00F3332F">
              <w:rPr>
                <w:webHidden/>
              </w:rPr>
              <w:fldChar w:fldCharType="begin"/>
            </w:r>
            <w:r w:rsidR="00F3332F">
              <w:rPr>
                <w:webHidden/>
              </w:rPr>
              <w:instrText xml:space="preserve"> PAGEREF _Toc164262871 \h </w:instrText>
            </w:r>
            <w:r w:rsidR="00F3332F">
              <w:rPr>
                <w:webHidden/>
              </w:rPr>
            </w:r>
            <w:r w:rsidR="00F3332F">
              <w:rPr>
                <w:webHidden/>
              </w:rPr>
              <w:fldChar w:fldCharType="separate"/>
            </w:r>
            <w:r w:rsidR="0056527E">
              <w:rPr>
                <w:webHidden/>
              </w:rPr>
              <w:t>27</w:t>
            </w:r>
            <w:r w:rsidR="00F3332F">
              <w:rPr>
                <w:webHidden/>
              </w:rPr>
              <w:fldChar w:fldCharType="end"/>
            </w:r>
          </w:hyperlink>
        </w:p>
        <w:p w14:paraId="24D242BE" w14:textId="523472B4" w:rsidR="00F3332F" w:rsidRPr="000E572E" w:rsidRDefault="008277F4">
          <w:pPr>
            <w:pStyle w:val="TOC3"/>
            <w:rPr>
              <w:rFonts w:asciiTheme="minorHAnsi" w:eastAsiaTheme="minorEastAsia" w:hAnsiTheme="minorHAnsi" w:cstheme="minorBidi"/>
              <w:bCs w:val="0"/>
              <w:kern w:val="2"/>
              <w:szCs w:val="24"/>
            </w:rPr>
          </w:pPr>
          <w:hyperlink w:anchor="_Toc164262872" w:history="1">
            <w:r w:rsidR="00F3332F" w:rsidRPr="00F94E71">
              <w:rPr>
                <w:rStyle w:val="Hyperlink"/>
                <w:rFonts w:eastAsia="Calibri"/>
              </w:rPr>
              <w:t>I.</w:t>
            </w:r>
            <w:r w:rsidR="00F3332F" w:rsidRPr="000E572E">
              <w:rPr>
                <w:rFonts w:asciiTheme="minorHAnsi" w:eastAsiaTheme="minorEastAsia" w:hAnsiTheme="minorHAnsi" w:cstheme="minorBidi"/>
                <w:bCs w:val="0"/>
                <w:kern w:val="2"/>
                <w:szCs w:val="24"/>
              </w:rPr>
              <w:tab/>
            </w:r>
            <w:r w:rsidR="00F3332F" w:rsidRPr="00F94E71">
              <w:rPr>
                <w:rStyle w:val="Hyperlink"/>
                <w:rFonts w:eastAsia="Calibri"/>
              </w:rPr>
              <w:t>Fiscal Reporting</w:t>
            </w:r>
            <w:r w:rsidR="00F3332F">
              <w:rPr>
                <w:webHidden/>
              </w:rPr>
              <w:tab/>
            </w:r>
            <w:r w:rsidR="00F3332F">
              <w:rPr>
                <w:webHidden/>
              </w:rPr>
              <w:fldChar w:fldCharType="begin"/>
            </w:r>
            <w:r w:rsidR="00F3332F">
              <w:rPr>
                <w:webHidden/>
              </w:rPr>
              <w:instrText xml:space="preserve"> PAGEREF _Toc164262872 \h </w:instrText>
            </w:r>
            <w:r w:rsidR="00F3332F">
              <w:rPr>
                <w:webHidden/>
              </w:rPr>
            </w:r>
            <w:r w:rsidR="00F3332F">
              <w:rPr>
                <w:webHidden/>
              </w:rPr>
              <w:fldChar w:fldCharType="separate"/>
            </w:r>
            <w:r w:rsidR="0056527E">
              <w:rPr>
                <w:webHidden/>
              </w:rPr>
              <w:t>28</w:t>
            </w:r>
            <w:r w:rsidR="00F3332F">
              <w:rPr>
                <w:webHidden/>
              </w:rPr>
              <w:fldChar w:fldCharType="end"/>
            </w:r>
          </w:hyperlink>
        </w:p>
        <w:p w14:paraId="00BD6C6C" w14:textId="4259BE13" w:rsidR="000D54E7" w:rsidRPr="00152741" w:rsidRDefault="000D54E7" w:rsidP="00F9659F">
          <w:pPr>
            <w:pStyle w:val="TOC3"/>
            <w:tabs>
              <w:tab w:val="clear" w:pos="900"/>
              <w:tab w:val="left" w:pos="1620"/>
            </w:tabs>
            <w:ind w:left="810"/>
          </w:pPr>
          <w:r w:rsidRPr="00152741">
            <w:rPr>
              <w:b/>
            </w:rPr>
            <w:fldChar w:fldCharType="end"/>
          </w:r>
        </w:p>
      </w:sdtContent>
    </w:sdt>
    <w:p w14:paraId="063B7E2F" w14:textId="06D7BF72" w:rsidR="00AE2D08" w:rsidRPr="00152741" w:rsidRDefault="000D54E7" w:rsidP="000D54E7">
      <w:pPr>
        <w:tabs>
          <w:tab w:val="center" w:pos="4680"/>
        </w:tabs>
        <w:sectPr w:rsidR="00AE2D08" w:rsidRPr="00152741" w:rsidSect="009C55CA">
          <w:footerReference w:type="first" r:id="rId10"/>
          <w:pgSz w:w="12240" w:h="15840" w:code="1"/>
          <w:pgMar w:top="1440" w:right="1440" w:bottom="864" w:left="1440" w:header="720" w:footer="720" w:gutter="0"/>
          <w:pgNumType w:fmt="lowerRoman" w:start="1"/>
          <w:cols w:space="720"/>
          <w:titlePg/>
          <w:docGrid w:linePitch="326"/>
        </w:sectPr>
      </w:pPr>
      <w:r w:rsidRPr="00152741">
        <w:tab/>
      </w:r>
    </w:p>
    <w:p w14:paraId="336488D2" w14:textId="77777777" w:rsidR="00732EFE" w:rsidRPr="00152741" w:rsidRDefault="00D544E6" w:rsidP="00962C66">
      <w:pPr>
        <w:pStyle w:val="Heading2"/>
        <w:numPr>
          <w:ilvl w:val="0"/>
          <w:numId w:val="21"/>
        </w:numPr>
        <w:spacing w:after="480"/>
        <w:ind w:left="360"/>
        <w:jc w:val="center"/>
        <w:rPr>
          <w:szCs w:val="24"/>
        </w:rPr>
      </w:pPr>
      <w:bookmarkStart w:id="22" w:name="_Toc164262840"/>
      <w:r w:rsidRPr="00152741">
        <w:rPr>
          <w:szCs w:val="24"/>
        </w:rPr>
        <w:lastRenderedPageBreak/>
        <w:t>INTRODUCTION</w:t>
      </w:r>
      <w:bookmarkEnd w:id="22"/>
    </w:p>
    <w:p w14:paraId="32E1BF86" w14:textId="77777777" w:rsidR="00732EFE" w:rsidRPr="00152741" w:rsidRDefault="00732EFE" w:rsidP="00E32B10">
      <w:pPr>
        <w:pStyle w:val="Heading3"/>
        <w:numPr>
          <w:ilvl w:val="0"/>
          <w:numId w:val="9"/>
        </w:numPr>
        <w:tabs>
          <w:tab w:val="clear" w:pos="960"/>
          <w:tab w:val="clear" w:pos="1440"/>
          <w:tab w:val="clear" w:pos="1800"/>
          <w:tab w:val="clear" w:pos="2160"/>
        </w:tabs>
        <w:spacing w:before="360" w:after="240"/>
      </w:pPr>
      <w:bookmarkStart w:id="23" w:name="_Toc164262841"/>
      <w:r w:rsidRPr="00152741">
        <w:t>Purpose</w:t>
      </w:r>
      <w:bookmarkEnd w:id="23"/>
    </w:p>
    <w:p w14:paraId="197D4C5A" w14:textId="61999922" w:rsidR="00732EFE" w:rsidRPr="00152741" w:rsidRDefault="00732EFE" w:rsidP="00877898">
      <w:pPr>
        <w:spacing w:after="240"/>
        <w:ind w:left="720"/>
        <w:rPr>
          <w:bCs w:val="0"/>
          <w:szCs w:val="24"/>
        </w:rPr>
      </w:pPr>
      <w:bookmarkStart w:id="24" w:name="_Hlk141788103"/>
      <w:bookmarkStart w:id="25" w:name="_Hlk141787257"/>
      <w:r w:rsidRPr="00152741">
        <w:t xml:space="preserve">The purpose of this </w:t>
      </w:r>
      <w:r w:rsidR="00C5537D" w:rsidRPr="00152741">
        <w:t>Request for</w:t>
      </w:r>
      <w:r w:rsidRPr="00152741">
        <w:t xml:space="preserve"> Application</w:t>
      </w:r>
      <w:r w:rsidR="00C5537D" w:rsidRPr="00152741">
        <w:t>s (RFA)</w:t>
      </w:r>
      <w:r w:rsidRPr="00152741">
        <w:t xml:space="preserve"> is to </w:t>
      </w:r>
      <w:r w:rsidR="00C5537D" w:rsidRPr="00152741">
        <w:t xml:space="preserve">solicit applications from </w:t>
      </w:r>
      <w:r w:rsidRPr="00152741">
        <w:t xml:space="preserve">eligible Tribal Groups or Incorporated American Indian Associations for grants to operate American Indian Education Centers (AIEC) authorized by sections 33370 and 33380–33385 of the </w:t>
      </w:r>
      <w:r w:rsidRPr="00152741">
        <w:rPr>
          <w:bCs w:val="0"/>
          <w:szCs w:val="24"/>
        </w:rPr>
        <w:t xml:space="preserve">California </w:t>
      </w:r>
      <w:r w:rsidRPr="00152741">
        <w:rPr>
          <w:bCs w:val="0"/>
          <w:i/>
          <w:szCs w:val="24"/>
        </w:rPr>
        <w:t>Education Code (EC)</w:t>
      </w:r>
      <w:r w:rsidRPr="00152741">
        <w:rPr>
          <w:bCs w:val="0"/>
          <w:szCs w:val="24"/>
        </w:rPr>
        <w:t xml:space="preserve">. </w:t>
      </w:r>
      <w:bookmarkEnd w:id="24"/>
      <w:r w:rsidRPr="00152741">
        <w:rPr>
          <w:bCs w:val="0"/>
          <w:szCs w:val="24"/>
        </w:rPr>
        <w:t>It is anticipat</w:t>
      </w:r>
      <w:r w:rsidR="003D5F75" w:rsidRPr="00152741">
        <w:rPr>
          <w:bCs w:val="0"/>
          <w:szCs w:val="24"/>
        </w:rPr>
        <w:t>ed that the Budget Act will allocate approximately $</w:t>
      </w:r>
      <w:r w:rsidR="00F6734A" w:rsidRPr="00152741">
        <w:rPr>
          <w:bCs w:val="0"/>
          <w:szCs w:val="24"/>
        </w:rPr>
        <w:t>5.1</w:t>
      </w:r>
      <w:r w:rsidR="00251E4B">
        <w:rPr>
          <w:bCs w:val="0"/>
          <w:szCs w:val="24"/>
        </w:rPr>
        <w:t xml:space="preserve"> </w:t>
      </w:r>
      <w:r w:rsidRPr="00152741">
        <w:rPr>
          <w:bCs w:val="0"/>
          <w:szCs w:val="24"/>
        </w:rPr>
        <w:t xml:space="preserve">million for </w:t>
      </w:r>
      <w:r w:rsidR="0031677A" w:rsidRPr="00152741">
        <w:rPr>
          <w:bCs w:val="0"/>
          <w:szCs w:val="24"/>
        </w:rPr>
        <w:t>the fiscal</w:t>
      </w:r>
      <w:r w:rsidRPr="00152741">
        <w:rPr>
          <w:bCs w:val="0"/>
          <w:szCs w:val="24"/>
        </w:rPr>
        <w:t xml:space="preserve"> year</w:t>
      </w:r>
      <w:r w:rsidR="00B06E12">
        <w:rPr>
          <w:bCs w:val="0"/>
          <w:szCs w:val="24"/>
        </w:rPr>
        <w:t xml:space="preserve"> </w:t>
      </w:r>
      <w:r w:rsidR="00F9659F">
        <w:rPr>
          <w:bCs w:val="0"/>
          <w:szCs w:val="24"/>
        </w:rPr>
        <w:t xml:space="preserve">(FY) </w:t>
      </w:r>
      <w:r w:rsidR="00BF19F0" w:rsidRPr="00152741">
        <w:rPr>
          <w:bCs w:val="0"/>
          <w:szCs w:val="24"/>
        </w:rPr>
        <w:t>2024-25</w:t>
      </w:r>
      <w:r w:rsidRPr="00152741">
        <w:rPr>
          <w:bCs w:val="0"/>
          <w:szCs w:val="24"/>
        </w:rPr>
        <w:t>.</w:t>
      </w:r>
      <w:r w:rsidR="00C5537D" w:rsidRPr="00152741">
        <w:rPr>
          <w:bCs w:val="0"/>
          <w:szCs w:val="24"/>
        </w:rPr>
        <w:t xml:space="preserve"> The California Department of Education (CDE) anticipates that similar amounts will be allocated for each year during this five-year cycle. This award is made contingent upon the availability of funds. If the Legislature takes action to reduce or defer the funding upon which this award is based, then this award will be amended accordingly.</w:t>
      </w:r>
    </w:p>
    <w:p w14:paraId="76E6D5E9" w14:textId="77777777" w:rsidR="00732EFE" w:rsidRPr="00152741" w:rsidRDefault="00732EFE" w:rsidP="00732EFE">
      <w:pPr>
        <w:spacing w:after="240"/>
        <w:ind w:left="720"/>
        <w:rPr>
          <w:szCs w:val="24"/>
        </w:rPr>
      </w:pPr>
      <w:r w:rsidRPr="00152741">
        <w:rPr>
          <w:bCs w:val="0"/>
          <w:szCs w:val="24"/>
        </w:rPr>
        <w:t>The AIEC grant funds may be used for any of the purposes specified in the authorizing legislation and the program regulations (</w:t>
      </w:r>
      <w:r w:rsidRPr="00152741">
        <w:rPr>
          <w:bCs w:val="0"/>
          <w:i/>
          <w:szCs w:val="24"/>
        </w:rPr>
        <w:t>California Code of Regulations,</w:t>
      </w:r>
      <w:r w:rsidRPr="00152741">
        <w:rPr>
          <w:bCs w:val="0"/>
          <w:szCs w:val="24"/>
        </w:rPr>
        <w:t xml:space="preserve"> Title 5 [5 </w:t>
      </w:r>
      <w:r w:rsidRPr="00152741">
        <w:rPr>
          <w:bCs w:val="0"/>
          <w:i/>
          <w:szCs w:val="24"/>
        </w:rPr>
        <w:t>CCR</w:t>
      </w:r>
      <w:r w:rsidRPr="00152741">
        <w:rPr>
          <w:bCs w:val="0"/>
          <w:szCs w:val="24"/>
        </w:rPr>
        <w:t>], Section 11996)</w:t>
      </w:r>
      <w:r w:rsidRPr="00152741">
        <w:rPr>
          <w:szCs w:val="24"/>
        </w:rPr>
        <w:t xml:space="preserve"> to promote the academic and cultural achievement of the students. The AIEC grant funds may be used, </w:t>
      </w:r>
      <w:proofErr w:type="gramStart"/>
      <w:r w:rsidRPr="00152741">
        <w:rPr>
          <w:szCs w:val="24"/>
        </w:rPr>
        <w:t>on the basis of</w:t>
      </w:r>
      <w:proofErr w:type="gramEnd"/>
      <w:r w:rsidRPr="00152741">
        <w:rPr>
          <w:szCs w:val="24"/>
        </w:rPr>
        <w:t xml:space="preserve"> established priority needs, to accomplish the following:</w:t>
      </w:r>
    </w:p>
    <w:p w14:paraId="10A934D9" w14:textId="77777777" w:rsidR="00732EFE" w:rsidRPr="00152741" w:rsidRDefault="00A62F48" w:rsidP="00962C66">
      <w:pPr>
        <w:pStyle w:val="ListParagraph"/>
        <w:numPr>
          <w:ilvl w:val="0"/>
          <w:numId w:val="50"/>
        </w:numPr>
        <w:spacing w:after="240"/>
      </w:pPr>
      <w:r w:rsidRPr="00152741">
        <w:t>Improve the academic achiev</w:t>
      </w:r>
      <w:r w:rsidR="00823CF6" w:rsidRPr="00152741">
        <w:t>ement of American Indian pupil</w:t>
      </w:r>
      <w:r w:rsidRPr="00152741">
        <w:t>s in kindergarten and grades one to twelve, inclusive.</w:t>
      </w:r>
    </w:p>
    <w:p w14:paraId="465D1D35"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Improve the self-concept and sense of ide</w:t>
      </w:r>
      <w:r w:rsidR="00823CF6" w:rsidRPr="00152741">
        <w:rPr>
          <w:szCs w:val="24"/>
        </w:rPr>
        <w:t>ntity of American Indian pupil</w:t>
      </w:r>
      <w:r w:rsidRPr="00152741">
        <w:rPr>
          <w:szCs w:val="24"/>
        </w:rPr>
        <w:t>s and adults.</w:t>
      </w:r>
    </w:p>
    <w:p w14:paraId="7D3652D1" w14:textId="77777777" w:rsidR="00A62F48" w:rsidRPr="00152741" w:rsidRDefault="00823CF6"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S</w:t>
      </w:r>
      <w:r w:rsidR="00A62F48" w:rsidRPr="00152741">
        <w:rPr>
          <w:szCs w:val="24"/>
        </w:rPr>
        <w:t>erve as a center for related community activities.</w:t>
      </w:r>
    </w:p>
    <w:p w14:paraId="28141097"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Provide individual</w:t>
      </w:r>
      <w:r w:rsidR="00823CF6" w:rsidRPr="00152741">
        <w:rPr>
          <w:szCs w:val="24"/>
        </w:rPr>
        <w:t xml:space="preserve"> and group counseling to pupil</w:t>
      </w:r>
      <w:r w:rsidRPr="00152741">
        <w:rPr>
          <w:szCs w:val="24"/>
        </w:rPr>
        <w:t>s and adults related to personal adjustment, academic progress, and vocational planning.</w:t>
      </w:r>
    </w:p>
    <w:p w14:paraId="24CD43A7"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Create and offer coordinated programs with the public schools.</w:t>
      </w:r>
    </w:p>
    <w:p w14:paraId="71A92C7D"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Provide a focus for summer cultural, recreational, and academic experiences.</w:t>
      </w:r>
    </w:p>
    <w:p w14:paraId="021CBAEA"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Create and offer adult classes and activities that benefit</w:t>
      </w:r>
      <w:r w:rsidR="00823CF6" w:rsidRPr="00152741">
        <w:rPr>
          <w:szCs w:val="24"/>
        </w:rPr>
        <w:t xml:space="preserve"> parents or guardians of pupils in its p</w:t>
      </w:r>
      <w:r w:rsidRPr="00152741">
        <w:rPr>
          <w:szCs w:val="24"/>
        </w:rPr>
        <w:t>rograms.</w:t>
      </w:r>
    </w:p>
    <w:p w14:paraId="233B4E18"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4"/>
        </w:rPr>
      </w:pPr>
      <w:r w:rsidRPr="00152741">
        <w:rPr>
          <w:szCs w:val="24"/>
        </w:rPr>
        <w:t>Provide training programs to develop pathways to college and the workp</w:t>
      </w:r>
      <w:r w:rsidR="00823CF6" w:rsidRPr="00152741">
        <w:rPr>
          <w:szCs w:val="24"/>
        </w:rPr>
        <w:t>lace for American Indian pupil</w:t>
      </w:r>
      <w:r w:rsidRPr="00152741">
        <w:rPr>
          <w:szCs w:val="24"/>
        </w:rPr>
        <w:t>s.</w:t>
      </w:r>
    </w:p>
    <w:p w14:paraId="352FB335" w14:textId="77777777" w:rsidR="00A62F48" w:rsidRPr="00152741" w:rsidRDefault="00A62F48" w:rsidP="00962C66">
      <w:pPr>
        <w:numPr>
          <w:ilvl w:val="0"/>
          <w:numId w:val="50"/>
        </w:numPr>
        <w:tabs>
          <w:tab w:val="left" w:pos="10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szCs w:val="24"/>
        </w:rPr>
      </w:pPr>
      <w:r w:rsidRPr="00152741">
        <w:rPr>
          <w:szCs w:val="24"/>
        </w:rPr>
        <w:t>Provide American Indian education</w:t>
      </w:r>
      <w:r w:rsidR="00823CF6" w:rsidRPr="00152741">
        <w:rPr>
          <w:szCs w:val="24"/>
        </w:rPr>
        <w:t>al resource materials to pupil</w:t>
      </w:r>
      <w:r w:rsidRPr="00152741">
        <w:rPr>
          <w:szCs w:val="24"/>
        </w:rPr>
        <w:t xml:space="preserve">s, their parents, and the schools they attend </w:t>
      </w:r>
      <w:proofErr w:type="gramStart"/>
      <w:r w:rsidR="00823CF6" w:rsidRPr="00152741">
        <w:rPr>
          <w:szCs w:val="24"/>
        </w:rPr>
        <w:t xml:space="preserve">in order </w:t>
      </w:r>
      <w:r w:rsidRPr="00152741">
        <w:rPr>
          <w:szCs w:val="24"/>
        </w:rPr>
        <w:t>to</w:t>
      </w:r>
      <w:proofErr w:type="gramEnd"/>
      <w:r w:rsidRPr="00152741">
        <w:rPr>
          <w:szCs w:val="24"/>
        </w:rPr>
        <w:t xml:space="preserve"> ensure appropriate tribal histories and cultures is made available.</w:t>
      </w:r>
    </w:p>
    <w:p w14:paraId="01FAC37C" w14:textId="77777777" w:rsidR="00A62F48" w:rsidRPr="00152741" w:rsidRDefault="00A62F48" w:rsidP="00E32B10">
      <w:pPr>
        <w:pStyle w:val="Heading3"/>
        <w:numPr>
          <w:ilvl w:val="0"/>
          <w:numId w:val="9"/>
        </w:numPr>
        <w:spacing w:before="360" w:after="240"/>
      </w:pPr>
      <w:bookmarkStart w:id="26" w:name="_Toc164262842"/>
      <w:bookmarkEnd w:id="25"/>
      <w:r w:rsidRPr="00152741">
        <w:lastRenderedPageBreak/>
        <w:t>Background</w:t>
      </w:r>
      <w:bookmarkEnd w:id="26"/>
    </w:p>
    <w:p w14:paraId="0C2A2D9D" w14:textId="2C8535CE" w:rsidR="00042C64" w:rsidRPr="00152741" w:rsidRDefault="00A62F48" w:rsidP="00877898">
      <w:pPr>
        <w:spacing w:after="480"/>
        <w:ind w:left="720"/>
        <w:rPr>
          <w:szCs w:val="24"/>
        </w:rPr>
      </w:pPr>
      <w:bookmarkStart w:id="27" w:name="_Hlk141786765"/>
      <w:r w:rsidRPr="00152741">
        <w:t xml:space="preserve">The AIEC Program </w:t>
      </w:r>
      <w:r w:rsidRPr="00152741">
        <w:rPr>
          <w:szCs w:val="24"/>
        </w:rPr>
        <w:t xml:space="preserve">was established in 1974 by Senate Bill 2264. The </w:t>
      </w:r>
      <w:r w:rsidRPr="00152741">
        <w:rPr>
          <w:color w:val="000000"/>
          <w:szCs w:val="24"/>
        </w:rPr>
        <w:t xml:space="preserve">intent was to provide educational services that promote academic success for American Indian students by providing community-based programs to address the unique academic and cultural needs of American Indian students in California’s public schools. The </w:t>
      </w:r>
      <w:r w:rsidRPr="00152741">
        <w:rPr>
          <w:szCs w:val="24"/>
        </w:rPr>
        <w:t>AIECs serve as educational resource centers in American Indian communities for American Indian students, their families, and the public schools in those communities. A student’s heritage may be from any of the 109 California tribes or from any of the hundreds of tribes from across the country. Primary emphasis is placed on the provision of direct services to improve achievement in reading/language arts and mathematics. A secondary purpose is to build students’ self-concept in relation to their heritage through cultural activities. A primary outcome of these activities is to create a skilled, educated workforce in the American Indian community and in California.</w:t>
      </w:r>
    </w:p>
    <w:p w14:paraId="4924910A" w14:textId="77777777" w:rsidR="00C5537D" w:rsidRPr="00152741" w:rsidRDefault="00C5537D" w:rsidP="00E32B10">
      <w:pPr>
        <w:pStyle w:val="Heading3"/>
        <w:numPr>
          <w:ilvl w:val="0"/>
          <w:numId w:val="9"/>
        </w:numPr>
        <w:spacing w:before="360" w:after="240"/>
      </w:pPr>
      <w:bookmarkStart w:id="28" w:name="_Toc164262843"/>
      <w:bookmarkEnd w:id="27"/>
      <w:r w:rsidRPr="00152741">
        <w:t>Eligibility Requirements</w:t>
      </w:r>
      <w:bookmarkEnd w:id="28"/>
    </w:p>
    <w:p w14:paraId="1ADD1587" w14:textId="58729755" w:rsidR="00A62F48" w:rsidRPr="00152741" w:rsidRDefault="00C5537D" w:rsidP="00877898">
      <w:pPr>
        <w:spacing w:after="240"/>
        <w:ind w:left="720"/>
        <w:rPr>
          <w:szCs w:val="24"/>
        </w:rPr>
      </w:pPr>
      <w:bookmarkStart w:id="29" w:name="_Hlk141786819"/>
      <w:r w:rsidRPr="00152741">
        <w:t xml:space="preserve">An application for the establishment of a California AIEC may be made to the CDE by </w:t>
      </w:r>
      <w:r w:rsidR="0031677A" w:rsidRPr="00152741">
        <w:t>a</w:t>
      </w:r>
      <w:r w:rsidRPr="00152741">
        <w:t xml:space="preserve"> Tribal Group or Incorporated American Indian Association, separately or jointly, upon forms provided by the CDE </w:t>
      </w:r>
      <w:r w:rsidRPr="00152741">
        <w:rPr>
          <w:szCs w:val="24"/>
        </w:rPr>
        <w:t>(</w:t>
      </w:r>
      <w:r w:rsidRPr="00152741">
        <w:rPr>
          <w:i/>
          <w:szCs w:val="24"/>
        </w:rPr>
        <w:t>EC</w:t>
      </w:r>
      <w:r w:rsidRPr="00152741">
        <w:rPr>
          <w:szCs w:val="24"/>
        </w:rPr>
        <w:t xml:space="preserve"> Section 33383[a]).</w:t>
      </w:r>
    </w:p>
    <w:p w14:paraId="2E8F8BA0" w14:textId="77777777" w:rsidR="00C5537D" w:rsidRPr="00152741" w:rsidRDefault="00C5537D" w:rsidP="00877898">
      <w:pPr>
        <w:spacing w:after="240"/>
        <w:ind w:left="720"/>
      </w:pPr>
      <w:r w:rsidRPr="00152741">
        <w:rPr>
          <w:szCs w:val="24"/>
        </w:rPr>
        <w:t xml:space="preserve">“Tribal Group” </w:t>
      </w:r>
      <w:r w:rsidRPr="00152741">
        <w:t xml:space="preserve">means any federally recognized tribal government, including terminated California tribes (5 </w:t>
      </w:r>
      <w:r w:rsidRPr="00152741">
        <w:rPr>
          <w:i/>
        </w:rPr>
        <w:t>CCR</w:t>
      </w:r>
      <w:r w:rsidRPr="00152741">
        <w:t>, Section 11996.1, subdivision [o]).</w:t>
      </w:r>
    </w:p>
    <w:p w14:paraId="53EC39B6" w14:textId="16FA5CF6" w:rsidR="00C5537D" w:rsidRPr="00152741" w:rsidRDefault="00C5537D" w:rsidP="00877898">
      <w:pPr>
        <w:spacing w:after="480"/>
        <w:ind w:left="720"/>
      </w:pPr>
      <w:r w:rsidRPr="00152741">
        <w:t xml:space="preserve">“Incorporated American Indian Association” means a California American </w:t>
      </w:r>
      <w:r w:rsidR="00A70CAB">
        <w:t>Indian-governed</w:t>
      </w:r>
      <w:r w:rsidRPr="00152741">
        <w:t xml:space="preserve"> community-based organization that has received and maintains its nonprofit status from the federal government and has current articles of incorporation on file with the State of California. It also means any </w:t>
      </w:r>
      <w:r w:rsidR="004C3BC3" w:rsidRPr="00152741">
        <w:t>tribal</w:t>
      </w:r>
      <w:r w:rsidR="0031677A" w:rsidRPr="00152741">
        <w:t xml:space="preserve"> incorporated</w:t>
      </w:r>
      <w:r w:rsidRPr="00152741">
        <w:t xml:space="preserve"> nonprofit that either maintains separate nonprofit status with the federal government or uses the incorporating tribal federal designation (Public Law 93-638) (5 </w:t>
      </w:r>
      <w:r w:rsidRPr="00152741">
        <w:rPr>
          <w:i/>
        </w:rPr>
        <w:t>CCR</w:t>
      </w:r>
      <w:r w:rsidRPr="00152741">
        <w:t>, Section 11996.1, subdivision [h]).</w:t>
      </w:r>
    </w:p>
    <w:p w14:paraId="286EEAFD" w14:textId="77777777" w:rsidR="00C5537D" w:rsidRPr="00152741" w:rsidRDefault="00C5537D" w:rsidP="00E32B10">
      <w:pPr>
        <w:pStyle w:val="Heading3"/>
        <w:numPr>
          <w:ilvl w:val="0"/>
          <w:numId w:val="9"/>
        </w:numPr>
        <w:spacing w:before="360" w:after="240"/>
      </w:pPr>
      <w:bookmarkStart w:id="30" w:name="_Toc164262844"/>
      <w:bookmarkEnd w:id="29"/>
      <w:r w:rsidRPr="00152741">
        <w:t>Grant Award Amounts</w:t>
      </w:r>
      <w:bookmarkEnd w:id="30"/>
    </w:p>
    <w:p w14:paraId="4239A6A7" w14:textId="23DB1010" w:rsidR="00C5537D" w:rsidRPr="00152741" w:rsidRDefault="00C5537D" w:rsidP="00877898">
      <w:pPr>
        <w:spacing w:after="480"/>
        <w:ind w:left="720" w:right="-86"/>
        <w:rPr>
          <w:szCs w:val="24"/>
        </w:rPr>
      </w:pPr>
      <w:r w:rsidRPr="00152741">
        <w:t>The CDE will fund successful grant applications at a maximum of $</w:t>
      </w:r>
      <w:r w:rsidR="00863CA7" w:rsidRPr="00152741">
        <w:t>234,000</w:t>
      </w:r>
      <w:r w:rsidRPr="00152741">
        <w:t xml:space="preserve"> </w:t>
      </w:r>
      <w:r w:rsidR="0031677A" w:rsidRPr="00152741">
        <w:t>if</w:t>
      </w:r>
      <w:r w:rsidRPr="00152741">
        <w:t xml:space="preserve"> the </w:t>
      </w:r>
      <w:r w:rsidRPr="00152741">
        <w:rPr>
          <w:szCs w:val="24"/>
        </w:rPr>
        <w:t>program application is well-justified and the budget is realistic and well-</w:t>
      </w:r>
      <w:r w:rsidR="00042C64" w:rsidRPr="00152741">
        <w:rPr>
          <w:szCs w:val="24"/>
        </w:rPr>
        <w:t>s</w:t>
      </w:r>
      <w:r w:rsidRPr="00152741">
        <w:rPr>
          <w:szCs w:val="24"/>
        </w:rPr>
        <w:t>upported. However, the CDE reserves the right to fund applications at a lesser amount if it is determined that the application can be implemented with less funding or if state</w:t>
      </w:r>
      <w:r w:rsidR="00042C64" w:rsidRPr="00152741">
        <w:rPr>
          <w:szCs w:val="24"/>
        </w:rPr>
        <w:t xml:space="preserve"> funding is not sufficient to fully fund all applications that merit </w:t>
      </w:r>
      <w:r w:rsidR="0031677A" w:rsidRPr="00152741">
        <w:rPr>
          <w:szCs w:val="24"/>
        </w:rPr>
        <w:t>an award</w:t>
      </w:r>
      <w:r w:rsidR="00042C64" w:rsidRPr="00152741">
        <w:rPr>
          <w:szCs w:val="24"/>
        </w:rPr>
        <w:t>. It is anticipated that approximately $</w:t>
      </w:r>
      <w:r w:rsidR="00F6734A" w:rsidRPr="00152741">
        <w:rPr>
          <w:szCs w:val="24"/>
        </w:rPr>
        <w:t xml:space="preserve">5.1 </w:t>
      </w:r>
      <w:r w:rsidR="00042C64" w:rsidRPr="00152741">
        <w:rPr>
          <w:szCs w:val="24"/>
        </w:rPr>
        <w:t xml:space="preserve">million will be allocated to fund </w:t>
      </w:r>
      <w:r w:rsidR="007728CC" w:rsidRPr="00152741">
        <w:rPr>
          <w:szCs w:val="24"/>
        </w:rPr>
        <w:t>approximately</w:t>
      </w:r>
      <w:r w:rsidR="00042C64" w:rsidRPr="00152741">
        <w:rPr>
          <w:szCs w:val="24"/>
        </w:rPr>
        <w:t xml:space="preserve"> </w:t>
      </w:r>
      <w:r w:rsidR="00BF19F0" w:rsidRPr="00152741">
        <w:rPr>
          <w:szCs w:val="24"/>
        </w:rPr>
        <w:t>2</w:t>
      </w:r>
      <w:r w:rsidR="0071071D" w:rsidRPr="00152741">
        <w:rPr>
          <w:szCs w:val="24"/>
        </w:rPr>
        <w:t>0</w:t>
      </w:r>
      <w:r w:rsidR="00042C64" w:rsidRPr="00152741">
        <w:rPr>
          <w:szCs w:val="24"/>
        </w:rPr>
        <w:t xml:space="preserve"> applications for the AIEC Program for grant year 20</w:t>
      </w:r>
      <w:r w:rsidR="00431F71" w:rsidRPr="00152741">
        <w:rPr>
          <w:szCs w:val="24"/>
        </w:rPr>
        <w:t>24-25</w:t>
      </w:r>
      <w:r w:rsidR="00042C64" w:rsidRPr="00152741">
        <w:rPr>
          <w:szCs w:val="24"/>
        </w:rPr>
        <w:t>. Grants will be awarded on a competitive basis to applicants meeting the CDE’s quality criteria explained in the</w:t>
      </w:r>
      <w:r w:rsidR="001D04AD">
        <w:rPr>
          <w:szCs w:val="24"/>
        </w:rPr>
        <w:t xml:space="preserve"> AIEC</w:t>
      </w:r>
      <w:r w:rsidR="00A3567B" w:rsidRPr="00152741">
        <w:rPr>
          <w:szCs w:val="24"/>
        </w:rPr>
        <w:t xml:space="preserve"> </w:t>
      </w:r>
      <w:r w:rsidR="00042C64" w:rsidRPr="00152741">
        <w:rPr>
          <w:szCs w:val="24"/>
        </w:rPr>
        <w:t xml:space="preserve">Scoring Rubric </w:t>
      </w:r>
      <w:r w:rsidR="007C61A6">
        <w:rPr>
          <w:szCs w:val="24"/>
        </w:rPr>
        <w:t xml:space="preserve">Template </w:t>
      </w:r>
      <w:r w:rsidR="00042C64" w:rsidRPr="00152741">
        <w:rPr>
          <w:szCs w:val="24"/>
        </w:rPr>
        <w:t>(</w:t>
      </w:r>
      <w:r w:rsidR="00A3567B" w:rsidRPr="00152741">
        <w:rPr>
          <w:szCs w:val="24"/>
        </w:rPr>
        <w:t>Attachment 2</w:t>
      </w:r>
      <w:r w:rsidR="00042C64" w:rsidRPr="00152741">
        <w:rPr>
          <w:szCs w:val="24"/>
        </w:rPr>
        <w:t>).</w:t>
      </w:r>
    </w:p>
    <w:p w14:paraId="38BB3E18" w14:textId="77777777" w:rsidR="00042C64" w:rsidRPr="00152741" w:rsidRDefault="00042C64" w:rsidP="00E32B10">
      <w:pPr>
        <w:pStyle w:val="Heading3"/>
        <w:numPr>
          <w:ilvl w:val="0"/>
          <w:numId w:val="9"/>
        </w:numPr>
        <w:spacing w:before="360" w:after="240"/>
      </w:pPr>
      <w:bookmarkStart w:id="31" w:name="_Toc164262845"/>
      <w:r w:rsidRPr="00152741">
        <w:lastRenderedPageBreak/>
        <w:t>Grant Funding Period</w:t>
      </w:r>
      <w:bookmarkEnd w:id="31"/>
    </w:p>
    <w:p w14:paraId="0249E801" w14:textId="77777777" w:rsidR="00042C64" w:rsidRPr="00152741" w:rsidRDefault="00042C64" w:rsidP="00042C64">
      <w:pPr>
        <w:pStyle w:val="ListBullet2"/>
        <w:keepNext/>
        <w:keepLines/>
        <w:numPr>
          <w:ilvl w:val="0"/>
          <w:numId w:val="0"/>
        </w:numPr>
        <w:spacing w:before="0" w:after="0" w:line="240" w:lineRule="auto"/>
        <w:ind w:left="360" w:firstLine="360"/>
        <w:rPr>
          <w:rFonts w:cs="Arial"/>
          <w:color w:val="000000"/>
        </w:rPr>
      </w:pPr>
      <w:r w:rsidRPr="00152741">
        <w:t xml:space="preserve">This program </w:t>
      </w:r>
      <w:r w:rsidR="00823CF6" w:rsidRPr="00152741">
        <w:rPr>
          <w:rFonts w:cs="Arial"/>
          <w:color w:val="000000"/>
        </w:rPr>
        <w:t>covers</w:t>
      </w:r>
      <w:r w:rsidRPr="00152741">
        <w:rPr>
          <w:rFonts w:cs="Arial"/>
          <w:color w:val="000000"/>
        </w:rPr>
        <w:t xml:space="preserve"> a five-year cycle from October 1, 20</w:t>
      </w:r>
      <w:r w:rsidR="00431F71" w:rsidRPr="00152741">
        <w:rPr>
          <w:rFonts w:cs="Arial"/>
          <w:color w:val="000000"/>
        </w:rPr>
        <w:t>24</w:t>
      </w:r>
      <w:r w:rsidRPr="00152741">
        <w:rPr>
          <w:rFonts w:cs="Arial"/>
          <w:color w:val="000000"/>
        </w:rPr>
        <w:t xml:space="preserve">, through </w:t>
      </w:r>
    </w:p>
    <w:p w14:paraId="68561433" w14:textId="77777777" w:rsidR="00042C64" w:rsidRPr="00152741" w:rsidRDefault="00042C64" w:rsidP="00877898">
      <w:pPr>
        <w:pStyle w:val="ListBullet2"/>
        <w:keepNext/>
        <w:keepLines/>
        <w:numPr>
          <w:ilvl w:val="0"/>
          <w:numId w:val="0"/>
        </w:numPr>
        <w:spacing w:before="0" w:after="480" w:line="240" w:lineRule="auto"/>
        <w:ind w:left="720"/>
        <w:rPr>
          <w:rFonts w:cs="Arial"/>
        </w:rPr>
      </w:pPr>
      <w:r w:rsidRPr="00152741">
        <w:rPr>
          <w:rFonts w:cs="Arial"/>
          <w:color w:val="000000"/>
        </w:rPr>
        <w:t>September 30, 202</w:t>
      </w:r>
      <w:r w:rsidR="00431F71" w:rsidRPr="00152741">
        <w:rPr>
          <w:rFonts w:cs="Arial"/>
          <w:color w:val="000000"/>
        </w:rPr>
        <w:t>9</w:t>
      </w:r>
      <w:r w:rsidRPr="00152741">
        <w:rPr>
          <w:rFonts w:cs="Arial"/>
          <w:color w:val="000000"/>
        </w:rPr>
        <w:t xml:space="preserve">. The grant funding period shall be October 1 through September 30 for each year. Successful grantees will be required to submit a Continuing Application </w:t>
      </w:r>
      <w:r w:rsidR="00E84C57" w:rsidRPr="00152741">
        <w:rPr>
          <w:rFonts w:cs="Arial"/>
          <w:color w:val="000000"/>
        </w:rPr>
        <w:t xml:space="preserve">(on forms provided by the CDE) </w:t>
      </w:r>
      <w:r w:rsidRPr="00152741">
        <w:rPr>
          <w:rFonts w:cs="Arial"/>
          <w:color w:val="000000"/>
        </w:rPr>
        <w:t xml:space="preserve">annually. </w:t>
      </w:r>
      <w:r w:rsidR="00E84C57" w:rsidRPr="00152741">
        <w:rPr>
          <w:rFonts w:cs="Arial"/>
          <w:color w:val="000000"/>
        </w:rPr>
        <w:t xml:space="preserve">Each applicant will be asked to update their objectives and provide updated program information. The applicant will be asked to submit a budget annually. </w:t>
      </w:r>
      <w:r w:rsidRPr="00152741">
        <w:rPr>
          <w:rFonts w:cs="Arial"/>
        </w:rPr>
        <w:t xml:space="preserve">Applications for grant year </w:t>
      </w:r>
      <w:r w:rsidR="00431F71" w:rsidRPr="00152741">
        <w:rPr>
          <w:rFonts w:cs="Arial"/>
        </w:rPr>
        <w:t>2024-25</w:t>
      </w:r>
      <w:r w:rsidRPr="00152741">
        <w:rPr>
          <w:rFonts w:cs="Arial"/>
        </w:rPr>
        <w:t xml:space="preserve"> must be received by the CDE within 60 days of the release date of the RFA.</w:t>
      </w:r>
    </w:p>
    <w:p w14:paraId="4951DE51" w14:textId="77777777" w:rsidR="00042C64" w:rsidRPr="00152741" w:rsidRDefault="00042C64" w:rsidP="00E32B10">
      <w:pPr>
        <w:pStyle w:val="Heading3"/>
        <w:numPr>
          <w:ilvl w:val="0"/>
          <w:numId w:val="9"/>
        </w:numPr>
        <w:spacing w:before="240" w:after="240"/>
      </w:pPr>
      <w:bookmarkStart w:id="32" w:name="_Toc164262846"/>
      <w:r w:rsidRPr="00152741">
        <w:t>Good Standing</w:t>
      </w:r>
      <w:bookmarkEnd w:id="32"/>
    </w:p>
    <w:p w14:paraId="64CAA895" w14:textId="0A02E6C9" w:rsidR="00042C64" w:rsidRPr="00152741" w:rsidRDefault="00243A06" w:rsidP="00877898">
      <w:pPr>
        <w:spacing w:after="240"/>
        <w:ind w:left="720"/>
        <w:rPr>
          <w:color w:val="000000"/>
          <w:szCs w:val="24"/>
        </w:rPr>
      </w:pPr>
      <w:proofErr w:type="gramStart"/>
      <w:r w:rsidRPr="00152741">
        <w:t>In order to</w:t>
      </w:r>
      <w:proofErr w:type="gramEnd"/>
      <w:r w:rsidRPr="00152741">
        <w:t xml:space="preserve"> be eligible for AIEC Program funds, c</w:t>
      </w:r>
      <w:r w:rsidR="00042C64" w:rsidRPr="00152741">
        <w:t>urrent AIEC</w:t>
      </w:r>
      <w:r w:rsidRPr="00152741">
        <w:t xml:space="preserve"> Program</w:t>
      </w:r>
      <w:r w:rsidR="00042C64" w:rsidRPr="00152741">
        <w:t xml:space="preserve"> grantees applying must meet the administrative reporting requirements for FY </w:t>
      </w:r>
      <w:r w:rsidR="00431F71" w:rsidRPr="00152741">
        <w:t>2023-24</w:t>
      </w:r>
      <w:r w:rsidR="00042C64" w:rsidRPr="00152741">
        <w:t xml:space="preserve"> and be considered in </w:t>
      </w:r>
      <w:r w:rsidR="00042C64" w:rsidRPr="00152741">
        <w:rPr>
          <w:szCs w:val="24"/>
        </w:rPr>
        <w:t>Good Standing</w:t>
      </w:r>
      <w:r w:rsidR="00042C64" w:rsidRPr="00152741">
        <w:rPr>
          <w:color w:val="000000"/>
          <w:szCs w:val="24"/>
        </w:rPr>
        <w:t xml:space="preserve"> in order to be elig</w:t>
      </w:r>
      <w:r w:rsidRPr="00152741">
        <w:rPr>
          <w:color w:val="000000"/>
          <w:szCs w:val="24"/>
        </w:rPr>
        <w:t>ible for AIEC Program</w:t>
      </w:r>
      <w:r w:rsidR="00042C64" w:rsidRPr="00152741">
        <w:rPr>
          <w:color w:val="000000"/>
          <w:szCs w:val="24"/>
        </w:rPr>
        <w:t xml:space="preserve"> funds.</w:t>
      </w:r>
    </w:p>
    <w:p w14:paraId="4DB25031" w14:textId="77777777" w:rsidR="00042C64" w:rsidRPr="00152741" w:rsidRDefault="00042C64" w:rsidP="00877898">
      <w:pPr>
        <w:spacing w:after="240"/>
        <w:ind w:left="360" w:firstLine="360"/>
        <w:rPr>
          <w:color w:val="000000"/>
          <w:szCs w:val="24"/>
        </w:rPr>
      </w:pPr>
      <w:r w:rsidRPr="00152741">
        <w:rPr>
          <w:bCs w:val="0"/>
          <w:szCs w:val="24"/>
        </w:rPr>
        <w:t>Good Standing f</w:t>
      </w:r>
      <w:r w:rsidRPr="00152741">
        <w:rPr>
          <w:szCs w:val="24"/>
        </w:rPr>
        <w:t xml:space="preserve">or AIEC grantees refers to </w:t>
      </w:r>
      <w:proofErr w:type="gramStart"/>
      <w:r w:rsidRPr="00152741">
        <w:rPr>
          <w:szCs w:val="24"/>
        </w:rPr>
        <w:t>all of</w:t>
      </w:r>
      <w:proofErr w:type="gramEnd"/>
      <w:r w:rsidRPr="00152741">
        <w:rPr>
          <w:szCs w:val="24"/>
        </w:rPr>
        <w:t xml:space="preserve"> the following conditions:</w:t>
      </w:r>
    </w:p>
    <w:p w14:paraId="4CBB4F80" w14:textId="77777777" w:rsidR="00042C64" w:rsidRPr="00152741" w:rsidRDefault="00042C64" w:rsidP="00962C66">
      <w:pPr>
        <w:numPr>
          <w:ilvl w:val="0"/>
          <w:numId w:val="18"/>
        </w:numPr>
        <w:tabs>
          <w:tab w:val="clear" w:pos="3240"/>
        </w:tabs>
        <w:spacing w:after="240"/>
        <w:ind w:left="1440"/>
        <w:rPr>
          <w:szCs w:val="24"/>
        </w:rPr>
      </w:pPr>
      <w:r w:rsidRPr="00152741">
        <w:rPr>
          <w:szCs w:val="24"/>
        </w:rPr>
        <w:t>All expenditure reports for grantees have been submitted prior to the report</w:t>
      </w:r>
      <w:r w:rsidR="0020774F" w:rsidRPr="00152741">
        <w:rPr>
          <w:szCs w:val="24"/>
        </w:rPr>
        <w:t>ing deadline and have been approved by the CDE</w:t>
      </w:r>
      <w:r w:rsidRPr="00152741">
        <w:rPr>
          <w:szCs w:val="24"/>
        </w:rPr>
        <w:t>.</w:t>
      </w:r>
    </w:p>
    <w:p w14:paraId="48E5CA53" w14:textId="6079492F" w:rsidR="00042C64" w:rsidRPr="00152741" w:rsidRDefault="00042C64" w:rsidP="00962C66">
      <w:pPr>
        <w:numPr>
          <w:ilvl w:val="0"/>
          <w:numId w:val="18"/>
        </w:numPr>
        <w:tabs>
          <w:tab w:val="clear" w:pos="3240"/>
        </w:tabs>
        <w:spacing w:after="240"/>
        <w:ind w:left="1440"/>
        <w:rPr>
          <w:szCs w:val="24"/>
        </w:rPr>
      </w:pPr>
      <w:r w:rsidRPr="00152741">
        <w:rPr>
          <w:szCs w:val="24"/>
        </w:rPr>
        <w:t xml:space="preserve">All annual outcome-based data for grantees has been submitted prior to the reporting deadline and </w:t>
      </w:r>
      <w:r w:rsidR="00A70CAB">
        <w:rPr>
          <w:szCs w:val="24"/>
        </w:rPr>
        <w:t>has</w:t>
      </w:r>
      <w:r w:rsidRPr="00152741">
        <w:rPr>
          <w:szCs w:val="24"/>
        </w:rPr>
        <w:t xml:space="preserve"> been found by the CDE to be accurate and complete.</w:t>
      </w:r>
    </w:p>
    <w:p w14:paraId="328FB06A" w14:textId="77777777" w:rsidR="00042C64" w:rsidRPr="00152741" w:rsidRDefault="00042C64" w:rsidP="00962C66">
      <w:pPr>
        <w:numPr>
          <w:ilvl w:val="0"/>
          <w:numId w:val="18"/>
        </w:numPr>
        <w:tabs>
          <w:tab w:val="clear" w:pos="3240"/>
        </w:tabs>
        <w:spacing w:after="240"/>
        <w:ind w:left="1440"/>
        <w:rPr>
          <w:szCs w:val="24"/>
        </w:rPr>
      </w:pPr>
      <w:r w:rsidRPr="00152741">
        <w:rPr>
          <w:szCs w:val="24"/>
        </w:rPr>
        <w:t>All annual audit findings for grantees have been found by the CDE to be resolved or are in the process of being resolved to the satisfaction of the CDE.</w:t>
      </w:r>
    </w:p>
    <w:p w14:paraId="4D6F9951" w14:textId="3BD344D8" w:rsidR="00042C64" w:rsidRPr="00152741" w:rsidRDefault="00EE2497" w:rsidP="00962C66">
      <w:pPr>
        <w:numPr>
          <w:ilvl w:val="0"/>
          <w:numId w:val="18"/>
        </w:numPr>
        <w:tabs>
          <w:tab w:val="clear" w:pos="3240"/>
        </w:tabs>
        <w:spacing w:after="240"/>
        <w:ind w:left="1440"/>
        <w:rPr>
          <w:szCs w:val="24"/>
        </w:rPr>
      </w:pPr>
      <w:r w:rsidRPr="00152741">
        <w:rPr>
          <w:szCs w:val="24"/>
        </w:rPr>
        <w:t>All program m</w:t>
      </w:r>
      <w:r w:rsidR="00042C64" w:rsidRPr="00152741">
        <w:rPr>
          <w:szCs w:val="24"/>
        </w:rPr>
        <w:t>onitoring findings for grantees have been found by the CDE to be resolved or are in the process of being resolved to the satisfaction of the CDE.</w:t>
      </w:r>
    </w:p>
    <w:p w14:paraId="4D5984DA" w14:textId="77777777" w:rsidR="00042C64" w:rsidRPr="00152741" w:rsidRDefault="00243A06" w:rsidP="00877898">
      <w:pPr>
        <w:spacing w:after="480"/>
        <w:ind w:left="720"/>
        <w:rPr>
          <w:szCs w:val="24"/>
        </w:rPr>
      </w:pPr>
      <w:r w:rsidRPr="00152741">
        <w:rPr>
          <w:szCs w:val="24"/>
        </w:rPr>
        <w:t>Provided that all other submission requirements are met,</w:t>
      </w:r>
      <w:r w:rsidR="00042C64" w:rsidRPr="00152741">
        <w:rPr>
          <w:szCs w:val="24"/>
        </w:rPr>
        <w:t xml:space="preserve"> the applicant is in Good Standing at the time the application is submitted to the CDE, the application will be considered “Priority</w:t>
      </w:r>
      <w:proofErr w:type="gramStart"/>
      <w:r w:rsidR="00042C64" w:rsidRPr="00152741">
        <w:rPr>
          <w:szCs w:val="24"/>
        </w:rPr>
        <w:t>”</w:t>
      </w:r>
      <w:proofErr w:type="gramEnd"/>
      <w:r w:rsidR="00042C64" w:rsidRPr="00152741">
        <w:rPr>
          <w:szCs w:val="24"/>
        </w:rPr>
        <w:t xml:space="preserve"> and the application will be moved</w:t>
      </w:r>
      <w:r w:rsidRPr="00152741">
        <w:rPr>
          <w:szCs w:val="24"/>
        </w:rPr>
        <w:t xml:space="preserve"> forward in the review process.</w:t>
      </w:r>
    </w:p>
    <w:p w14:paraId="7E4A8385" w14:textId="77777777" w:rsidR="00C5537D" w:rsidRPr="00152741" w:rsidRDefault="00042C64" w:rsidP="0051388D">
      <w:pPr>
        <w:pStyle w:val="Heading3"/>
        <w:numPr>
          <w:ilvl w:val="0"/>
          <w:numId w:val="9"/>
        </w:numPr>
        <w:spacing w:before="360" w:after="240"/>
      </w:pPr>
      <w:bookmarkStart w:id="33" w:name="_Toc164262847"/>
      <w:r w:rsidRPr="00152741">
        <w:t>Application Review Process</w:t>
      </w:r>
      <w:bookmarkEnd w:id="33"/>
    </w:p>
    <w:p w14:paraId="0BA48DD7" w14:textId="0195B6A5" w:rsidR="00042C64" w:rsidRPr="00152741" w:rsidRDefault="00042C64" w:rsidP="0051388D">
      <w:pPr>
        <w:spacing w:after="240"/>
        <w:ind w:left="720"/>
        <w:rPr>
          <w:szCs w:val="24"/>
        </w:rPr>
      </w:pPr>
      <w:r w:rsidRPr="00152741">
        <w:t xml:space="preserve">Each application shall be reviewed by a panel of readers selected by the CDE. Applications </w:t>
      </w:r>
      <w:r w:rsidRPr="00152741">
        <w:rPr>
          <w:szCs w:val="24"/>
        </w:rPr>
        <w:t>that are determined by the panel to best meet the criteria stated in law and regulations shall</w:t>
      </w:r>
      <w:r w:rsidR="00564079" w:rsidRPr="00152741">
        <w:rPr>
          <w:szCs w:val="24"/>
        </w:rPr>
        <w:t xml:space="preserve"> </w:t>
      </w:r>
      <w:r w:rsidR="00540E73" w:rsidRPr="00152741">
        <w:rPr>
          <w:szCs w:val="24"/>
        </w:rPr>
        <w:t>be funded. A minimum score of 7</w:t>
      </w:r>
      <w:r w:rsidR="00431F71" w:rsidRPr="00152741">
        <w:rPr>
          <w:szCs w:val="24"/>
        </w:rPr>
        <w:t>0</w:t>
      </w:r>
      <w:r w:rsidR="00540E73" w:rsidRPr="00152741">
        <w:rPr>
          <w:szCs w:val="24"/>
        </w:rPr>
        <w:t xml:space="preserve"> percent</w:t>
      </w:r>
      <w:r w:rsidRPr="00152741">
        <w:rPr>
          <w:szCs w:val="24"/>
        </w:rPr>
        <w:t xml:space="preserve"> on the </w:t>
      </w:r>
      <w:r w:rsidR="001D04AD">
        <w:rPr>
          <w:szCs w:val="24"/>
        </w:rPr>
        <w:t xml:space="preserve">AIEC </w:t>
      </w:r>
      <w:r w:rsidRPr="00152741">
        <w:rPr>
          <w:szCs w:val="24"/>
        </w:rPr>
        <w:lastRenderedPageBreak/>
        <w:t xml:space="preserve">Scoring Rubric </w:t>
      </w:r>
      <w:r w:rsidR="001D04AD">
        <w:rPr>
          <w:szCs w:val="24"/>
        </w:rPr>
        <w:t xml:space="preserve">Template </w:t>
      </w:r>
      <w:r w:rsidRPr="00152741">
        <w:rPr>
          <w:szCs w:val="24"/>
        </w:rPr>
        <w:t>(</w:t>
      </w:r>
      <w:r w:rsidR="00A3567B" w:rsidRPr="00152741">
        <w:rPr>
          <w:szCs w:val="24"/>
        </w:rPr>
        <w:t>Attachment 2</w:t>
      </w:r>
      <w:r w:rsidRPr="00152741">
        <w:rPr>
          <w:szCs w:val="24"/>
        </w:rPr>
        <w:t>) is required for funding consideration. Funding priority shall be given to existing AIECs.</w:t>
      </w:r>
    </w:p>
    <w:p w14:paraId="42E222C8" w14:textId="77777777" w:rsidR="00042C64" w:rsidRPr="00152741" w:rsidRDefault="00042C64" w:rsidP="00962C66">
      <w:pPr>
        <w:numPr>
          <w:ilvl w:val="0"/>
          <w:numId w:val="19"/>
        </w:numPr>
        <w:spacing w:after="240"/>
        <w:rPr>
          <w:szCs w:val="24"/>
        </w:rPr>
      </w:pPr>
      <w:r w:rsidRPr="00152741">
        <w:rPr>
          <w:szCs w:val="24"/>
        </w:rPr>
        <w:t>The initial screening of applications will be conducted by a CDE staff member. Applications that do not contain all required sections will not be considered for funding.</w:t>
      </w:r>
    </w:p>
    <w:p w14:paraId="785D3CE7" w14:textId="0A7DA076" w:rsidR="00042C64" w:rsidRPr="00152741" w:rsidRDefault="00042C64" w:rsidP="00962C66">
      <w:pPr>
        <w:numPr>
          <w:ilvl w:val="0"/>
          <w:numId w:val="19"/>
        </w:numPr>
        <w:tabs>
          <w:tab w:val="left" w:pos="360"/>
        </w:tabs>
        <w:spacing w:after="240"/>
        <w:rPr>
          <w:szCs w:val="24"/>
        </w:rPr>
      </w:pPr>
      <w:r w:rsidRPr="00152741">
        <w:rPr>
          <w:szCs w:val="24"/>
        </w:rPr>
        <w:t xml:space="preserve">Application readers will rate each application on its own merits against the standardized scoring criteria described in the </w:t>
      </w:r>
      <w:r w:rsidR="006715D2">
        <w:rPr>
          <w:szCs w:val="24"/>
        </w:rPr>
        <w:t xml:space="preserve">AIEC </w:t>
      </w:r>
      <w:r w:rsidRPr="00152741">
        <w:rPr>
          <w:szCs w:val="24"/>
        </w:rPr>
        <w:t xml:space="preserve">Scoring Rubric </w:t>
      </w:r>
      <w:r w:rsidR="006715D2">
        <w:rPr>
          <w:szCs w:val="24"/>
        </w:rPr>
        <w:t xml:space="preserve">Template </w:t>
      </w:r>
      <w:r w:rsidRPr="00152741">
        <w:rPr>
          <w:szCs w:val="24"/>
        </w:rPr>
        <w:t>(A</w:t>
      </w:r>
      <w:r w:rsidR="00A3567B" w:rsidRPr="00152741">
        <w:rPr>
          <w:szCs w:val="24"/>
        </w:rPr>
        <w:t>ttachment 2</w:t>
      </w:r>
      <w:r w:rsidRPr="00152741">
        <w:rPr>
          <w:szCs w:val="24"/>
        </w:rPr>
        <w:t>).</w:t>
      </w:r>
    </w:p>
    <w:p w14:paraId="2BF6597D" w14:textId="77777777" w:rsidR="00042C64" w:rsidRPr="00152741" w:rsidRDefault="00042C64" w:rsidP="00962C66">
      <w:pPr>
        <w:numPr>
          <w:ilvl w:val="0"/>
          <w:numId w:val="19"/>
        </w:numPr>
        <w:tabs>
          <w:tab w:val="left" w:pos="360"/>
        </w:tabs>
        <w:spacing w:after="240"/>
        <w:rPr>
          <w:szCs w:val="24"/>
        </w:rPr>
      </w:pPr>
      <w:r w:rsidRPr="00152741">
        <w:rPr>
          <w:szCs w:val="24"/>
        </w:rPr>
        <w:t>The narrative and the budget will be reviewed together to ensure that the costs relate to the activities and objectives of the project. Budgets will be screened for adherence to applicable laws and regulations. Any costs that are deemed unallowable by the CDE must be removed from the budget prior to funding.</w:t>
      </w:r>
    </w:p>
    <w:p w14:paraId="24D3D5B9" w14:textId="77777777" w:rsidR="00042C64" w:rsidRPr="00152741" w:rsidRDefault="00042C64" w:rsidP="00962C66">
      <w:pPr>
        <w:numPr>
          <w:ilvl w:val="0"/>
          <w:numId w:val="19"/>
        </w:numPr>
        <w:tabs>
          <w:tab w:val="left" w:pos="360"/>
        </w:tabs>
        <w:spacing w:after="240"/>
        <w:rPr>
          <w:szCs w:val="24"/>
        </w:rPr>
      </w:pPr>
      <w:r w:rsidRPr="00152741">
        <w:rPr>
          <w:szCs w:val="24"/>
        </w:rPr>
        <w:t xml:space="preserve">Existing AIECs will receive priority </w:t>
      </w:r>
      <w:proofErr w:type="gramStart"/>
      <w:r w:rsidRPr="00152741">
        <w:rPr>
          <w:szCs w:val="24"/>
        </w:rPr>
        <w:t>as long as</w:t>
      </w:r>
      <w:proofErr w:type="gramEnd"/>
      <w:r w:rsidRPr="00152741">
        <w:rPr>
          <w:szCs w:val="24"/>
        </w:rPr>
        <w:t xml:space="preserve"> the application receives the minimum score</w:t>
      </w:r>
      <w:r w:rsidR="00D92E83" w:rsidRPr="00152741">
        <w:rPr>
          <w:szCs w:val="24"/>
        </w:rPr>
        <w:t xml:space="preserve"> of 70 percent</w:t>
      </w:r>
      <w:r w:rsidRPr="00152741">
        <w:rPr>
          <w:szCs w:val="24"/>
        </w:rPr>
        <w:t xml:space="preserve"> required for funding and the AIEC has completed and submitted all required reports for the current funding cycle.</w:t>
      </w:r>
    </w:p>
    <w:p w14:paraId="328B6315" w14:textId="773B92EA" w:rsidR="00042C64" w:rsidRPr="0031677A" w:rsidRDefault="00042C64" w:rsidP="00962C66">
      <w:pPr>
        <w:numPr>
          <w:ilvl w:val="0"/>
          <w:numId w:val="20"/>
        </w:numPr>
        <w:tabs>
          <w:tab w:val="left" w:pos="360"/>
        </w:tabs>
        <w:spacing w:after="240"/>
        <w:rPr>
          <w:szCs w:val="24"/>
        </w:rPr>
      </w:pPr>
      <w:r w:rsidRPr="0031677A">
        <w:rPr>
          <w:szCs w:val="24"/>
        </w:rPr>
        <w:t>Existing AIEC—is defined as an AIEC that was funded under</w:t>
      </w:r>
      <w:r w:rsidR="0031677A">
        <w:rPr>
          <w:szCs w:val="24"/>
        </w:rPr>
        <w:t xml:space="preserve"> </w:t>
      </w:r>
      <w:r w:rsidRPr="0031677A">
        <w:rPr>
          <w:i/>
          <w:szCs w:val="24"/>
        </w:rPr>
        <w:t>EC</w:t>
      </w:r>
      <w:r w:rsidRPr="0031677A">
        <w:rPr>
          <w:szCs w:val="24"/>
        </w:rPr>
        <w:t xml:space="preserve"> sections 33370–33</w:t>
      </w:r>
      <w:r w:rsidR="00877898" w:rsidRPr="0031677A">
        <w:rPr>
          <w:szCs w:val="24"/>
        </w:rPr>
        <w:t xml:space="preserve">385 during </w:t>
      </w:r>
      <w:r w:rsidR="001D04AD">
        <w:rPr>
          <w:szCs w:val="24"/>
        </w:rPr>
        <w:t>FY</w:t>
      </w:r>
      <w:r w:rsidR="00877898" w:rsidRPr="0031677A">
        <w:rPr>
          <w:szCs w:val="24"/>
        </w:rPr>
        <w:t xml:space="preserve"> </w:t>
      </w:r>
      <w:r w:rsidR="00431F71" w:rsidRPr="0031677A">
        <w:rPr>
          <w:szCs w:val="24"/>
        </w:rPr>
        <w:t>2023-24</w:t>
      </w:r>
      <w:r w:rsidR="00877898" w:rsidRPr="0031677A">
        <w:rPr>
          <w:szCs w:val="24"/>
        </w:rPr>
        <w:t>.</w:t>
      </w:r>
    </w:p>
    <w:p w14:paraId="2864F75E" w14:textId="77777777" w:rsidR="00042C64" w:rsidRPr="00152741" w:rsidRDefault="00042C64" w:rsidP="00962C66">
      <w:pPr>
        <w:numPr>
          <w:ilvl w:val="0"/>
          <w:numId w:val="20"/>
        </w:numPr>
        <w:tabs>
          <w:tab w:val="left" w:pos="360"/>
        </w:tabs>
        <w:spacing w:after="240"/>
        <w:rPr>
          <w:szCs w:val="24"/>
        </w:rPr>
      </w:pPr>
      <w:r w:rsidRPr="00152741">
        <w:rPr>
          <w:szCs w:val="24"/>
        </w:rPr>
        <w:t xml:space="preserve">Priority—means that an existing AIEC shall receive funding </w:t>
      </w:r>
      <w:proofErr w:type="gramStart"/>
      <w:r w:rsidRPr="00152741">
        <w:rPr>
          <w:szCs w:val="24"/>
        </w:rPr>
        <w:t>as long as</w:t>
      </w:r>
      <w:proofErr w:type="gramEnd"/>
      <w:r w:rsidRPr="00152741">
        <w:rPr>
          <w:szCs w:val="24"/>
        </w:rPr>
        <w:t xml:space="preserve"> it submits an application that meets the minimum criteria for funding and as long as it has completed and submitted all required reports for the current funding cycle and is in Good Standing (as described on the previous page).</w:t>
      </w:r>
    </w:p>
    <w:p w14:paraId="390E156D" w14:textId="77777777" w:rsidR="00F70E14" w:rsidRDefault="00042C64" w:rsidP="00962C66">
      <w:pPr>
        <w:numPr>
          <w:ilvl w:val="0"/>
          <w:numId w:val="19"/>
        </w:numPr>
        <w:spacing w:after="480"/>
        <w:rPr>
          <w:rFonts w:eastAsia="MS Mincho"/>
          <w:szCs w:val="24"/>
        </w:rPr>
      </w:pPr>
      <w:r w:rsidRPr="00152741">
        <w:rPr>
          <w:rFonts w:eastAsia="MS Mincho"/>
          <w:szCs w:val="24"/>
        </w:rPr>
        <w:t>Geographic distribution will be considered when funding decisions are made.</w:t>
      </w:r>
    </w:p>
    <w:p w14:paraId="6939CAF3" w14:textId="77777777" w:rsidR="0051388D" w:rsidRDefault="007D37D0" w:rsidP="00962C66">
      <w:pPr>
        <w:numPr>
          <w:ilvl w:val="0"/>
          <w:numId w:val="52"/>
        </w:numPr>
        <w:tabs>
          <w:tab w:val="clear" w:pos="720"/>
        </w:tabs>
        <w:spacing w:after="240"/>
        <w:rPr>
          <w:rFonts w:eastAsia="MS Mincho"/>
          <w:b/>
          <w:bCs w:val="0"/>
          <w:szCs w:val="24"/>
        </w:rPr>
      </w:pPr>
      <w:r w:rsidRPr="00F70E14">
        <w:rPr>
          <w:b/>
          <w:bCs w:val="0"/>
        </w:rPr>
        <w:t>Appeals</w:t>
      </w:r>
      <w:bookmarkStart w:id="34" w:name="_Hlk162360080"/>
    </w:p>
    <w:p w14:paraId="6019DF4C" w14:textId="33CD621D" w:rsidR="000C7A88" w:rsidRPr="0051388D" w:rsidRDefault="007D37D0" w:rsidP="0051388D">
      <w:pPr>
        <w:spacing w:after="480"/>
        <w:ind w:left="720"/>
        <w:rPr>
          <w:rFonts w:eastAsia="MS Mincho"/>
          <w:b/>
          <w:bCs w:val="0"/>
          <w:szCs w:val="24"/>
        </w:rPr>
      </w:pPr>
      <w:r w:rsidRPr="00152741">
        <w:t xml:space="preserve">Applicants who wish to appeal </w:t>
      </w:r>
      <w:r w:rsidRPr="0051388D">
        <w:rPr>
          <w:szCs w:val="24"/>
        </w:rPr>
        <w:t xml:space="preserve">a grant award decision shall submit a written appeal to the CDE within five working days of the posted decision for grant year </w:t>
      </w:r>
      <w:r w:rsidR="00431F71" w:rsidRPr="0051388D">
        <w:rPr>
          <w:szCs w:val="24"/>
        </w:rPr>
        <w:t>2024-25</w:t>
      </w:r>
      <w:r w:rsidRPr="0051388D">
        <w:rPr>
          <w:szCs w:val="24"/>
        </w:rPr>
        <w:t>. Appeals shall be limited to the grounds that the CDE failed to correctly apply the standards for reviewing the applications or for the grant award process as specified in the regulations. The appellant applicant shall file a full and complete written appeal, including the issue(s) in dispute, the legal authority or other basis for the appeal position, and the remedy sought. The CDE will not consider incomplete appeals, late appeals, or appeals that only refute the readers’ comments.</w:t>
      </w:r>
      <w:r w:rsidR="000C7A88" w:rsidRPr="0051388D">
        <w:rPr>
          <w:szCs w:val="24"/>
        </w:rPr>
        <w:t xml:space="preserve"> </w:t>
      </w:r>
    </w:p>
    <w:p w14:paraId="4A2F650D" w14:textId="00B5C620" w:rsidR="007D37D0" w:rsidRPr="0051388D" w:rsidRDefault="000C7A88" w:rsidP="0051388D">
      <w:pPr>
        <w:keepNext/>
        <w:keepLines/>
        <w:spacing w:before="240"/>
        <w:ind w:left="720"/>
        <w:rPr>
          <w:szCs w:val="24"/>
        </w:rPr>
      </w:pPr>
      <w:r w:rsidRPr="0051388D">
        <w:rPr>
          <w:szCs w:val="24"/>
        </w:rPr>
        <w:lastRenderedPageBreak/>
        <w:t xml:space="preserve">Any decision to revise the original score or fund the application shall be documented in writing. The CDE’s decision is the final administrative action afforded the appeal. A PDF of a signed appeal must be submitted by email to </w:t>
      </w:r>
      <w:hyperlink r:id="rId11" w:tooltip="mailto:AmericanIndianEducation@cde.ca.gov" w:history="1">
        <w:r w:rsidR="00C23575" w:rsidRPr="00316A56">
          <w:rPr>
            <w:rStyle w:val="Hyperlink"/>
            <w:szCs w:val="24"/>
          </w:rPr>
          <w:t>AmericanIndianEducation@cde.ca.gov</w:t>
        </w:r>
      </w:hyperlink>
      <w:r w:rsidR="00C23575">
        <w:rPr>
          <w:szCs w:val="24"/>
        </w:rPr>
        <w:t>.</w:t>
      </w:r>
    </w:p>
    <w:p w14:paraId="68C61E22" w14:textId="77D55F8F" w:rsidR="007D37D0" w:rsidRPr="00152741" w:rsidRDefault="0031677A" w:rsidP="00962C66">
      <w:pPr>
        <w:pStyle w:val="Heading3"/>
        <w:numPr>
          <w:ilvl w:val="0"/>
          <w:numId w:val="52"/>
        </w:numPr>
        <w:spacing w:before="240" w:after="240"/>
      </w:pPr>
      <w:bookmarkStart w:id="35" w:name="_Toc164262848"/>
      <w:bookmarkEnd w:id="34"/>
      <w:r w:rsidRPr="0031677A">
        <w:rPr>
          <w:szCs w:val="24"/>
        </w:rPr>
        <w:t>Grant Funding Procedures</w:t>
      </w:r>
      <w:bookmarkEnd w:id="35"/>
      <w:r w:rsidRPr="0031677A">
        <w:rPr>
          <w:szCs w:val="24"/>
        </w:rPr>
        <w:t xml:space="preserve"> </w:t>
      </w:r>
    </w:p>
    <w:p w14:paraId="137EE75E" w14:textId="77777777" w:rsidR="007D37D0" w:rsidRPr="00152741" w:rsidRDefault="007D37D0" w:rsidP="00877898">
      <w:pPr>
        <w:pStyle w:val="EnvelopeReturn"/>
        <w:spacing w:after="240"/>
        <w:ind w:left="720"/>
        <w:rPr>
          <w:rFonts w:ascii="Arial" w:hAnsi="Arial"/>
          <w:szCs w:val="24"/>
        </w:rPr>
      </w:pPr>
      <w:r w:rsidRPr="00152741">
        <w:rPr>
          <w:rFonts w:ascii="Arial" w:hAnsi="Arial"/>
        </w:rPr>
        <w:t xml:space="preserve">The CDE shall distribute </w:t>
      </w:r>
      <w:r w:rsidRPr="00152741">
        <w:rPr>
          <w:rFonts w:ascii="Arial" w:hAnsi="Arial"/>
          <w:szCs w:val="24"/>
        </w:rPr>
        <w:t>75 percent of the grant award for each year of the grant no later than 45 days after enactment of the annual Budget Act or any additional authorizing statute, whichever is later (</w:t>
      </w:r>
      <w:r w:rsidRPr="00152741">
        <w:rPr>
          <w:rFonts w:ascii="Arial" w:hAnsi="Arial"/>
          <w:i/>
          <w:szCs w:val="24"/>
        </w:rPr>
        <w:t>EC</w:t>
      </w:r>
      <w:r w:rsidRPr="00152741">
        <w:rPr>
          <w:rFonts w:ascii="Arial" w:hAnsi="Arial"/>
          <w:szCs w:val="24"/>
        </w:rPr>
        <w:t xml:space="preserve"> Section 33383[g][1]), provided that the application for an AIEC has been approved by the CDE, the applicant has received written verification of that approval, the applicant has returned a signed Grant Award Notification (AO-400), and all outstanding reports have been approved by the CDE. The final 25 percent of the grant award shall be distributed no later than April 1 (</w:t>
      </w:r>
      <w:r w:rsidRPr="00152741">
        <w:rPr>
          <w:rFonts w:ascii="Arial" w:hAnsi="Arial"/>
          <w:i/>
          <w:szCs w:val="24"/>
        </w:rPr>
        <w:t xml:space="preserve">EC </w:t>
      </w:r>
      <w:r w:rsidRPr="00152741">
        <w:rPr>
          <w:rFonts w:ascii="Arial" w:hAnsi="Arial"/>
          <w:szCs w:val="24"/>
        </w:rPr>
        <w:t>Section 33383[g][2]), provided all outstanding reports have been approved by the CDE.</w:t>
      </w:r>
    </w:p>
    <w:p w14:paraId="067EB740" w14:textId="77777777" w:rsidR="007D37D0" w:rsidRPr="00152741" w:rsidRDefault="007D37D0" w:rsidP="000E2447">
      <w:pPr>
        <w:pStyle w:val="EnvelopeReturn"/>
        <w:spacing w:before="240" w:after="480"/>
        <w:ind w:left="720"/>
        <w:rPr>
          <w:rFonts w:ascii="Arial" w:hAnsi="Arial"/>
          <w:szCs w:val="24"/>
        </w:rPr>
      </w:pPr>
      <w:r w:rsidRPr="00152741">
        <w:rPr>
          <w:rFonts w:ascii="Arial" w:hAnsi="Arial"/>
          <w:szCs w:val="24"/>
        </w:rPr>
        <w:t xml:space="preserve">Failure to submit the annual program report, quarterly fiscal reports, or results of the fiscal audit of expenditures by the due dates will result in a delay of the second payment for the current year and all payments for subsequent grant years until the reports are submitted (5 </w:t>
      </w:r>
      <w:r w:rsidRPr="00152741">
        <w:rPr>
          <w:rFonts w:ascii="Arial" w:hAnsi="Arial"/>
          <w:i/>
          <w:szCs w:val="24"/>
        </w:rPr>
        <w:t>CCR</w:t>
      </w:r>
      <w:r w:rsidRPr="00152741">
        <w:rPr>
          <w:rFonts w:ascii="Arial" w:hAnsi="Arial"/>
          <w:szCs w:val="24"/>
        </w:rPr>
        <w:t>, Section 11996.6, subdivision [d]).</w:t>
      </w:r>
    </w:p>
    <w:p w14:paraId="4648CB45" w14:textId="77777777" w:rsidR="007D37D0" w:rsidRPr="00152741" w:rsidRDefault="007D37D0" w:rsidP="00962C66">
      <w:pPr>
        <w:pStyle w:val="Heading3"/>
        <w:numPr>
          <w:ilvl w:val="0"/>
          <w:numId w:val="52"/>
        </w:numPr>
        <w:spacing w:before="240" w:after="240"/>
      </w:pPr>
      <w:bookmarkStart w:id="36" w:name="_Toc164262849"/>
      <w:r w:rsidRPr="00152741">
        <w:t xml:space="preserve">Formatting </w:t>
      </w:r>
      <w:r w:rsidR="00724DAE" w:rsidRPr="00152741">
        <w:t xml:space="preserve">and Submission </w:t>
      </w:r>
      <w:r w:rsidR="003E6271" w:rsidRPr="00152741">
        <w:t>Requirements</w:t>
      </w:r>
      <w:bookmarkEnd w:id="36"/>
    </w:p>
    <w:p w14:paraId="71AAF8AB" w14:textId="26637B73" w:rsidR="007D37D0" w:rsidRPr="00152741" w:rsidRDefault="007D37D0" w:rsidP="00243A06">
      <w:pPr>
        <w:ind w:left="720"/>
        <w:rPr>
          <w:szCs w:val="24"/>
        </w:rPr>
      </w:pPr>
      <w:r w:rsidRPr="00152741">
        <w:t xml:space="preserve">The narrative for the AIEC </w:t>
      </w:r>
      <w:r w:rsidR="00243A06" w:rsidRPr="00152741">
        <w:t>Program g</w:t>
      </w:r>
      <w:r w:rsidR="00243A06" w:rsidRPr="00152741">
        <w:rPr>
          <w:szCs w:val="24"/>
        </w:rPr>
        <w:t>rant a</w:t>
      </w:r>
      <w:r w:rsidRPr="00152741">
        <w:rPr>
          <w:szCs w:val="24"/>
        </w:rPr>
        <w:t xml:space="preserve">pplication must be limited to 20 pages, </w:t>
      </w:r>
      <w:r w:rsidR="00A70CAB">
        <w:rPr>
          <w:szCs w:val="24"/>
        </w:rPr>
        <w:t>single-sided</w:t>
      </w:r>
      <w:r w:rsidRPr="00152741">
        <w:rPr>
          <w:szCs w:val="24"/>
        </w:rPr>
        <w:t>, 8½ by 11-inch paper, using 12-point Arial font, with half-inch margins (not including required budget forms, other required doc</w:t>
      </w:r>
      <w:r w:rsidR="0020774F" w:rsidRPr="00152741">
        <w:rPr>
          <w:szCs w:val="24"/>
        </w:rPr>
        <w:t>umentation forms, and attachments). Attachments</w:t>
      </w:r>
      <w:r w:rsidRPr="00152741">
        <w:rPr>
          <w:szCs w:val="24"/>
        </w:rPr>
        <w:t xml:space="preserve"> shall be limited to the forms provided by the </w:t>
      </w:r>
      <w:smartTag w:uri="urn:schemas-microsoft-com:office:smarttags" w:element="stockticker">
        <w:r w:rsidRPr="00152741">
          <w:rPr>
            <w:szCs w:val="24"/>
          </w:rPr>
          <w:t>CDE</w:t>
        </w:r>
      </w:smartTag>
      <w:r w:rsidR="00877898" w:rsidRPr="00152741">
        <w:rPr>
          <w:szCs w:val="24"/>
        </w:rPr>
        <w:t>:</w:t>
      </w:r>
    </w:p>
    <w:p w14:paraId="4712B9D2" w14:textId="77777777" w:rsidR="00431F71" w:rsidRPr="00152741" w:rsidRDefault="00431F71" w:rsidP="00431F71">
      <w:pPr>
        <w:spacing w:after="240"/>
        <w:rPr>
          <w:bCs w:val="0"/>
          <w:szCs w:val="24"/>
        </w:rPr>
      </w:pPr>
    </w:p>
    <w:p w14:paraId="346F9750" w14:textId="23769369" w:rsidR="00A62F48" w:rsidRPr="00152741" w:rsidRDefault="00431F71" w:rsidP="00C86780">
      <w:pPr>
        <w:numPr>
          <w:ilvl w:val="0"/>
          <w:numId w:val="10"/>
        </w:numPr>
        <w:spacing w:after="240"/>
        <w:rPr>
          <w:bCs w:val="0"/>
          <w:szCs w:val="24"/>
        </w:rPr>
      </w:pPr>
      <w:r w:rsidRPr="00152741">
        <w:rPr>
          <w:szCs w:val="24"/>
        </w:rPr>
        <w:t>2024-25</w:t>
      </w:r>
      <w:r w:rsidR="00AA4F00" w:rsidRPr="00152741">
        <w:rPr>
          <w:szCs w:val="24"/>
        </w:rPr>
        <w:t xml:space="preserve"> </w:t>
      </w:r>
      <w:r w:rsidR="006715D2">
        <w:rPr>
          <w:szCs w:val="24"/>
        </w:rPr>
        <w:t xml:space="preserve">Program </w:t>
      </w:r>
      <w:r w:rsidR="00AA4F00" w:rsidRPr="00152741">
        <w:rPr>
          <w:szCs w:val="24"/>
        </w:rPr>
        <w:t xml:space="preserve">Application </w:t>
      </w:r>
      <w:r w:rsidR="00A62F48" w:rsidRPr="00152741">
        <w:rPr>
          <w:szCs w:val="24"/>
        </w:rPr>
        <w:t>Cover Page (Attachment 1)</w:t>
      </w:r>
    </w:p>
    <w:p w14:paraId="380CB2BA" w14:textId="77777777" w:rsidR="00B73A69" w:rsidRPr="00152741" w:rsidRDefault="00B73A69" w:rsidP="00C86780">
      <w:pPr>
        <w:numPr>
          <w:ilvl w:val="0"/>
          <w:numId w:val="10"/>
        </w:numPr>
        <w:spacing w:after="240"/>
        <w:rPr>
          <w:bCs w:val="0"/>
          <w:szCs w:val="24"/>
        </w:rPr>
      </w:pPr>
      <w:r w:rsidRPr="00152741">
        <w:rPr>
          <w:szCs w:val="24"/>
        </w:rPr>
        <w:t>Board of Directors/Tribal Council and Parent Advisory Council List (Attachment 3)</w:t>
      </w:r>
    </w:p>
    <w:p w14:paraId="5A315B2A" w14:textId="73A6AD26" w:rsidR="00A62F48" w:rsidRPr="00152741" w:rsidRDefault="00C467DC" w:rsidP="00C86780">
      <w:pPr>
        <w:numPr>
          <w:ilvl w:val="0"/>
          <w:numId w:val="10"/>
        </w:numPr>
        <w:spacing w:after="240"/>
        <w:rPr>
          <w:bCs w:val="0"/>
          <w:szCs w:val="24"/>
        </w:rPr>
      </w:pPr>
      <w:r>
        <w:rPr>
          <w:szCs w:val="24"/>
        </w:rPr>
        <w:t xml:space="preserve">Program </w:t>
      </w:r>
      <w:r w:rsidR="00A62F48" w:rsidRPr="00152741">
        <w:rPr>
          <w:szCs w:val="24"/>
        </w:rPr>
        <w:t xml:space="preserve">Documentation Requirements (Attachment </w:t>
      </w:r>
      <w:r w:rsidR="00B73A69" w:rsidRPr="00152741">
        <w:rPr>
          <w:szCs w:val="24"/>
        </w:rPr>
        <w:t>4</w:t>
      </w:r>
      <w:r w:rsidR="00A62F48" w:rsidRPr="00152741">
        <w:rPr>
          <w:szCs w:val="24"/>
        </w:rPr>
        <w:t>)</w:t>
      </w:r>
    </w:p>
    <w:p w14:paraId="3283530B" w14:textId="5899A3A7" w:rsidR="00266A0B" w:rsidRPr="00152741" w:rsidRDefault="00266A0B" w:rsidP="00C86780">
      <w:pPr>
        <w:numPr>
          <w:ilvl w:val="0"/>
          <w:numId w:val="10"/>
        </w:numPr>
        <w:spacing w:after="240"/>
        <w:rPr>
          <w:szCs w:val="24"/>
        </w:rPr>
      </w:pPr>
      <w:r w:rsidRPr="00152741">
        <w:rPr>
          <w:szCs w:val="24"/>
        </w:rPr>
        <w:t>Commercial Tobacco-Free Certification (Attachment 5)</w:t>
      </w:r>
    </w:p>
    <w:p w14:paraId="73159F57" w14:textId="77777777" w:rsidR="00266A0B" w:rsidRPr="00152741" w:rsidRDefault="00266A0B" w:rsidP="00C86780">
      <w:pPr>
        <w:numPr>
          <w:ilvl w:val="0"/>
          <w:numId w:val="10"/>
        </w:numPr>
        <w:spacing w:after="240"/>
        <w:rPr>
          <w:szCs w:val="24"/>
        </w:rPr>
      </w:pPr>
      <w:r w:rsidRPr="00152741">
        <w:rPr>
          <w:szCs w:val="24"/>
        </w:rPr>
        <w:t>Project Activities Table (Attachment 6)</w:t>
      </w:r>
    </w:p>
    <w:p w14:paraId="1F8EBE59" w14:textId="77777777" w:rsidR="00266A0B" w:rsidRPr="00152741" w:rsidRDefault="00266A0B" w:rsidP="00C86780">
      <w:pPr>
        <w:numPr>
          <w:ilvl w:val="0"/>
          <w:numId w:val="10"/>
        </w:numPr>
        <w:spacing w:after="240"/>
        <w:rPr>
          <w:szCs w:val="24"/>
        </w:rPr>
      </w:pPr>
      <w:r w:rsidRPr="00152741">
        <w:rPr>
          <w:szCs w:val="24"/>
        </w:rPr>
        <w:t>Funding from Other Sources (Attachment 7)</w:t>
      </w:r>
    </w:p>
    <w:p w14:paraId="42292BFB" w14:textId="3B9ADDC1" w:rsidR="00266A0B" w:rsidRPr="00152741" w:rsidRDefault="00266A0B" w:rsidP="00C86780">
      <w:pPr>
        <w:numPr>
          <w:ilvl w:val="0"/>
          <w:numId w:val="10"/>
        </w:numPr>
        <w:spacing w:after="240"/>
        <w:rPr>
          <w:szCs w:val="24"/>
        </w:rPr>
      </w:pPr>
      <w:r w:rsidRPr="00152741">
        <w:rPr>
          <w:szCs w:val="24"/>
        </w:rPr>
        <w:t xml:space="preserve">Budget </w:t>
      </w:r>
      <w:r w:rsidR="00922D8B">
        <w:rPr>
          <w:szCs w:val="24"/>
        </w:rPr>
        <w:t>Request</w:t>
      </w:r>
      <w:r w:rsidRPr="00152741">
        <w:rPr>
          <w:szCs w:val="24"/>
        </w:rPr>
        <w:t xml:space="preserve"> </w:t>
      </w:r>
      <w:r w:rsidRPr="00152741">
        <w:t>(Attachment 8)</w:t>
      </w:r>
    </w:p>
    <w:p w14:paraId="49070EE2" w14:textId="77777777" w:rsidR="003E6271" w:rsidRPr="00152741" w:rsidRDefault="003E6271" w:rsidP="00C86780">
      <w:pPr>
        <w:spacing w:after="240"/>
        <w:ind w:left="720"/>
        <w:rPr>
          <w:bCs w:val="0"/>
          <w:szCs w:val="24"/>
        </w:rPr>
      </w:pPr>
      <w:r w:rsidRPr="00152741">
        <w:rPr>
          <w:bCs w:val="0"/>
          <w:szCs w:val="24"/>
        </w:rPr>
        <w:lastRenderedPageBreak/>
        <w:t>The following documents are required to be maintained on the AIEC premises. Copies of these documents must be submitted with the 2024-25 application. These documents are subject to audit in subsequent years. Failure to submit all documents with the 2024-25 AIEC Program application will result in the application not being considered for funding.</w:t>
      </w:r>
    </w:p>
    <w:p w14:paraId="2ED2D270" w14:textId="77777777" w:rsidR="003E6271" w:rsidRPr="00C86780" w:rsidRDefault="003E6271" w:rsidP="00962C66">
      <w:pPr>
        <w:pStyle w:val="ListParagraph"/>
        <w:numPr>
          <w:ilvl w:val="0"/>
          <w:numId w:val="53"/>
        </w:numPr>
        <w:spacing w:after="240"/>
        <w:rPr>
          <w:szCs w:val="24"/>
        </w:rPr>
      </w:pPr>
      <w:r w:rsidRPr="00C86780">
        <w:rPr>
          <w:szCs w:val="24"/>
        </w:rPr>
        <w:t>Job descriptions</w:t>
      </w:r>
    </w:p>
    <w:p w14:paraId="6FB2FD89" w14:textId="77777777" w:rsidR="003E6271" w:rsidRPr="00C86780" w:rsidRDefault="003E6271" w:rsidP="00962C66">
      <w:pPr>
        <w:pStyle w:val="ListParagraph"/>
        <w:numPr>
          <w:ilvl w:val="0"/>
          <w:numId w:val="53"/>
        </w:numPr>
        <w:spacing w:before="240" w:after="240"/>
        <w:rPr>
          <w:szCs w:val="24"/>
        </w:rPr>
      </w:pPr>
      <w:r w:rsidRPr="00C86780">
        <w:rPr>
          <w:szCs w:val="24"/>
        </w:rPr>
        <w:t>Salary and benefit schedules for each position</w:t>
      </w:r>
    </w:p>
    <w:p w14:paraId="079CE198" w14:textId="77777777" w:rsidR="003E6271" w:rsidRPr="00C86780" w:rsidRDefault="003E6271" w:rsidP="00962C66">
      <w:pPr>
        <w:pStyle w:val="ListParagraph"/>
        <w:numPr>
          <w:ilvl w:val="0"/>
          <w:numId w:val="53"/>
        </w:numPr>
        <w:spacing w:after="240"/>
        <w:rPr>
          <w:szCs w:val="24"/>
        </w:rPr>
      </w:pPr>
      <w:r w:rsidRPr="00C86780">
        <w:rPr>
          <w:szCs w:val="24"/>
        </w:rPr>
        <w:t>Copies of all contracts, including maintenance and service agreements</w:t>
      </w:r>
    </w:p>
    <w:p w14:paraId="68CEFE0C" w14:textId="77777777" w:rsidR="003E6271" w:rsidRPr="00C86780" w:rsidRDefault="003E6271" w:rsidP="00962C66">
      <w:pPr>
        <w:pStyle w:val="ListParagraph"/>
        <w:numPr>
          <w:ilvl w:val="0"/>
          <w:numId w:val="53"/>
        </w:numPr>
        <w:spacing w:after="240"/>
        <w:rPr>
          <w:szCs w:val="24"/>
        </w:rPr>
      </w:pPr>
      <w:r w:rsidRPr="00C86780">
        <w:rPr>
          <w:szCs w:val="24"/>
        </w:rPr>
        <w:t>Articles of incorporation</w:t>
      </w:r>
    </w:p>
    <w:p w14:paraId="3BF07CDC" w14:textId="77777777" w:rsidR="003E6271" w:rsidRPr="00C86780" w:rsidRDefault="003E6271" w:rsidP="00962C66">
      <w:pPr>
        <w:pStyle w:val="ListParagraph"/>
        <w:numPr>
          <w:ilvl w:val="0"/>
          <w:numId w:val="53"/>
        </w:numPr>
        <w:spacing w:after="240"/>
        <w:rPr>
          <w:szCs w:val="24"/>
        </w:rPr>
      </w:pPr>
      <w:r w:rsidRPr="00C86780">
        <w:rPr>
          <w:szCs w:val="24"/>
        </w:rPr>
        <w:t>Current private nonprofit status, if applicable</w:t>
      </w:r>
    </w:p>
    <w:p w14:paraId="68B6620D" w14:textId="77777777" w:rsidR="003E6271" w:rsidRPr="00C86780" w:rsidRDefault="003E6271" w:rsidP="00962C66">
      <w:pPr>
        <w:pStyle w:val="ListParagraph"/>
        <w:numPr>
          <w:ilvl w:val="0"/>
          <w:numId w:val="53"/>
        </w:numPr>
        <w:spacing w:after="240"/>
        <w:rPr>
          <w:szCs w:val="24"/>
        </w:rPr>
      </w:pPr>
      <w:r w:rsidRPr="00C86780">
        <w:rPr>
          <w:szCs w:val="24"/>
        </w:rPr>
        <w:t>Charter, if applicable</w:t>
      </w:r>
    </w:p>
    <w:p w14:paraId="202333C9" w14:textId="77777777" w:rsidR="003E6271" w:rsidRPr="00C86780" w:rsidRDefault="003E6271" w:rsidP="00962C66">
      <w:pPr>
        <w:pStyle w:val="ListParagraph"/>
        <w:numPr>
          <w:ilvl w:val="0"/>
          <w:numId w:val="53"/>
        </w:numPr>
        <w:spacing w:after="240"/>
        <w:rPr>
          <w:szCs w:val="24"/>
        </w:rPr>
      </w:pPr>
      <w:r w:rsidRPr="00C86780">
        <w:rPr>
          <w:szCs w:val="24"/>
        </w:rPr>
        <w:t>Tribal bylaws or tribal agreement and tribal resolution, if applicable</w:t>
      </w:r>
    </w:p>
    <w:p w14:paraId="1B85BEE7" w14:textId="77777777" w:rsidR="003E6271" w:rsidRPr="00C86780" w:rsidRDefault="003E6271" w:rsidP="00962C66">
      <w:pPr>
        <w:pStyle w:val="ListParagraph"/>
        <w:numPr>
          <w:ilvl w:val="0"/>
          <w:numId w:val="53"/>
        </w:numPr>
        <w:spacing w:after="240"/>
        <w:rPr>
          <w:szCs w:val="24"/>
        </w:rPr>
      </w:pPr>
      <w:r w:rsidRPr="00C86780">
        <w:rPr>
          <w:szCs w:val="24"/>
        </w:rPr>
        <w:t>Board approval (minutes indicating vote approving the application)</w:t>
      </w:r>
    </w:p>
    <w:p w14:paraId="210FC786" w14:textId="77777777" w:rsidR="003E6271" w:rsidRPr="00C86780" w:rsidRDefault="003E6271" w:rsidP="00962C66">
      <w:pPr>
        <w:pStyle w:val="ListParagraph"/>
        <w:numPr>
          <w:ilvl w:val="0"/>
          <w:numId w:val="53"/>
        </w:numPr>
        <w:spacing w:after="240"/>
        <w:rPr>
          <w:szCs w:val="24"/>
        </w:rPr>
      </w:pPr>
      <w:r w:rsidRPr="00C86780">
        <w:rPr>
          <w:szCs w:val="24"/>
        </w:rPr>
        <w:t>Bylaws of the Board of Directors, if applicable</w:t>
      </w:r>
    </w:p>
    <w:p w14:paraId="6C270717" w14:textId="7915BD33" w:rsidR="003E6271" w:rsidRPr="00C86780" w:rsidRDefault="003E6271" w:rsidP="00962C66">
      <w:pPr>
        <w:pStyle w:val="ListParagraph"/>
        <w:numPr>
          <w:ilvl w:val="0"/>
          <w:numId w:val="53"/>
        </w:numPr>
        <w:spacing w:after="240"/>
        <w:rPr>
          <w:szCs w:val="24"/>
        </w:rPr>
      </w:pPr>
      <w:r w:rsidRPr="00C86780">
        <w:rPr>
          <w:szCs w:val="24"/>
        </w:rPr>
        <w:t xml:space="preserve">Bylaws of the Parent Advisory Council </w:t>
      </w:r>
    </w:p>
    <w:p w14:paraId="550526A0" w14:textId="77777777" w:rsidR="003E6271" w:rsidRPr="00C86780" w:rsidRDefault="003E6271" w:rsidP="00962C66">
      <w:pPr>
        <w:pStyle w:val="ListParagraph"/>
        <w:numPr>
          <w:ilvl w:val="0"/>
          <w:numId w:val="53"/>
        </w:numPr>
        <w:spacing w:after="240"/>
        <w:rPr>
          <w:szCs w:val="24"/>
        </w:rPr>
      </w:pPr>
      <w:r w:rsidRPr="00C86780">
        <w:rPr>
          <w:szCs w:val="24"/>
        </w:rPr>
        <w:t>Agency policies and procedures (including fiscal policies)</w:t>
      </w:r>
    </w:p>
    <w:p w14:paraId="59955487" w14:textId="77777777" w:rsidR="003E6271" w:rsidRPr="00C86780" w:rsidRDefault="003E6271" w:rsidP="00962C66">
      <w:pPr>
        <w:pStyle w:val="ListParagraph"/>
        <w:numPr>
          <w:ilvl w:val="0"/>
          <w:numId w:val="53"/>
        </w:numPr>
        <w:spacing w:after="240"/>
        <w:rPr>
          <w:szCs w:val="24"/>
        </w:rPr>
      </w:pPr>
      <w:r w:rsidRPr="00C86780">
        <w:rPr>
          <w:szCs w:val="24"/>
        </w:rPr>
        <w:t>Cost Allocation Plan (if funded by more than one funding source)</w:t>
      </w:r>
    </w:p>
    <w:p w14:paraId="216DBC44" w14:textId="77777777" w:rsidR="003E6271" w:rsidRPr="00C86780" w:rsidRDefault="003E6271" w:rsidP="00962C66">
      <w:pPr>
        <w:pStyle w:val="ListParagraph"/>
        <w:numPr>
          <w:ilvl w:val="0"/>
          <w:numId w:val="53"/>
        </w:numPr>
        <w:spacing w:after="240"/>
        <w:rPr>
          <w:szCs w:val="24"/>
        </w:rPr>
      </w:pPr>
      <w:r w:rsidRPr="00C86780">
        <w:rPr>
          <w:szCs w:val="24"/>
        </w:rPr>
        <w:t>Documentation of insurance</w:t>
      </w:r>
    </w:p>
    <w:p w14:paraId="61A6AA0F" w14:textId="3D937308" w:rsidR="00724DAE" w:rsidRPr="00152741" w:rsidRDefault="006D21E7" w:rsidP="00AE49AB">
      <w:pPr>
        <w:spacing w:before="240" w:after="240"/>
        <w:ind w:left="720"/>
        <w:rPr>
          <w:szCs w:val="24"/>
        </w:rPr>
      </w:pPr>
      <w:r>
        <w:rPr>
          <w:szCs w:val="24"/>
        </w:rPr>
        <w:t>To</w:t>
      </w:r>
      <w:r w:rsidR="00724DAE" w:rsidRPr="00152741">
        <w:rPr>
          <w:szCs w:val="24"/>
        </w:rPr>
        <w:t xml:space="preserve"> be competitive, all applications must adhere to the required format and include all of the requested information and completed forms. All documents and forms required for submission may be found on the</w:t>
      </w:r>
      <w:r w:rsidR="00EF3F2A">
        <w:rPr>
          <w:szCs w:val="24"/>
        </w:rPr>
        <w:t xml:space="preserve"> CDE Funding </w:t>
      </w:r>
      <w:r w:rsidR="00EF3F2A">
        <w:t xml:space="preserve">Web page is located at </w:t>
      </w:r>
      <w:hyperlink r:id="rId12" w:tooltip="Funding Web page for American Indian Education Centers (AIEC) and AIEC Tobacco-Use Prevention Education (TUPE) Programs" w:history="1">
        <w:r w:rsidR="00C23575" w:rsidRPr="00316A56">
          <w:rPr>
            <w:rStyle w:val="Hyperlink"/>
          </w:rPr>
          <w:t>https://www.cde.ca.gov/sp/ai/re/funding.asp</w:t>
        </w:r>
      </w:hyperlink>
      <w:r w:rsidR="00724DAE" w:rsidRPr="00152741">
        <w:rPr>
          <w:szCs w:val="24"/>
        </w:rPr>
        <w:t xml:space="preserve">. The application for an AIEC Program grant must be emailed to the CDE on or before </w:t>
      </w:r>
      <w:r w:rsidR="00296458">
        <w:rPr>
          <w:szCs w:val="24"/>
        </w:rPr>
        <w:t>Tuesday, September</w:t>
      </w:r>
      <w:r w:rsidR="00266A0B" w:rsidRPr="00152741">
        <w:rPr>
          <w:szCs w:val="24"/>
        </w:rPr>
        <w:t xml:space="preserve"> 1</w:t>
      </w:r>
      <w:r w:rsidR="00296458">
        <w:rPr>
          <w:szCs w:val="24"/>
        </w:rPr>
        <w:t>0</w:t>
      </w:r>
      <w:r w:rsidR="00266A0B" w:rsidRPr="00152741">
        <w:rPr>
          <w:szCs w:val="24"/>
        </w:rPr>
        <w:t>, 2024</w:t>
      </w:r>
      <w:r w:rsidR="00724DAE" w:rsidRPr="00152741">
        <w:rPr>
          <w:szCs w:val="24"/>
        </w:rPr>
        <w:t xml:space="preserve">, no later than </w:t>
      </w:r>
      <w:r w:rsidR="00266A0B" w:rsidRPr="00152741">
        <w:rPr>
          <w:szCs w:val="24"/>
        </w:rPr>
        <w:t>4</w:t>
      </w:r>
      <w:r w:rsidR="00724DAE" w:rsidRPr="00152741">
        <w:rPr>
          <w:szCs w:val="24"/>
        </w:rPr>
        <w:t xml:space="preserve"> p</w:t>
      </w:r>
      <w:r w:rsidR="00F45423">
        <w:rPr>
          <w:szCs w:val="24"/>
        </w:rPr>
        <w:t>.</w:t>
      </w:r>
      <w:r w:rsidR="00922D8B">
        <w:rPr>
          <w:szCs w:val="24"/>
        </w:rPr>
        <w:t>m</w:t>
      </w:r>
      <w:r w:rsidR="00F45423">
        <w:rPr>
          <w:szCs w:val="24"/>
        </w:rPr>
        <w:t>.</w:t>
      </w:r>
      <w:r w:rsidR="00922D8B">
        <w:rPr>
          <w:szCs w:val="24"/>
        </w:rPr>
        <w:t xml:space="preserve"> </w:t>
      </w:r>
      <w:r w:rsidR="00724DAE" w:rsidRPr="00152741">
        <w:rPr>
          <w:szCs w:val="24"/>
        </w:rPr>
        <w:t xml:space="preserve">PST. </w:t>
      </w:r>
    </w:p>
    <w:p w14:paraId="51D6ED0C" w14:textId="589F51AE" w:rsidR="00724DAE" w:rsidRPr="00152741" w:rsidRDefault="00724DAE" w:rsidP="00724DAE">
      <w:pPr>
        <w:spacing w:after="240"/>
        <w:ind w:left="720"/>
        <w:rPr>
          <w:szCs w:val="24"/>
        </w:rPr>
      </w:pPr>
      <w:r w:rsidRPr="00152741">
        <w:rPr>
          <w:szCs w:val="24"/>
        </w:rPr>
        <w:t xml:space="preserve">Email application: Applications must be emailed on or before </w:t>
      </w:r>
      <w:r w:rsidR="00296458">
        <w:rPr>
          <w:szCs w:val="24"/>
        </w:rPr>
        <w:t>Tues</w:t>
      </w:r>
      <w:r w:rsidR="00266A0B" w:rsidRPr="00152741">
        <w:rPr>
          <w:szCs w:val="24"/>
        </w:rPr>
        <w:t xml:space="preserve">day, </w:t>
      </w:r>
      <w:r w:rsidR="00296458">
        <w:rPr>
          <w:szCs w:val="24"/>
        </w:rPr>
        <w:t xml:space="preserve">September </w:t>
      </w:r>
      <w:r w:rsidR="00266A0B" w:rsidRPr="00152741">
        <w:rPr>
          <w:szCs w:val="24"/>
        </w:rPr>
        <w:t>1</w:t>
      </w:r>
      <w:r w:rsidR="00296458">
        <w:rPr>
          <w:szCs w:val="24"/>
        </w:rPr>
        <w:t>0</w:t>
      </w:r>
      <w:r w:rsidR="00266A0B" w:rsidRPr="00152741">
        <w:rPr>
          <w:szCs w:val="24"/>
        </w:rPr>
        <w:t>, 2024, no later than 4 p</w:t>
      </w:r>
      <w:r w:rsidR="00F45423">
        <w:rPr>
          <w:szCs w:val="24"/>
        </w:rPr>
        <w:t>.</w:t>
      </w:r>
      <w:r w:rsidR="00922D8B">
        <w:rPr>
          <w:szCs w:val="24"/>
        </w:rPr>
        <w:t>m</w:t>
      </w:r>
      <w:r w:rsidR="00F45423">
        <w:rPr>
          <w:szCs w:val="24"/>
        </w:rPr>
        <w:t>.</w:t>
      </w:r>
      <w:r w:rsidR="00922D8B" w:rsidRPr="00152741">
        <w:rPr>
          <w:szCs w:val="24"/>
        </w:rPr>
        <w:t xml:space="preserve"> </w:t>
      </w:r>
      <w:r w:rsidR="000957BC">
        <w:rPr>
          <w:szCs w:val="24"/>
        </w:rPr>
        <w:t>P</w:t>
      </w:r>
      <w:r w:rsidR="00266A0B" w:rsidRPr="00152741">
        <w:rPr>
          <w:szCs w:val="24"/>
        </w:rPr>
        <w:t>ST</w:t>
      </w:r>
      <w:r w:rsidRPr="00152741">
        <w:rPr>
          <w:szCs w:val="24"/>
        </w:rPr>
        <w:t xml:space="preserve">. The complete digitally signed copy of all attached documents as a PDF must be submitted by email to </w:t>
      </w:r>
      <w:hyperlink r:id="rId13" w:tooltip="mailto:AmericanIndianEducation@cde.ca.gov" w:history="1">
        <w:r w:rsidRPr="00152741">
          <w:rPr>
            <w:rStyle w:val="Hyperlink"/>
            <w:szCs w:val="24"/>
          </w:rPr>
          <w:t>AmericanIndianEducation@cde.ca.gov</w:t>
        </w:r>
      </w:hyperlink>
      <w:r w:rsidRPr="00152741">
        <w:rPr>
          <w:szCs w:val="24"/>
        </w:rPr>
        <w:t xml:space="preserve">. The digital copies must be submitted as </w:t>
      </w:r>
      <w:r w:rsidR="003E6271" w:rsidRPr="00152741">
        <w:rPr>
          <w:szCs w:val="24"/>
        </w:rPr>
        <w:t xml:space="preserve">a </w:t>
      </w:r>
      <w:r w:rsidRPr="00152741">
        <w:rPr>
          <w:szCs w:val="24"/>
        </w:rPr>
        <w:t>continuous PDF document.</w:t>
      </w:r>
      <w:r w:rsidR="003E6271" w:rsidRPr="00152741">
        <w:rPr>
          <w:szCs w:val="24"/>
        </w:rPr>
        <w:t xml:space="preserve"> </w:t>
      </w:r>
    </w:p>
    <w:p w14:paraId="3D50B8E8" w14:textId="77777777" w:rsidR="00A62F48" w:rsidRPr="00152741" w:rsidRDefault="00B73A69" w:rsidP="007F255B">
      <w:pPr>
        <w:spacing w:after="240"/>
        <w:ind w:left="720"/>
        <w:rPr>
          <w:szCs w:val="24"/>
        </w:rPr>
      </w:pPr>
      <w:r w:rsidRPr="00152741">
        <w:rPr>
          <w:szCs w:val="24"/>
        </w:rPr>
        <w:t>The a</w:t>
      </w:r>
      <w:r w:rsidR="00A62F48" w:rsidRPr="00152741">
        <w:rPr>
          <w:szCs w:val="24"/>
        </w:rPr>
        <w:t>pplicant is responsible for ensuring that the application package is complete and that there are no missing pages/forms prior to submission. The CDE cannot add items to or remove items from the applications received.</w:t>
      </w:r>
    </w:p>
    <w:p w14:paraId="5CD26410" w14:textId="77777777" w:rsidR="00A62F48" w:rsidRPr="00152741" w:rsidRDefault="00A62F48" w:rsidP="007F255B">
      <w:pPr>
        <w:spacing w:after="240"/>
        <w:ind w:left="720"/>
        <w:rPr>
          <w:szCs w:val="24"/>
        </w:rPr>
      </w:pPr>
      <w:r w:rsidRPr="00152741">
        <w:rPr>
          <w:szCs w:val="24"/>
        </w:rPr>
        <w:lastRenderedPageBreak/>
        <w:t xml:space="preserve">The CDE reserves the right to reject any or all applications. The state's waiver of any submission of material not required in the </w:t>
      </w:r>
      <w:r w:rsidR="00734EAA" w:rsidRPr="00152741">
        <w:rPr>
          <w:szCs w:val="24"/>
        </w:rPr>
        <w:t xml:space="preserve">RFA does </w:t>
      </w:r>
      <w:r w:rsidRPr="00152741">
        <w:rPr>
          <w:szCs w:val="24"/>
        </w:rPr>
        <w:t>not excuse the grantee from full compliance with the grant terms, if a grant is awarded.</w:t>
      </w:r>
    </w:p>
    <w:p w14:paraId="0E55941B" w14:textId="77777777" w:rsidR="003E6271" w:rsidRPr="00152741" w:rsidRDefault="008E74DE" w:rsidP="003E6271">
      <w:pPr>
        <w:spacing w:after="480"/>
        <w:ind w:left="720"/>
        <w:rPr>
          <w:szCs w:val="24"/>
        </w:rPr>
      </w:pPr>
      <w:r w:rsidRPr="00152741">
        <w:rPr>
          <w:szCs w:val="24"/>
        </w:rPr>
        <w:t xml:space="preserve">The costs for preparing and delivering the application shall be the sole responsibility of the applicant. </w:t>
      </w:r>
    </w:p>
    <w:p w14:paraId="041F7E91" w14:textId="77777777" w:rsidR="00D06605" w:rsidRPr="00152741" w:rsidRDefault="00734EAA" w:rsidP="00962C66">
      <w:pPr>
        <w:pStyle w:val="Heading3"/>
        <w:numPr>
          <w:ilvl w:val="0"/>
          <w:numId w:val="52"/>
        </w:numPr>
        <w:tabs>
          <w:tab w:val="clear" w:pos="960"/>
          <w:tab w:val="clear" w:pos="1440"/>
          <w:tab w:val="clear" w:pos="1800"/>
          <w:tab w:val="clear" w:pos="2160"/>
        </w:tabs>
        <w:spacing w:after="240"/>
      </w:pPr>
      <w:bookmarkStart w:id="37" w:name="_Toc164262850"/>
      <w:r w:rsidRPr="00152741">
        <w:t>Grant Amendments</w:t>
      </w:r>
      <w:bookmarkEnd w:id="37"/>
    </w:p>
    <w:p w14:paraId="47474157" w14:textId="77777777" w:rsidR="00734EAA" w:rsidRPr="00152741" w:rsidRDefault="00734EAA" w:rsidP="007F255B">
      <w:pPr>
        <w:keepNext/>
        <w:keepLines/>
        <w:spacing w:after="240"/>
        <w:ind w:left="360" w:firstLine="360"/>
        <w:rPr>
          <w:bCs w:val="0"/>
          <w:szCs w:val="24"/>
        </w:rPr>
      </w:pPr>
      <w:r w:rsidRPr="00152741">
        <w:rPr>
          <w:szCs w:val="24"/>
        </w:rPr>
        <w:t xml:space="preserve">The CDE may </w:t>
      </w:r>
      <w:r w:rsidRPr="00152741">
        <w:rPr>
          <w:bCs w:val="0"/>
          <w:szCs w:val="24"/>
        </w:rPr>
        <w:t>reduce grant amounts as follows:</w:t>
      </w:r>
    </w:p>
    <w:p w14:paraId="13A27715" w14:textId="77777777" w:rsidR="00734EAA" w:rsidRPr="00152741" w:rsidRDefault="00734EAA" w:rsidP="00962C66">
      <w:pPr>
        <w:numPr>
          <w:ilvl w:val="0"/>
          <w:numId w:val="51"/>
        </w:numPr>
        <w:tabs>
          <w:tab w:val="left" w:pos="360"/>
        </w:tabs>
        <w:spacing w:after="240"/>
        <w:rPr>
          <w:bCs w:val="0"/>
          <w:szCs w:val="24"/>
        </w:rPr>
      </w:pPr>
      <w:r w:rsidRPr="00152741">
        <w:rPr>
          <w:bCs w:val="0"/>
          <w:szCs w:val="24"/>
        </w:rPr>
        <w:t>An across-the-board reduction will be made in the event of an allocation reduction in the State Budget. Each AIEC’s grant amount will be reduced proportionately to the allocation reduction in the Budget Act.</w:t>
      </w:r>
    </w:p>
    <w:p w14:paraId="5ABF1740" w14:textId="77777777" w:rsidR="00734EAA" w:rsidRPr="00152741" w:rsidRDefault="00734EAA" w:rsidP="00962C66">
      <w:pPr>
        <w:numPr>
          <w:ilvl w:val="0"/>
          <w:numId w:val="51"/>
        </w:numPr>
        <w:tabs>
          <w:tab w:val="left" w:pos="360"/>
        </w:tabs>
        <w:spacing w:after="480"/>
        <w:rPr>
          <w:bCs w:val="0"/>
          <w:szCs w:val="24"/>
        </w:rPr>
      </w:pPr>
      <w:r w:rsidRPr="00152741">
        <w:rPr>
          <w:bCs w:val="0"/>
          <w:szCs w:val="24"/>
        </w:rPr>
        <w:t xml:space="preserve">If any services budgeted in an AIEC’s </w:t>
      </w:r>
      <w:r w:rsidR="00243A06" w:rsidRPr="00152741">
        <w:rPr>
          <w:bCs w:val="0"/>
          <w:szCs w:val="24"/>
        </w:rPr>
        <w:t xml:space="preserve">Program </w:t>
      </w:r>
      <w:r w:rsidRPr="00152741">
        <w:rPr>
          <w:bCs w:val="0"/>
          <w:szCs w:val="24"/>
        </w:rPr>
        <w:t xml:space="preserve">application or approved budget revision are not provided within the grant year or within the first quarter of the subsequent grant year, and if a grant extension is not provided pursuant to 5 </w:t>
      </w:r>
      <w:r w:rsidRPr="00152741">
        <w:rPr>
          <w:i/>
          <w:szCs w:val="24"/>
        </w:rPr>
        <w:t>CCR</w:t>
      </w:r>
      <w:r w:rsidRPr="00152741">
        <w:rPr>
          <w:szCs w:val="24"/>
        </w:rPr>
        <w:t xml:space="preserve">, Section </w:t>
      </w:r>
      <w:r w:rsidRPr="00152741">
        <w:rPr>
          <w:bCs w:val="0"/>
          <w:szCs w:val="24"/>
        </w:rPr>
        <w:t>11996.9(a), the CDE shall reduce the grant award to the AIEC accordingly.</w:t>
      </w:r>
    </w:p>
    <w:p w14:paraId="6FEBDC0C" w14:textId="77777777" w:rsidR="00D06605" w:rsidRPr="00152741" w:rsidRDefault="00734EAA" w:rsidP="00962C66">
      <w:pPr>
        <w:pStyle w:val="Heading3"/>
        <w:numPr>
          <w:ilvl w:val="0"/>
          <w:numId w:val="52"/>
        </w:numPr>
        <w:tabs>
          <w:tab w:val="clear" w:pos="960"/>
          <w:tab w:val="clear" w:pos="1440"/>
          <w:tab w:val="clear" w:pos="1800"/>
          <w:tab w:val="clear" w:pos="2160"/>
        </w:tabs>
        <w:spacing w:after="240"/>
      </w:pPr>
      <w:bookmarkStart w:id="38" w:name="_Toc164262851"/>
      <w:r w:rsidRPr="00152741">
        <w:t>Grant Extension</w:t>
      </w:r>
      <w:bookmarkEnd w:id="38"/>
    </w:p>
    <w:p w14:paraId="4665A47B" w14:textId="77777777" w:rsidR="008E74DE" w:rsidRPr="00152741" w:rsidRDefault="00734EAA" w:rsidP="008E74DE">
      <w:pPr>
        <w:pStyle w:val="ListParagraph"/>
        <w:spacing w:after="240"/>
        <w:rPr>
          <w:color w:val="000000"/>
          <w:szCs w:val="24"/>
        </w:rPr>
      </w:pPr>
      <w:r w:rsidRPr="00152741">
        <w:rPr>
          <w:i/>
          <w:color w:val="000000"/>
          <w:szCs w:val="24"/>
        </w:rPr>
        <w:t>5 CCR</w:t>
      </w:r>
      <w:r w:rsidRPr="00152741">
        <w:rPr>
          <w:color w:val="000000"/>
          <w:szCs w:val="24"/>
        </w:rPr>
        <w:t xml:space="preserve"> Section 11996.10 states the following:</w:t>
      </w:r>
    </w:p>
    <w:p w14:paraId="4463E0B8" w14:textId="77777777" w:rsidR="00734EAA" w:rsidRPr="00152741" w:rsidRDefault="00734EAA" w:rsidP="001C5678">
      <w:pPr>
        <w:pStyle w:val="ListParagraph"/>
        <w:spacing w:after="480"/>
        <w:rPr>
          <w:szCs w:val="24"/>
        </w:rPr>
      </w:pPr>
      <w:r w:rsidRPr="00152741">
        <w:rPr>
          <w:color w:val="000000"/>
          <w:szCs w:val="24"/>
        </w:rPr>
        <w:t xml:space="preserve">The CDE will </w:t>
      </w:r>
      <w:r w:rsidRPr="00152741">
        <w:rPr>
          <w:szCs w:val="24"/>
        </w:rPr>
        <w:t>determine whether extensions for the use of grant funds will be made available in the first quarter of the subsequent grant year by June 30 of the grant year. Funds from a grant year must be used to provide services in the first quarter of the subsequent grant year, provided that the AIEC submits to the CDE a plan, budget revision, and line-item budget for use of the funds in the first quarter of the subsequent grant year. The plan</w:t>
      </w:r>
      <w:r w:rsidRPr="00152741">
        <w:rPr>
          <w:b/>
          <w:szCs w:val="24"/>
        </w:rPr>
        <w:t xml:space="preserve"> </w:t>
      </w:r>
      <w:r w:rsidRPr="00152741">
        <w:rPr>
          <w:szCs w:val="24"/>
        </w:rPr>
        <w:t>must demonstrate that the funds will be used to provide supplemental services that would not otherwise be funded from the grant funds of the new year.</w:t>
      </w:r>
    </w:p>
    <w:p w14:paraId="46B0CB1C" w14:textId="77777777" w:rsidR="00CC4E03" w:rsidRPr="00152741" w:rsidRDefault="00E539FD" w:rsidP="00962C66">
      <w:pPr>
        <w:pStyle w:val="Heading2"/>
        <w:numPr>
          <w:ilvl w:val="0"/>
          <w:numId w:val="21"/>
        </w:numPr>
        <w:spacing w:after="240"/>
        <w:ind w:left="360"/>
      </w:pPr>
      <w:bookmarkStart w:id="39" w:name="_Toc164262852"/>
      <w:r w:rsidRPr="00152741">
        <w:t>APPLICATION INSTRUCTIONS</w:t>
      </w:r>
      <w:bookmarkEnd w:id="39"/>
    </w:p>
    <w:p w14:paraId="076CC9F7" w14:textId="5C5A8EF9" w:rsidR="00CC4E03" w:rsidRPr="00152741" w:rsidRDefault="00CC4E03" w:rsidP="006F0760">
      <w:pPr>
        <w:spacing w:after="480"/>
        <w:ind w:left="720"/>
      </w:pPr>
      <w:r w:rsidRPr="00152741">
        <w:t>The application</w:t>
      </w:r>
      <w:r w:rsidRPr="00152741">
        <w:rPr>
          <w:b/>
          <w:szCs w:val="24"/>
        </w:rPr>
        <w:t xml:space="preserve"> </w:t>
      </w:r>
      <w:r w:rsidRPr="00152741">
        <w:rPr>
          <w:szCs w:val="24"/>
        </w:rPr>
        <w:t xml:space="preserve">is due 60 days from the date of release. All applications will be reviewed for completeness and for the likelihood of success in meeting the purposes of the AIEC Program. Please follow the directions for each section carefully to ensure that the proposal will be given every consideration. Please organize the application in the order described in this section. The </w:t>
      </w:r>
      <w:r w:rsidR="00AA4F00" w:rsidRPr="00152741">
        <w:rPr>
          <w:szCs w:val="24"/>
        </w:rPr>
        <w:t xml:space="preserve">Application </w:t>
      </w:r>
      <w:r w:rsidR="00746675">
        <w:rPr>
          <w:szCs w:val="24"/>
        </w:rPr>
        <w:t xml:space="preserve">AIEC </w:t>
      </w:r>
      <w:r w:rsidRPr="00152741">
        <w:rPr>
          <w:szCs w:val="24"/>
        </w:rPr>
        <w:t>Scoring Rubric</w:t>
      </w:r>
      <w:r w:rsidR="00746675">
        <w:rPr>
          <w:szCs w:val="24"/>
        </w:rPr>
        <w:t xml:space="preserve"> Template</w:t>
      </w:r>
      <w:r w:rsidRPr="00152741">
        <w:rPr>
          <w:szCs w:val="24"/>
        </w:rPr>
        <w:t xml:space="preserve"> (</w:t>
      </w:r>
      <w:r w:rsidR="005E1801" w:rsidRPr="00152741">
        <w:rPr>
          <w:szCs w:val="24"/>
        </w:rPr>
        <w:t>Attachment</w:t>
      </w:r>
      <w:r w:rsidRPr="00152741">
        <w:rPr>
          <w:szCs w:val="24"/>
        </w:rPr>
        <w:t xml:space="preserve"> </w:t>
      </w:r>
      <w:r w:rsidR="005E1801" w:rsidRPr="00152741">
        <w:rPr>
          <w:szCs w:val="24"/>
        </w:rPr>
        <w:t>2</w:t>
      </w:r>
      <w:r w:rsidRPr="00152741">
        <w:rPr>
          <w:szCs w:val="24"/>
        </w:rPr>
        <w:t>) should be used as a guide in writing the proposal.</w:t>
      </w:r>
    </w:p>
    <w:p w14:paraId="738CC592" w14:textId="77777777" w:rsidR="00D06605" w:rsidRPr="00152741" w:rsidRDefault="00CC4E03" w:rsidP="00962C66">
      <w:pPr>
        <w:pStyle w:val="Heading3"/>
        <w:numPr>
          <w:ilvl w:val="0"/>
          <w:numId w:val="23"/>
        </w:numPr>
        <w:tabs>
          <w:tab w:val="clear" w:pos="720"/>
          <w:tab w:val="clear" w:pos="960"/>
          <w:tab w:val="clear" w:pos="1440"/>
          <w:tab w:val="clear" w:pos="1800"/>
          <w:tab w:val="clear" w:pos="2160"/>
        </w:tabs>
        <w:spacing w:after="240"/>
      </w:pPr>
      <w:bookmarkStart w:id="40" w:name="_Toc164262853"/>
      <w:r w:rsidRPr="00152741">
        <w:lastRenderedPageBreak/>
        <w:t>Required Assurances</w:t>
      </w:r>
      <w:bookmarkEnd w:id="40"/>
    </w:p>
    <w:p w14:paraId="71881C13" w14:textId="034B010B" w:rsidR="00272FB3" w:rsidRDefault="00272FB3" w:rsidP="00272FB3">
      <w:pPr>
        <w:keepNext/>
        <w:spacing w:after="240"/>
        <w:ind w:left="720"/>
        <w:rPr>
          <w:bCs w:val="0"/>
        </w:rPr>
      </w:pPr>
      <w:r>
        <w:t xml:space="preserve">The </w:t>
      </w:r>
      <w:r>
        <w:rPr>
          <w:color w:val="000000"/>
        </w:rPr>
        <w:t>General Assurances and Certifications are available on the CDE</w:t>
      </w:r>
      <w:r w:rsidR="00922D8B">
        <w:rPr>
          <w:color w:val="000000"/>
        </w:rPr>
        <w:t xml:space="preserve"> website</w:t>
      </w:r>
      <w:r>
        <w:rPr>
          <w:color w:val="000000"/>
        </w:rPr>
        <w:t xml:space="preserve">. The </w:t>
      </w:r>
      <w:r>
        <w:t>General Assurances form is required for application for funds.</w:t>
      </w:r>
    </w:p>
    <w:p w14:paraId="0DA9EF01" w14:textId="77777777" w:rsidR="00272FB3" w:rsidRDefault="00272FB3" w:rsidP="00272FB3">
      <w:pPr>
        <w:spacing w:after="240"/>
        <w:ind w:left="720"/>
        <w:rPr>
          <w:rFonts w:ascii="Aptos" w:hAnsi="Aptos" w:cs="Aptos"/>
          <w:color w:val="000000"/>
        </w:rPr>
      </w:pPr>
      <w:r>
        <w:rPr>
          <w:b/>
          <w:bCs w:val="0"/>
          <w:color w:val="000000"/>
        </w:rPr>
        <w:t>Note:</w:t>
      </w:r>
      <w:r>
        <w:rPr>
          <w:color w:val="000000"/>
        </w:rPr>
        <w:t xml:space="preserve"> The signed grant application submitted to the CDE confirms a commitment to comply with the General Assurances and Certifications. </w:t>
      </w:r>
      <w:r>
        <w:rPr>
          <w:b/>
          <w:bCs w:val="0"/>
          <w:color w:val="000000"/>
        </w:rPr>
        <w:t>Applicants must download and submit them with their applications.</w:t>
      </w:r>
    </w:p>
    <w:p w14:paraId="4B42B4A2" w14:textId="7CC07065" w:rsidR="00272FB3" w:rsidRDefault="00921BC6" w:rsidP="00962C66">
      <w:pPr>
        <w:numPr>
          <w:ilvl w:val="0"/>
          <w:numId w:val="42"/>
        </w:numPr>
        <w:tabs>
          <w:tab w:val="clear" w:pos="1440"/>
        </w:tabs>
        <w:spacing w:after="240"/>
        <w:ind w:left="1980"/>
      </w:pPr>
      <w:r>
        <w:t xml:space="preserve">The </w:t>
      </w:r>
      <w:r w:rsidR="00272FB3">
        <w:t>General Assurances form</w:t>
      </w:r>
      <w:r w:rsidR="00DF2BF5">
        <w:t xml:space="preserve"> can be found at</w:t>
      </w:r>
      <w:r w:rsidR="00272FB3">
        <w:t xml:space="preserve"> </w:t>
      </w:r>
      <w:hyperlink r:id="rId14" w:tooltip="California Department of Education General Assurances" w:history="1">
        <w:r w:rsidR="00DF2BF5">
          <w:rPr>
            <w:color w:val="0000FF"/>
            <w:u w:val="single"/>
          </w:rPr>
          <w:t>https://www.cde.ca.gov/fg/fo/fm/generalassurances2023-24.asp</w:t>
        </w:r>
      </w:hyperlink>
    </w:p>
    <w:p w14:paraId="59E5BBDA" w14:textId="77777777" w:rsidR="009A4C87" w:rsidRPr="00152741" w:rsidRDefault="009A4C87" w:rsidP="009A4C87">
      <w:pPr>
        <w:tabs>
          <w:tab w:val="left" w:pos="720"/>
        </w:tabs>
        <w:spacing w:after="240"/>
        <w:ind w:left="360"/>
        <w:rPr>
          <w:bCs w:val="0"/>
          <w:szCs w:val="24"/>
        </w:rPr>
      </w:pPr>
      <w:r w:rsidRPr="00152741">
        <w:rPr>
          <w:bCs w:val="0"/>
          <w:szCs w:val="24"/>
        </w:rPr>
        <w:tab/>
        <w:t>The following also must be completed and submitted:</w:t>
      </w:r>
    </w:p>
    <w:p w14:paraId="5D648378" w14:textId="46602B3C" w:rsidR="009A4C87" w:rsidRPr="00152741" w:rsidRDefault="009A4C87" w:rsidP="00962C66">
      <w:pPr>
        <w:keepNext/>
        <w:numPr>
          <w:ilvl w:val="0"/>
          <w:numId w:val="22"/>
        </w:numPr>
        <w:spacing w:after="240"/>
        <w:rPr>
          <w:bCs w:val="0"/>
          <w:szCs w:val="24"/>
        </w:rPr>
      </w:pPr>
      <w:r w:rsidRPr="00152741">
        <w:rPr>
          <w:bCs w:val="0"/>
          <w:szCs w:val="24"/>
        </w:rPr>
        <w:t>AIEC Board of Directors</w:t>
      </w:r>
      <w:r w:rsidR="006F0760">
        <w:rPr>
          <w:bCs w:val="0"/>
          <w:szCs w:val="24"/>
        </w:rPr>
        <w:t>-</w:t>
      </w:r>
      <w:r w:rsidRPr="00152741">
        <w:rPr>
          <w:bCs w:val="0"/>
          <w:szCs w:val="24"/>
        </w:rPr>
        <w:t>Tribal Council and Parent Advisory Council List (Attachment 3)</w:t>
      </w:r>
    </w:p>
    <w:p w14:paraId="7414744C" w14:textId="77777777" w:rsidR="009A4C87" w:rsidRPr="00152741" w:rsidRDefault="009A4C87" w:rsidP="00962C66">
      <w:pPr>
        <w:numPr>
          <w:ilvl w:val="0"/>
          <w:numId w:val="22"/>
        </w:numPr>
        <w:tabs>
          <w:tab w:val="left" w:pos="720"/>
        </w:tabs>
        <w:spacing w:after="240"/>
        <w:rPr>
          <w:bCs w:val="0"/>
          <w:szCs w:val="24"/>
        </w:rPr>
      </w:pPr>
      <w:r w:rsidRPr="00152741">
        <w:rPr>
          <w:bCs w:val="0"/>
          <w:szCs w:val="24"/>
        </w:rPr>
        <w:t>AIEC Documentation Requirements (Attachment 4)</w:t>
      </w:r>
    </w:p>
    <w:p w14:paraId="4FBE826B" w14:textId="77777777" w:rsidR="009A4C87" w:rsidRPr="00152741" w:rsidRDefault="009A4C87" w:rsidP="00962C66">
      <w:pPr>
        <w:numPr>
          <w:ilvl w:val="0"/>
          <w:numId w:val="22"/>
        </w:numPr>
        <w:tabs>
          <w:tab w:val="left" w:pos="720"/>
        </w:tabs>
        <w:spacing w:after="480"/>
        <w:rPr>
          <w:bCs w:val="0"/>
          <w:szCs w:val="24"/>
        </w:rPr>
      </w:pPr>
      <w:r w:rsidRPr="00152741">
        <w:rPr>
          <w:bCs w:val="0"/>
          <w:szCs w:val="24"/>
        </w:rPr>
        <w:t>AIEC Commercial Tobacco-Free Certification (Attachment 5)</w:t>
      </w:r>
    </w:p>
    <w:p w14:paraId="5A9E119F" w14:textId="77777777" w:rsidR="00CC4E03" w:rsidRPr="00152741" w:rsidRDefault="00CC4E03" w:rsidP="00962C66">
      <w:pPr>
        <w:pStyle w:val="Heading3"/>
        <w:numPr>
          <w:ilvl w:val="0"/>
          <w:numId w:val="24"/>
        </w:numPr>
        <w:tabs>
          <w:tab w:val="clear" w:pos="960"/>
          <w:tab w:val="clear" w:pos="1440"/>
          <w:tab w:val="clear" w:pos="1800"/>
          <w:tab w:val="clear" w:pos="2160"/>
        </w:tabs>
        <w:spacing w:after="240"/>
      </w:pPr>
      <w:bookmarkStart w:id="41" w:name="_Toc164262854"/>
      <w:r w:rsidRPr="00152741">
        <w:t xml:space="preserve">Clarification of the Request for </w:t>
      </w:r>
      <w:r w:rsidR="00E539FD" w:rsidRPr="00152741">
        <w:t>Applications</w:t>
      </w:r>
      <w:bookmarkEnd w:id="41"/>
    </w:p>
    <w:p w14:paraId="70403DF4" w14:textId="66E60986" w:rsidR="00B3622D" w:rsidRPr="00152741" w:rsidRDefault="00E539FD" w:rsidP="006F0760">
      <w:pPr>
        <w:spacing w:after="480"/>
        <w:ind w:left="720"/>
        <w:rPr>
          <w:bCs w:val="0"/>
          <w:szCs w:val="24"/>
        </w:rPr>
      </w:pPr>
      <w:r w:rsidRPr="00152741">
        <w:t xml:space="preserve">Any prospective </w:t>
      </w:r>
      <w:r w:rsidRPr="00152741">
        <w:rPr>
          <w:bCs w:val="0"/>
          <w:szCs w:val="24"/>
        </w:rPr>
        <w:t xml:space="preserve">applicant needing clarification on the RFA regarding program issues, please contact Judy Delgado, American Indian Education Consultant, by </w:t>
      </w:r>
      <w:r w:rsidR="00B3622D" w:rsidRPr="00152741">
        <w:rPr>
          <w:bCs w:val="0"/>
          <w:szCs w:val="24"/>
        </w:rPr>
        <w:t xml:space="preserve">email at </w:t>
      </w:r>
      <w:hyperlink r:id="rId15" w:history="1">
        <w:r w:rsidR="00B3622D" w:rsidRPr="00152741">
          <w:rPr>
            <w:rStyle w:val="Hyperlink"/>
            <w:bCs w:val="0"/>
            <w:szCs w:val="24"/>
          </w:rPr>
          <w:t>judelgado@cde.ca.gov</w:t>
        </w:r>
      </w:hyperlink>
      <w:r w:rsidR="00B3622D" w:rsidRPr="00152741">
        <w:rPr>
          <w:bCs w:val="0"/>
          <w:szCs w:val="24"/>
        </w:rPr>
        <w:t>.</w:t>
      </w:r>
      <w:r w:rsidRPr="00152741">
        <w:rPr>
          <w:bCs w:val="0"/>
          <w:szCs w:val="24"/>
        </w:rPr>
        <w:t xml:space="preserve"> For clarification on fiscal issues, please contact </w:t>
      </w:r>
      <w:r w:rsidR="006D21E7">
        <w:rPr>
          <w:bCs w:val="0"/>
          <w:szCs w:val="24"/>
        </w:rPr>
        <w:t>Cindy Rodriguez</w:t>
      </w:r>
      <w:r w:rsidRPr="00152741">
        <w:rPr>
          <w:bCs w:val="0"/>
          <w:szCs w:val="24"/>
        </w:rPr>
        <w:t xml:space="preserve">, </w:t>
      </w:r>
      <w:r w:rsidR="00156422" w:rsidRPr="00152741">
        <w:rPr>
          <w:bCs w:val="0"/>
          <w:szCs w:val="24"/>
        </w:rPr>
        <w:t>Staff Services Analyst</w:t>
      </w:r>
      <w:r w:rsidRPr="00152741">
        <w:rPr>
          <w:bCs w:val="0"/>
          <w:szCs w:val="24"/>
        </w:rPr>
        <w:t xml:space="preserve">, by </w:t>
      </w:r>
      <w:r w:rsidR="00B3622D" w:rsidRPr="00152741">
        <w:rPr>
          <w:bCs w:val="0"/>
          <w:szCs w:val="24"/>
        </w:rPr>
        <w:t>email at</w:t>
      </w:r>
      <w:r w:rsidR="006D21E7">
        <w:rPr>
          <w:bCs w:val="0"/>
          <w:szCs w:val="24"/>
        </w:rPr>
        <w:t xml:space="preserve"> </w:t>
      </w:r>
      <w:hyperlink r:id="rId16" w:history="1">
        <w:r w:rsidR="006D21E7" w:rsidRPr="00A6041E">
          <w:rPr>
            <w:rStyle w:val="Hyperlink"/>
            <w:bCs w:val="0"/>
            <w:szCs w:val="24"/>
          </w:rPr>
          <w:t>cirodriguez@cde.ca.gov</w:t>
        </w:r>
      </w:hyperlink>
      <w:r w:rsidR="00B3622D" w:rsidRPr="00152741">
        <w:rPr>
          <w:bCs w:val="0"/>
          <w:szCs w:val="24"/>
        </w:rPr>
        <w:t>.</w:t>
      </w:r>
    </w:p>
    <w:p w14:paraId="6B959D38" w14:textId="77777777" w:rsidR="00E539FD" w:rsidRPr="00152741" w:rsidRDefault="00E539FD" w:rsidP="00962C66">
      <w:pPr>
        <w:pStyle w:val="Heading2"/>
        <w:numPr>
          <w:ilvl w:val="0"/>
          <w:numId w:val="21"/>
        </w:numPr>
        <w:spacing w:after="480"/>
        <w:ind w:left="360"/>
      </w:pPr>
      <w:bookmarkStart w:id="42" w:name="_Toc164262855"/>
      <w:r w:rsidRPr="00152741">
        <w:t>DEVELOPING AN AMERICAN INDIAN EDUCATION CENTER PROGRAM</w:t>
      </w:r>
      <w:bookmarkEnd w:id="42"/>
    </w:p>
    <w:p w14:paraId="65BD569E" w14:textId="77777777" w:rsidR="00E539FD" w:rsidRPr="00152741" w:rsidRDefault="00E539FD" w:rsidP="00962C66">
      <w:pPr>
        <w:pStyle w:val="Heading3"/>
        <w:numPr>
          <w:ilvl w:val="0"/>
          <w:numId w:val="25"/>
        </w:numPr>
        <w:tabs>
          <w:tab w:val="clear" w:pos="960"/>
          <w:tab w:val="clear" w:pos="1440"/>
          <w:tab w:val="clear" w:pos="1800"/>
          <w:tab w:val="clear" w:pos="2160"/>
        </w:tabs>
        <w:spacing w:after="240"/>
      </w:pPr>
      <w:bookmarkStart w:id="43" w:name="_Toc164262856"/>
      <w:r w:rsidRPr="00152741">
        <w:t>Agency Description</w:t>
      </w:r>
      <w:bookmarkEnd w:id="43"/>
    </w:p>
    <w:p w14:paraId="2BB0CD2E" w14:textId="77777777" w:rsidR="00E539FD" w:rsidRPr="00152741" w:rsidRDefault="00E539FD" w:rsidP="007F255B">
      <w:pPr>
        <w:spacing w:after="240"/>
        <w:ind w:left="720"/>
        <w:rPr>
          <w:bCs w:val="0"/>
          <w:szCs w:val="24"/>
        </w:rPr>
      </w:pPr>
      <w:r w:rsidRPr="00152741">
        <w:t xml:space="preserve">The agency description </w:t>
      </w:r>
      <w:r w:rsidRPr="00152741">
        <w:rPr>
          <w:bCs w:val="0"/>
          <w:szCs w:val="24"/>
        </w:rPr>
        <w:t>will demonstrate the agency’s capacity to facilitate a successful project. The agency description explains the service-area demographics, the targeted population, existing services, capacity of the agency to facilitate a successful program, and the history of the agency’s services to the American Indian community. The information must include all of the following:</w:t>
      </w:r>
    </w:p>
    <w:p w14:paraId="38BC3920" w14:textId="77777777" w:rsidR="00E539FD" w:rsidRPr="00152741" w:rsidRDefault="00E539FD" w:rsidP="00962C66">
      <w:pPr>
        <w:numPr>
          <w:ilvl w:val="0"/>
          <w:numId w:val="26"/>
        </w:numPr>
        <w:spacing w:after="240"/>
        <w:ind w:left="1440"/>
        <w:rPr>
          <w:bCs w:val="0"/>
          <w:szCs w:val="24"/>
        </w:rPr>
      </w:pPr>
      <w:r w:rsidRPr="00152741">
        <w:rPr>
          <w:bCs w:val="0"/>
          <w:szCs w:val="24"/>
        </w:rPr>
        <w:t>Agency description, including:</w:t>
      </w:r>
    </w:p>
    <w:p w14:paraId="27E84B2E" w14:textId="77777777" w:rsidR="00E539FD" w:rsidRPr="00152741" w:rsidRDefault="00E539FD" w:rsidP="00962C66">
      <w:pPr>
        <w:numPr>
          <w:ilvl w:val="0"/>
          <w:numId w:val="27"/>
        </w:numPr>
        <w:spacing w:after="240"/>
        <w:ind w:left="2160"/>
        <w:rPr>
          <w:bCs w:val="0"/>
          <w:szCs w:val="24"/>
        </w:rPr>
      </w:pPr>
      <w:r w:rsidRPr="00152741">
        <w:rPr>
          <w:bCs w:val="0"/>
          <w:szCs w:val="24"/>
        </w:rPr>
        <w:t>The length of time the agency has been in operation.</w:t>
      </w:r>
    </w:p>
    <w:p w14:paraId="1598F34A" w14:textId="77777777" w:rsidR="00E539FD" w:rsidRPr="00152741" w:rsidRDefault="00E539FD" w:rsidP="00962C66">
      <w:pPr>
        <w:numPr>
          <w:ilvl w:val="0"/>
          <w:numId w:val="27"/>
        </w:numPr>
        <w:spacing w:after="240"/>
        <w:ind w:left="2160"/>
        <w:rPr>
          <w:bCs w:val="0"/>
          <w:szCs w:val="24"/>
        </w:rPr>
      </w:pPr>
      <w:r w:rsidRPr="00152741">
        <w:rPr>
          <w:bCs w:val="0"/>
          <w:szCs w:val="24"/>
        </w:rPr>
        <w:t xml:space="preserve">An </w:t>
      </w:r>
      <w:r w:rsidRPr="00152741">
        <w:rPr>
          <w:bCs w:val="0"/>
          <w:color w:val="000000"/>
          <w:szCs w:val="24"/>
        </w:rPr>
        <w:t>organizational chart of the AIEC-funded program, showing staff and the AIEC’s relationship to its parent organization.</w:t>
      </w:r>
    </w:p>
    <w:p w14:paraId="27BA0D9D" w14:textId="77777777" w:rsidR="00E539FD" w:rsidRPr="00152741" w:rsidRDefault="00E539FD" w:rsidP="00962C66">
      <w:pPr>
        <w:numPr>
          <w:ilvl w:val="0"/>
          <w:numId w:val="27"/>
        </w:numPr>
        <w:spacing w:after="240"/>
        <w:ind w:left="2160"/>
        <w:rPr>
          <w:bCs w:val="0"/>
          <w:color w:val="000000"/>
          <w:szCs w:val="24"/>
        </w:rPr>
      </w:pPr>
      <w:r w:rsidRPr="00152741">
        <w:rPr>
          <w:bCs w:val="0"/>
          <w:szCs w:val="24"/>
        </w:rPr>
        <w:t>The county in which the agency is located.</w:t>
      </w:r>
    </w:p>
    <w:p w14:paraId="27A90E90" w14:textId="77777777" w:rsidR="00E539FD" w:rsidRPr="00152741" w:rsidRDefault="00E539FD" w:rsidP="00962C66">
      <w:pPr>
        <w:numPr>
          <w:ilvl w:val="0"/>
          <w:numId w:val="27"/>
        </w:numPr>
        <w:spacing w:after="240"/>
        <w:ind w:left="2160"/>
        <w:rPr>
          <w:bCs w:val="0"/>
          <w:color w:val="000000"/>
          <w:szCs w:val="24"/>
        </w:rPr>
      </w:pPr>
      <w:r w:rsidRPr="00152741">
        <w:rPr>
          <w:bCs w:val="0"/>
          <w:szCs w:val="24"/>
        </w:rPr>
        <w:lastRenderedPageBreak/>
        <w:t>The school districts the agency plans to serve.</w:t>
      </w:r>
    </w:p>
    <w:p w14:paraId="1BA06B94" w14:textId="77777777" w:rsidR="00E539FD" w:rsidRPr="00152741" w:rsidRDefault="00E539FD" w:rsidP="00962C66">
      <w:pPr>
        <w:numPr>
          <w:ilvl w:val="0"/>
          <w:numId w:val="27"/>
        </w:numPr>
        <w:spacing w:after="240"/>
        <w:ind w:left="2160"/>
        <w:rPr>
          <w:bCs w:val="0"/>
          <w:color w:val="000000"/>
          <w:szCs w:val="24"/>
        </w:rPr>
      </w:pPr>
      <w:r w:rsidRPr="00152741">
        <w:rPr>
          <w:bCs w:val="0"/>
          <w:szCs w:val="24"/>
        </w:rPr>
        <w:t>The nearest city or town.</w:t>
      </w:r>
    </w:p>
    <w:p w14:paraId="744BC841" w14:textId="77777777" w:rsidR="00E539FD" w:rsidRPr="00152741" w:rsidRDefault="00E539FD" w:rsidP="00962C66">
      <w:pPr>
        <w:numPr>
          <w:ilvl w:val="0"/>
          <w:numId w:val="27"/>
        </w:numPr>
        <w:spacing w:after="240"/>
        <w:ind w:left="2160"/>
        <w:rPr>
          <w:bCs w:val="0"/>
          <w:color w:val="000000"/>
          <w:szCs w:val="24"/>
        </w:rPr>
      </w:pPr>
      <w:r w:rsidRPr="00152741">
        <w:rPr>
          <w:bCs w:val="0"/>
          <w:szCs w:val="24"/>
        </w:rPr>
        <w:t>A list of California Tribes, Reservations, Rancherias, and/or American Indian communities the agency plans to serve.</w:t>
      </w:r>
    </w:p>
    <w:p w14:paraId="1A4E6E5C" w14:textId="77777777" w:rsidR="00E539FD" w:rsidRPr="00152741" w:rsidRDefault="00E539FD" w:rsidP="00962C66">
      <w:pPr>
        <w:numPr>
          <w:ilvl w:val="0"/>
          <w:numId w:val="27"/>
        </w:numPr>
        <w:spacing w:after="240"/>
        <w:ind w:left="2160"/>
        <w:rPr>
          <w:bCs w:val="0"/>
          <w:color w:val="000000"/>
          <w:szCs w:val="24"/>
        </w:rPr>
      </w:pPr>
      <w:r w:rsidRPr="00152741">
        <w:rPr>
          <w:bCs w:val="0"/>
          <w:szCs w:val="24"/>
        </w:rPr>
        <w:t>The number of students, grade levels, and academic need of the students the agency plans to serve.</w:t>
      </w:r>
    </w:p>
    <w:p w14:paraId="4DEC85EE" w14:textId="77777777" w:rsidR="00E539FD" w:rsidRPr="00152741" w:rsidRDefault="00E539FD" w:rsidP="00962C66">
      <w:pPr>
        <w:numPr>
          <w:ilvl w:val="0"/>
          <w:numId w:val="26"/>
        </w:numPr>
        <w:spacing w:after="240"/>
        <w:ind w:left="1440"/>
        <w:rPr>
          <w:bCs w:val="0"/>
          <w:color w:val="000000"/>
          <w:szCs w:val="24"/>
        </w:rPr>
      </w:pPr>
      <w:r w:rsidRPr="00152741">
        <w:rPr>
          <w:bCs w:val="0"/>
          <w:color w:val="000000"/>
          <w:szCs w:val="24"/>
        </w:rPr>
        <w:t>Agency’s history of service to the American Indian community including:</w:t>
      </w:r>
    </w:p>
    <w:p w14:paraId="05DAD262" w14:textId="77777777" w:rsidR="00E539FD" w:rsidRPr="00152741" w:rsidRDefault="00E539FD" w:rsidP="00962C66">
      <w:pPr>
        <w:numPr>
          <w:ilvl w:val="0"/>
          <w:numId w:val="28"/>
        </w:numPr>
        <w:spacing w:after="240"/>
        <w:ind w:left="2160"/>
        <w:rPr>
          <w:bCs w:val="0"/>
          <w:szCs w:val="24"/>
        </w:rPr>
      </w:pPr>
      <w:r w:rsidRPr="00152741">
        <w:rPr>
          <w:bCs w:val="0"/>
          <w:szCs w:val="24"/>
        </w:rPr>
        <w:t xml:space="preserve">A description of </w:t>
      </w:r>
      <w:r w:rsidRPr="00152741">
        <w:rPr>
          <w:bCs w:val="0"/>
          <w:color w:val="000000"/>
          <w:szCs w:val="24"/>
        </w:rPr>
        <w:t>the academic services the agency has provided to the target population in the past five years.</w:t>
      </w:r>
    </w:p>
    <w:p w14:paraId="36C5A1B0" w14:textId="77777777" w:rsidR="00E539FD" w:rsidRPr="00152741" w:rsidRDefault="00E539FD" w:rsidP="00962C66">
      <w:pPr>
        <w:numPr>
          <w:ilvl w:val="0"/>
          <w:numId w:val="28"/>
        </w:numPr>
        <w:spacing w:after="240"/>
        <w:ind w:left="2160"/>
        <w:rPr>
          <w:bCs w:val="0"/>
          <w:szCs w:val="24"/>
        </w:rPr>
      </w:pPr>
      <w:r w:rsidRPr="00152741">
        <w:rPr>
          <w:bCs w:val="0"/>
          <w:szCs w:val="24"/>
        </w:rPr>
        <w:t>An analysis of data collected by the agency to substantiate provision of successful services.</w:t>
      </w:r>
    </w:p>
    <w:p w14:paraId="56D8BD98" w14:textId="77777777" w:rsidR="00E539FD" w:rsidRPr="00152741" w:rsidRDefault="00E539FD" w:rsidP="00962C66">
      <w:pPr>
        <w:keepNext/>
        <w:numPr>
          <w:ilvl w:val="0"/>
          <w:numId w:val="26"/>
        </w:numPr>
        <w:spacing w:after="240"/>
        <w:ind w:left="1440"/>
        <w:rPr>
          <w:bCs w:val="0"/>
          <w:color w:val="000000"/>
          <w:szCs w:val="24"/>
        </w:rPr>
      </w:pPr>
      <w:r w:rsidRPr="00152741">
        <w:rPr>
          <w:bCs w:val="0"/>
          <w:color w:val="000000"/>
          <w:szCs w:val="24"/>
        </w:rPr>
        <w:t>Agency’s grant administration history and capacity, inclu</w:t>
      </w:r>
      <w:r w:rsidR="007F255B" w:rsidRPr="00152741">
        <w:rPr>
          <w:bCs w:val="0"/>
          <w:color w:val="000000"/>
          <w:szCs w:val="24"/>
        </w:rPr>
        <w:t>ding:</w:t>
      </w:r>
    </w:p>
    <w:p w14:paraId="53EE5632" w14:textId="77777777" w:rsidR="00E539FD" w:rsidRPr="00152741" w:rsidRDefault="00E539FD" w:rsidP="00962C66">
      <w:pPr>
        <w:numPr>
          <w:ilvl w:val="0"/>
          <w:numId w:val="28"/>
        </w:numPr>
        <w:spacing w:after="240"/>
        <w:ind w:left="2160"/>
        <w:rPr>
          <w:bCs w:val="0"/>
          <w:szCs w:val="24"/>
        </w:rPr>
      </w:pPr>
      <w:r w:rsidRPr="00152741">
        <w:rPr>
          <w:bCs w:val="0"/>
          <w:szCs w:val="24"/>
        </w:rPr>
        <w:t>The policies adopted to support the successful implementation of the proposed program.</w:t>
      </w:r>
    </w:p>
    <w:p w14:paraId="796D9E2B" w14:textId="77777777" w:rsidR="00E539FD" w:rsidRPr="00152741" w:rsidRDefault="00E539FD" w:rsidP="00962C66">
      <w:pPr>
        <w:numPr>
          <w:ilvl w:val="0"/>
          <w:numId w:val="28"/>
        </w:numPr>
        <w:spacing w:after="240"/>
        <w:ind w:left="2160"/>
        <w:rPr>
          <w:bCs w:val="0"/>
          <w:iCs/>
          <w:color w:val="000000"/>
          <w:szCs w:val="24"/>
        </w:rPr>
      </w:pPr>
      <w:r w:rsidRPr="00152741">
        <w:rPr>
          <w:bCs w:val="0"/>
          <w:szCs w:val="24"/>
        </w:rPr>
        <w:t>The plan to allocate staff, fiscal, and material resources to create a successful program.</w:t>
      </w:r>
    </w:p>
    <w:p w14:paraId="7D59C7EF" w14:textId="77777777" w:rsidR="00E539FD" w:rsidRPr="00152741" w:rsidRDefault="00E539FD" w:rsidP="00962C66">
      <w:pPr>
        <w:numPr>
          <w:ilvl w:val="0"/>
          <w:numId w:val="28"/>
        </w:numPr>
        <w:spacing w:after="240"/>
        <w:ind w:left="2160"/>
        <w:rPr>
          <w:bCs w:val="0"/>
          <w:iCs/>
          <w:color w:val="000000"/>
          <w:szCs w:val="24"/>
        </w:rPr>
      </w:pPr>
      <w:r w:rsidRPr="00152741">
        <w:rPr>
          <w:bCs w:val="0"/>
          <w:szCs w:val="24"/>
        </w:rPr>
        <w:t>The integration of existing resources and services.</w:t>
      </w:r>
    </w:p>
    <w:p w14:paraId="785826D0" w14:textId="77777777" w:rsidR="00E539FD" w:rsidRPr="00152741" w:rsidRDefault="00E539FD" w:rsidP="00962C66">
      <w:pPr>
        <w:numPr>
          <w:ilvl w:val="0"/>
          <w:numId w:val="28"/>
        </w:numPr>
        <w:tabs>
          <w:tab w:val="left" w:pos="1350"/>
        </w:tabs>
        <w:spacing w:after="240"/>
        <w:ind w:left="2160"/>
        <w:rPr>
          <w:bCs w:val="0"/>
          <w:color w:val="000000"/>
          <w:szCs w:val="24"/>
        </w:rPr>
      </w:pPr>
      <w:r w:rsidRPr="00152741">
        <w:rPr>
          <w:bCs w:val="0"/>
          <w:color w:val="000000"/>
          <w:szCs w:val="24"/>
        </w:rPr>
        <w:t>The agency’s ability to serve as the administering agency for the grant.</w:t>
      </w:r>
    </w:p>
    <w:p w14:paraId="68D5F7AA" w14:textId="77777777" w:rsidR="00E539FD" w:rsidRPr="00152741" w:rsidRDefault="00E539FD" w:rsidP="00962C66">
      <w:pPr>
        <w:numPr>
          <w:ilvl w:val="0"/>
          <w:numId w:val="28"/>
        </w:numPr>
        <w:tabs>
          <w:tab w:val="left" w:pos="1350"/>
        </w:tabs>
        <w:spacing w:after="240"/>
        <w:ind w:left="2160"/>
        <w:rPr>
          <w:bCs w:val="0"/>
          <w:color w:val="000000"/>
          <w:szCs w:val="24"/>
        </w:rPr>
      </w:pPr>
      <w:r w:rsidRPr="00152741">
        <w:rPr>
          <w:bCs w:val="0"/>
          <w:color w:val="000000"/>
          <w:szCs w:val="24"/>
        </w:rPr>
        <w:t>The agency’s ability to provide services in compliance with applicable state and federal laws and regulations.</w:t>
      </w:r>
    </w:p>
    <w:p w14:paraId="738B2991" w14:textId="77777777" w:rsidR="00E539FD" w:rsidRPr="00152741" w:rsidRDefault="00E539FD" w:rsidP="00962C66">
      <w:pPr>
        <w:numPr>
          <w:ilvl w:val="0"/>
          <w:numId w:val="28"/>
        </w:numPr>
        <w:tabs>
          <w:tab w:val="left" w:pos="1350"/>
        </w:tabs>
        <w:spacing w:after="240"/>
        <w:ind w:left="2160"/>
        <w:rPr>
          <w:bCs w:val="0"/>
          <w:color w:val="000000"/>
          <w:szCs w:val="24"/>
        </w:rPr>
      </w:pPr>
      <w:r w:rsidRPr="00152741">
        <w:rPr>
          <w:bCs w:val="0"/>
          <w:color w:val="000000"/>
          <w:szCs w:val="24"/>
        </w:rPr>
        <w:t>The agency’s possession of the necessary legal authority to initiate and negotiate servic</w:t>
      </w:r>
      <w:r w:rsidR="00003C47" w:rsidRPr="00152741">
        <w:rPr>
          <w:bCs w:val="0"/>
          <w:color w:val="000000"/>
          <w:szCs w:val="24"/>
        </w:rPr>
        <w:t>e agreements or other contracts</w:t>
      </w:r>
      <w:r w:rsidRPr="00152741">
        <w:rPr>
          <w:bCs w:val="0"/>
          <w:color w:val="000000"/>
          <w:szCs w:val="24"/>
        </w:rPr>
        <w:t>.</w:t>
      </w:r>
    </w:p>
    <w:p w14:paraId="3CC6A6B2" w14:textId="77777777" w:rsidR="00E539FD" w:rsidRPr="00152741" w:rsidRDefault="00E539FD" w:rsidP="00962C66">
      <w:pPr>
        <w:numPr>
          <w:ilvl w:val="0"/>
          <w:numId w:val="28"/>
        </w:numPr>
        <w:tabs>
          <w:tab w:val="left" w:pos="1350"/>
        </w:tabs>
        <w:spacing w:after="480"/>
        <w:ind w:left="2160"/>
        <w:rPr>
          <w:bCs w:val="0"/>
          <w:color w:val="000000"/>
          <w:szCs w:val="24"/>
        </w:rPr>
      </w:pPr>
      <w:r w:rsidRPr="00152741">
        <w:rPr>
          <w:bCs w:val="0"/>
          <w:color w:val="000000"/>
          <w:szCs w:val="24"/>
        </w:rPr>
        <w:t>The agency’s ability to employ the appropriate staff to carry out all the central services and administrative functions.</w:t>
      </w:r>
    </w:p>
    <w:p w14:paraId="2BF5E0CB" w14:textId="77777777" w:rsidR="00E539FD" w:rsidRPr="00152741" w:rsidRDefault="00E539FD" w:rsidP="00962C66">
      <w:pPr>
        <w:pStyle w:val="Heading3"/>
        <w:numPr>
          <w:ilvl w:val="0"/>
          <w:numId w:val="25"/>
        </w:numPr>
        <w:tabs>
          <w:tab w:val="clear" w:pos="960"/>
          <w:tab w:val="clear" w:pos="1440"/>
          <w:tab w:val="clear" w:pos="1800"/>
          <w:tab w:val="clear" w:pos="2160"/>
        </w:tabs>
        <w:spacing w:after="240"/>
      </w:pPr>
      <w:bookmarkStart w:id="44" w:name="_Toc164262857"/>
      <w:r w:rsidRPr="00152741">
        <w:t>Comprehensive Needs Assessment</w:t>
      </w:r>
      <w:bookmarkEnd w:id="44"/>
    </w:p>
    <w:p w14:paraId="12BD9554" w14:textId="77777777" w:rsidR="00E539FD" w:rsidRPr="00152741" w:rsidRDefault="00E539FD" w:rsidP="007F255B">
      <w:pPr>
        <w:keepNext/>
        <w:keepLines/>
        <w:spacing w:after="240"/>
        <w:ind w:left="720"/>
        <w:rPr>
          <w:bCs w:val="0"/>
          <w:color w:val="000000"/>
          <w:szCs w:val="24"/>
        </w:rPr>
      </w:pPr>
      <w:r w:rsidRPr="00152741">
        <w:t xml:space="preserve">The Comprehensive Needs Assessment </w:t>
      </w:r>
      <w:r w:rsidRPr="00152741">
        <w:rPr>
          <w:bCs w:val="0"/>
          <w:color w:val="000000"/>
          <w:szCs w:val="24"/>
        </w:rPr>
        <w:t xml:space="preserve">will establish the needs of the community. A variety of sources shall be used to complete the Comprehensive Needs Assessment, </w:t>
      </w:r>
      <w:r w:rsidRPr="00152741">
        <w:rPr>
          <w:bCs w:val="0"/>
          <w:szCs w:val="24"/>
        </w:rPr>
        <w:t>which must include the following:</w:t>
      </w:r>
    </w:p>
    <w:p w14:paraId="0E16793B" w14:textId="77777777" w:rsidR="00E539FD" w:rsidRPr="00152741" w:rsidRDefault="00E539FD" w:rsidP="00962C66">
      <w:pPr>
        <w:widowControl w:val="0"/>
        <w:numPr>
          <w:ilvl w:val="0"/>
          <w:numId w:val="29"/>
        </w:numPr>
        <w:spacing w:after="240"/>
        <w:ind w:left="1440"/>
        <w:rPr>
          <w:bCs w:val="0"/>
          <w:color w:val="000000"/>
          <w:szCs w:val="24"/>
        </w:rPr>
      </w:pPr>
      <w:r w:rsidRPr="00152741">
        <w:rPr>
          <w:bCs w:val="0"/>
          <w:szCs w:val="24"/>
        </w:rPr>
        <w:t>The proposed service population including:</w:t>
      </w:r>
    </w:p>
    <w:p w14:paraId="0F358B60" w14:textId="77777777" w:rsidR="00E539FD" w:rsidRPr="00152741" w:rsidRDefault="00E539FD" w:rsidP="00962C66">
      <w:pPr>
        <w:widowControl w:val="0"/>
        <w:numPr>
          <w:ilvl w:val="1"/>
          <w:numId w:val="29"/>
        </w:numPr>
        <w:ind w:left="2160"/>
        <w:rPr>
          <w:bCs w:val="0"/>
          <w:color w:val="000000"/>
          <w:szCs w:val="24"/>
        </w:rPr>
      </w:pPr>
      <w:r w:rsidRPr="00152741">
        <w:rPr>
          <w:bCs w:val="0"/>
          <w:szCs w:val="24"/>
        </w:rPr>
        <w:lastRenderedPageBreak/>
        <w:t>Tribe (if applicable)</w:t>
      </w:r>
    </w:p>
    <w:p w14:paraId="1430AB88" w14:textId="77777777" w:rsidR="00E539FD" w:rsidRPr="00152741" w:rsidRDefault="00E539FD" w:rsidP="00962C66">
      <w:pPr>
        <w:widowControl w:val="0"/>
        <w:numPr>
          <w:ilvl w:val="0"/>
          <w:numId w:val="31"/>
        </w:numPr>
        <w:ind w:left="2160"/>
        <w:rPr>
          <w:bCs w:val="0"/>
          <w:color w:val="000000"/>
          <w:szCs w:val="24"/>
        </w:rPr>
      </w:pPr>
      <w:r w:rsidRPr="00152741">
        <w:rPr>
          <w:bCs w:val="0"/>
          <w:szCs w:val="24"/>
        </w:rPr>
        <w:t>School</w:t>
      </w:r>
    </w:p>
    <w:p w14:paraId="2A314917" w14:textId="77777777" w:rsidR="00E539FD" w:rsidRPr="00152741" w:rsidRDefault="007F255B" w:rsidP="00962C66">
      <w:pPr>
        <w:numPr>
          <w:ilvl w:val="0"/>
          <w:numId w:val="31"/>
        </w:numPr>
        <w:spacing w:after="240"/>
        <w:ind w:left="2160"/>
        <w:rPr>
          <w:bCs w:val="0"/>
          <w:color w:val="000000"/>
          <w:szCs w:val="24"/>
        </w:rPr>
      </w:pPr>
      <w:r w:rsidRPr="00152741">
        <w:rPr>
          <w:bCs w:val="0"/>
          <w:szCs w:val="24"/>
        </w:rPr>
        <w:t>Native Community</w:t>
      </w:r>
    </w:p>
    <w:p w14:paraId="3FCDB22D" w14:textId="77777777" w:rsidR="00E539FD" w:rsidRPr="00152741" w:rsidRDefault="00E539FD" w:rsidP="00962C66">
      <w:pPr>
        <w:pStyle w:val="ListParagraph"/>
        <w:numPr>
          <w:ilvl w:val="0"/>
          <w:numId w:val="29"/>
        </w:numPr>
        <w:spacing w:after="240"/>
        <w:ind w:left="1440"/>
        <w:rPr>
          <w:bCs w:val="0"/>
          <w:color w:val="000000"/>
          <w:szCs w:val="24"/>
        </w:rPr>
      </w:pPr>
      <w:r w:rsidRPr="00152741">
        <w:rPr>
          <w:bCs w:val="0"/>
          <w:szCs w:val="24"/>
        </w:rPr>
        <w:t>The concerns identified by community members, school staff, and students from information gathered by surveys, focus groups, and group meetings.</w:t>
      </w:r>
    </w:p>
    <w:p w14:paraId="51393260" w14:textId="77777777" w:rsidR="00E539FD" w:rsidRPr="00152741" w:rsidRDefault="00E539FD" w:rsidP="00962C66">
      <w:pPr>
        <w:numPr>
          <w:ilvl w:val="0"/>
          <w:numId w:val="29"/>
        </w:numPr>
        <w:spacing w:after="240"/>
        <w:ind w:left="1440"/>
        <w:rPr>
          <w:bCs w:val="0"/>
          <w:szCs w:val="24"/>
        </w:rPr>
      </w:pPr>
      <w:r w:rsidRPr="00152741">
        <w:rPr>
          <w:bCs w:val="0"/>
          <w:szCs w:val="24"/>
        </w:rPr>
        <w:t>A complete description of the proposed service area, including the identification of existing academic service</w:t>
      </w:r>
      <w:r w:rsidR="00B77BAA" w:rsidRPr="00152741">
        <w:rPr>
          <w:bCs w:val="0"/>
          <w:szCs w:val="24"/>
        </w:rPr>
        <w:t>s and academic service deficits using the Califor</w:t>
      </w:r>
      <w:r w:rsidR="00243A06" w:rsidRPr="00152741">
        <w:rPr>
          <w:bCs w:val="0"/>
          <w:szCs w:val="24"/>
        </w:rPr>
        <w:t>nia School Dashboard</w:t>
      </w:r>
      <w:r w:rsidR="00B77BAA" w:rsidRPr="00152741">
        <w:rPr>
          <w:bCs w:val="0"/>
          <w:szCs w:val="24"/>
        </w:rPr>
        <w:t>.</w:t>
      </w:r>
    </w:p>
    <w:p w14:paraId="1A4E7866" w14:textId="77777777" w:rsidR="00E539FD" w:rsidRPr="00152741" w:rsidRDefault="00E539FD" w:rsidP="00962C66">
      <w:pPr>
        <w:widowControl w:val="0"/>
        <w:numPr>
          <w:ilvl w:val="0"/>
          <w:numId w:val="29"/>
        </w:numPr>
        <w:tabs>
          <w:tab w:val="num" w:pos="1440"/>
        </w:tabs>
        <w:spacing w:after="240"/>
        <w:ind w:left="1440"/>
        <w:rPr>
          <w:bCs w:val="0"/>
          <w:color w:val="000000"/>
          <w:szCs w:val="24"/>
        </w:rPr>
      </w:pPr>
      <w:r w:rsidRPr="00152741">
        <w:rPr>
          <w:bCs w:val="0"/>
          <w:szCs w:val="24"/>
        </w:rPr>
        <w:t>The narrative lists the proposed site(s) to be served, including:</w:t>
      </w:r>
    </w:p>
    <w:p w14:paraId="4F6DADA1" w14:textId="77777777" w:rsidR="00E539FD" w:rsidRPr="00152741" w:rsidRDefault="00E539FD" w:rsidP="00962C66">
      <w:pPr>
        <w:widowControl w:val="0"/>
        <w:numPr>
          <w:ilvl w:val="0"/>
          <w:numId w:val="30"/>
        </w:numPr>
        <w:spacing w:after="240"/>
        <w:ind w:left="2160"/>
        <w:rPr>
          <w:bCs w:val="0"/>
          <w:color w:val="000000"/>
          <w:szCs w:val="24"/>
        </w:rPr>
      </w:pPr>
      <w:r w:rsidRPr="00152741">
        <w:rPr>
          <w:bCs w:val="0"/>
          <w:szCs w:val="24"/>
        </w:rPr>
        <w:t>Description of the site where the proposed services will take place. If the site is a school site, a Memorandum of Understanding (MOU) or Service Agreement is required.</w:t>
      </w:r>
    </w:p>
    <w:p w14:paraId="3DAAEBC1" w14:textId="77777777" w:rsidR="00E539FD" w:rsidRPr="00152741" w:rsidRDefault="00E539FD" w:rsidP="00962C66">
      <w:pPr>
        <w:widowControl w:val="0"/>
        <w:numPr>
          <w:ilvl w:val="0"/>
          <w:numId w:val="30"/>
        </w:numPr>
        <w:spacing w:after="240"/>
        <w:ind w:left="2160"/>
        <w:rPr>
          <w:bCs w:val="0"/>
          <w:color w:val="000000"/>
          <w:szCs w:val="24"/>
        </w:rPr>
      </w:pPr>
      <w:r w:rsidRPr="00152741">
        <w:rPr>
          <w:bCs w:val="0"/>
          <w:szCs w:val="24"/>
        </w:rPr>
        <w:t>Number of American Indian students enrolled at each participating school site and the students’ grade levels.</w:t>
      </w:r>
    </w:p>
    <w:p w14:paraId="61232507" w14:textId="77777777" w:rsidR="00E539FD" w:rsidRPr="00152741" w:rsidRDefault="00E539FD" w:rsidP="00962C66">
      <w:pPr>
        <w:widowControl w:val="0"/>
        <w:numPr>
          <w:ilvl w:val="0"/>
          <w:numId w:val="30"/>
        </w:numPr>
        <w:spacing w:after="240"/>
        <w:ind w:left="2160"/>
        <w:rPr>
          <w:bCs w:val="0"/>
          <w:color w:val="000000"/>
          <w:szCs w:val="24"/>
        </w:rPr>
      </w:pPr>
      <w:r w:rsidRPr="00152741">
        <w:rPr>
          <w:bCs w:val="0"/>
          <w:szCs w:val="24"/>
        </w:rPr>
        <w:t xml:space="preserve">Number of American Indian </w:t>
      </w:r>
      <w:r w:rsidR="007F255B" w:rsidRPr="00152741">
        <w:rPr>
          <w:bCs w:val="0"/>
          <w:szCs w:val="24"/>
        </w:rPr>
        <w:t>students to be directly served.</w:t>
      </w:r>
    </w:p>
    <w:p w14:paraId="1C505630" w14:textId="77777777" w:rsidR="00E539FD" w:rsidRPr="00152741" w:rsidRDefault="00E539FD" w:rsidP="00962C66">
      <w:pPr>
        <w:widowControl w:val="0"/>
        <w:numPr>
          <w:ilvl w:val="0"/>
          <w:numId w:val="30"/>
        </w:numPr>
        <w:spacing w:after="240"/>
        <w:ind w:left="2160"/>
        <w:rPr>
          <w:bCs w:val="0"/>
          <w:color w:val="000000"/>
          <w:szCs w:val="24"/>
        </w:rPr>
      </w:pPr>
      <w:r w:rsidRPr="00152741">
        <w:rPr>
          <w:bCs w:val="0"/>
          <w:szCs w:val="24"/>
        </w:rPr>
        <w:t xml:space="preserve">Academic needs of the American Indian students who will be served, as measured by the </w:t>
      </w:r>
      <w:r w:rsidR="00B77BAA" w:rsidRPr="00152741">
        <w:rPr>
          <w:bCs w:val="0"/>
          <w:szCs w:val="24"/>
        </w:rPr>
        <w:t>California School Dashboard</w:t>
      </w:r>
      <w:r w:rsidRPr="00152741">
        <w:rPr>
          <w:bCs w:val="0"/>
          <w:szCs w:val="24"/>
        </w:rPr>
        <w:t>.</w:t>
      </w:r>
    </w:p>
    <w:p w14:paraId="51071E58" w14:textId="77777777" w:rsidR="00E539FD" w:rsidRPr="00152741" w:rsidRDefault="00E539FD" w:rsidP="00962C66">
      <w:pPr>
        <w:widowControl w:val="0"/>
        <w:numPr>
          <w:ilvl w:val="0"/>
          <w:numId w:val="30"/>
        </w:numPr>
        <w:spacing w:after="240"/>
        <w:ind w:left="2160"/>
        <w:rPr>
          <w:bCs w:val="0"/>
          <w:color w:val="000000"/>
          <w:szCs w:val="24"/>
        </w:rPr>
      </w:pPr>
      <w:r w:rsidRPr="00152741">
        <w:rPr>
          <w:bCs w:val="0"/>
          <w:szCs w:val="24"/>
        </w:rPr>
        <w:t>Comparison of the academic needs of the American Indian students to the academic needs of the other students.</w:t>
      </w:r>
    </w:p>
    <w:p w14:paraId="414080B5" w14:textId="77777777" w:rsidR="006F0760" w:rsidRPr="006F0760" w:rsidRDefault="00E539FD" w:rsidP="00962C66">
      <w:pPr>
        <w:widowControl w:val="0"/>
        <w:numPr>
          <w:ilvl w:val="0"/>
          <w:numId w:val="29"/>
        </w:numPr>
        <w:spacing w:after="480"/>
        <w:ind w:left="1440"/>
        <w:rPr>
          <w:bCs w:val="0"/>
          <w:color w:val="000000"/>
          <w:szCs w:val="24"/>
        </w:rPr>
      </w:pPr>
      <w:r w:rsidRPr="006F0760">
        <w:rPr>
          <w:bCs w:val="0"/>
          <w:szCs w:val="24"/>
        </w:rPr>
        <w:t xml:space="preserve">The Free and </w:t>
      </w:r>
      <w:r w:rsidR="000C7A88" w:rsidRPr="006F0760">
        <w:rPr>
          <w:bCs w:val="0"/>
          <w:szCs w:val="24"/>
        </w:rPr>
        <w:t>Reduced-Price Meals</w:t>
      </w:r>
      <w:r w:rsidRPr="006F0760">
        <w:rPr>
          <w:bCs w:val="0"/>
          <w:szCs w:val="24"/>
        </w:rPr>
        <w:t xml:space="preserve"> count.</w:t>
      </w:r>
    </w:p>
    <w:p w14:paraId="11047D46" w14:textId="74E6470C" w:rsidR="00E539FD" w:rsidRPr="006F0760" w:rsidRDefault="00E539FD" w:rsidP="00962C66">
      <w:pPr>
        <w:widowControl w:val="0"/>
        <w:numPr>
          <w:ilvl w:val="0"/>
          <w:numId w:val="29"/>
        </w:numPr>
        <w:spacing w:after="480"/>
        <w:ind w:left="1440"/>
        <w:rPr>
          <w:bCs w:val="0"/>
          <w:color w:val="000000"/>
          <w:szCs w:val="24"/>
        </w:rPr>
      </w:pPr>
      <w:r w:rsidRPr="006F0760">
        <w:rPr>
          <w:bCs w:val="0"/>
          <w:color w:val="000000"/>
          <w:szCs w:val="24"/>
        </w:rPr>
        <w:t xml:space="preserve">A demographic profile, which must include </w:t>
      </w:r>
      <w:r w:rsidRPr="006F0760">
        <w:rPr>
          <w:bCs w:val="0"/>
          <w:szCs w:val="24"/>
        </w:rPr>
        <w:t>the American Indian population in the proposed service area and a description of the local economic base.</w:t>
      </w:r>
    </w:p>
    <w:p w14:paraId="74469DCD" w14:textId="77777777" w:rsidR="0023583B" w:rsidRPr="00152741" w:rsidRDefault="0023583B" w:rsidP="00962C66">
      <w:pPr>
        <w:pStyle w:val="Heading3"/>
        <w:numPr>
          <w:ilvl w:val="0"/>
          <w:numId w:val="25"/>
        </w:numPr>
        <w:tabs>
          <w:tab w:val="clear" w:pos="960"/>
          <w:tab w:val="clear" w:pos="1440"/>
          <w:tab w:val="clear" w:pos="1800"/>
          <w:tab w:val="clear" w:pos="2160"/>
        </w:tabs>
        <w:spacing w:after="240"/>
      </w:pPr>
      <w:bookmarkStart w:id="45" w:name="_Toc164262858"/>
      <w:r w:rsidRPr="00152741">
        <w:t>Comprehensive Plan</w:t>
      </w:r>
      <w:bookmarkEnd w:id="45"/>
    </w:p>
    <w:p w14:paraId="5420A43A" w14:textId="77777777" w:rsidR="0023583B" w:rsidRPr="00152741" w:rsidRDefault="0023583B" w:rsidP="007F255B">
      <w:pPr>
        <w:spacing w:after="240"/>
        <w:ind w:left="720"/>
      </w:pPr>
      <w:r w:rsidRPr="00152741">
        <w:t>The Comprehensive Plan will outline the agency’s plan to meet the needs identified in the Comprehensive Needs Assessment. The Comprehensive Plan must include the following:</w:t>
      </w:r>
    </w:p>
    <w:p w14:paraId="03492E80" w14:textId="77777777" w:rsidR="0023583B" w:rsidRPr="00152741" w:rsidRDefault="0023583B" w:rsidP="00962C66">
      <w:pPr>
        <w:numPr>
          <w:ilvl w:val="0"/>
          <w:numId w:val="32"/>
        </w:numPr>
        <w:spacing w:after="240"/>
      </w:pPr>
      <w:r w:rsidRPr="00152741">
        <w:t xml:space="preserve">For many students, participation in the AIEC Program is voluntary. This makes it important to establish a program to which students will be attracted and in which they want to continue participating. Describe how the proposed AIEC Program will meet the needs identified in the </w:t>
      </w:r>
      <w:r w:rsidR="00B92109" w:rsidRPr="00152741">
        <w:t xml:space="preserve">Comprehensive </w:t>
      </w:r>
      <w:r w:rsidRPr="00152741">
        <w:t xml:space="preserve">Needs Assessment </w:t>
      </w:r>
      <w:r w:rsidR="00172010" w:rsidRPr="00152741">
        <w:t xml:space="preserve">strategies that promote and ensure </w:t>
      </w:r>
      <w:r w:rsidR="00172010" w:rsidRPr="00152741">
        <w:lastRenderedPageBreak/>
        <w:t>consistent attendance</w:t>
      </w:r>
      <w:r w:rsidR="00B77BAA" w:rsidRPr="00152741">
        <w:t>. Describe past attendance rates for the AIEC Program.</w:t>
      </w:r>
    </w:p>
    <w:p w14:paraId="2989876B" w14:textId="53255877" w:rsidR="0023583B" w:rsidRPr="00152741" w:rsidRDefault="0023583B" w:rsidP="00962C66">
      <w:pPr>
        <w:numPr>
          <w:ilvl w:val="0"/>
          <w:numId w:val="32"/>
        </w:numPr>
        <w:spacing w:after="240"/>
      </w:pPr>
      <w:r w:rsidRPr="00152741">
        <w:t xml:space="preserve">Describe how the AIEC Program design is based on individual students’ academic needs. </w:t>
      </w:r>
      <w:r w:rsidR="000C7A88" w:rsidRPr="00152741">
        <w:t>Including</w:t>
      </w:r>
      <w:r w:rsidRPr="00152741">
        <w:t xml:space="preserve"> how these student ac</w:t>
      </w:r>
      <w:r w:rsidR="00211B67" w:rsidRPr="00152741">
        <w:t xml:space="preserve">ademic needs have been assessed, and any </w:t>
      </w:r>
      <w:r w:rsidR="00B77BAA" w:rsidRPr="00152741">
        <w:t xml:space="preserve">discussion </w:t>
      </w:r>
      <w:r w:rsidR="00211B67" w:rsidRPr="00152741">
        <w:t xml:space="preserve">that has taken place regarding </w:t>
      </w:r>
      <w:r w:rsidR="00B77BAA" w:rsidRPr="00152741">
        <w:t>the California School Dashboard results.</w:t>
      </w:r>
      <w:r w:rsidRPr="00152741">
        <w:t xml:space="preserve"> Describe how the AIEC </w:t>
      </w:r>
      <w:r w:rsidR="00DC5077" w:rsidRPr="00152741">
        <w:t>Program relationship with the identified student’s</w:t>
      </w:r>
      <w:r w:rsidRPr="00152741">
        <w:t xml:space="preserve"> teachers has influenced the AIEC Program design.</w:t>
      </w:r>
    </w:p>
    <w:p w14:paraId="1C1CE014" w14:textId="77777777" w:rsidR="0023583B" w:rsidRPr="00152741" w:rsidRDefault="0023583B" w:rsidP="00962C66">
      <w:pPr>
        <w:numPr>
          <w:ilvl w:val="0"/>
          <w:numId w:val="32"/>
        </w:numPr>
        <w:spacing w:after="240"/>
      </w:pPr>
      <w:r w:rsidRPr="00152741">
        <w:t>Measurable outcome objectives designed to mee</w:t>
      </w:r>
      <w:r w:rsidR="00DC5077" w:rsidRPr="00152741">
        <w:t>t identified needs of the identified</w:t>
      </w:r>
      <w:r w:rsidRPr="00152741">
        <w:t xml:space="preserve"> students by service category as listed in </w:t>
      </w:r>
      <w:r w:rsidRPr="00152741">
        <w:rPr>
          <w:i/>
        </w:rPr>
        <w:t>EC</w:t>
      </w:r>
      <w:r w:rsidRPr="00152741">
        <w:t xml:space="preserve"> Section 33381.</w:t>
      </w:r>
    </w:p>
    <w:p w14:paraId="1ACD1F55" w14:textId="77777777" w:rsidR="0023583B" w:rsidRPr="00152741" w:rsidRDefault="0023583B" w:rsidP="00962C66">
      <w:pPr>
        <w:numPr>
          <w:ilvl w:val="0"/>
          <w:numId w:val="32"/>
        </w:numPr>
        <w:spacing w:after="240"/>
      </w:pPr>
      <w:r w:rsidRPr="00152741">
        <w:t>After researching successful program models, describe how the AIEC will incorporate these models into the proposed program (cite sources used).</w:t>
      </w:r>
    </w:p>
    <w:p w14:paraId="4A37BEF8" w14:textId="77777777" w:rsidR="0023583B" w:rsidRPr="00152741" w:rsidRDefault="0023583B" w:rsidP="00962C66">
      <w:pPr>
        <w:numPr>
          <w:ilvl w:val="0"/>
          <w:numId w:val="32"/>
        </w:numPr>
        <w:spacing w:after="240"/>
      </w:pPr>
      <w:r w:rsidRPr="00152741">
        <w:t>A list of planned activities to meet these objectives, using the Proj</w:t>
      </w:r>
      <w:r w:rsidR="00DE19FE" w:rsidRPr="00152741">
        <w:t>ect Activities Table (Attachment</w:t>
      </w:r>
      <w:r w:rsidR="00B77BAA" w:rsidRPr="00152741">
        <w:t xml:space="preserve"> 6</w:t>
      </w:r>
      <w:r w:rsidRPr="00152741">
        <w:t>), which includes:</w:t>
      </w:r>
    </w:p>
    <w:p w14:paraId="57A607AF" w14:textId="77777777" w:rsidR="0023583B" w:rsidRPr="00152741" w:rsidRDefault="0023583B" w:rsidP="00962C66">
      <w:pPr>
        <w:numPr>
          <w:ilvl w:val="0"/>
          <w:numId w:val="33"/>
        </w:numPr>
        <w:spacing w:after="240"/>
      </w:pPr>
      <w:r w:rsidRPr="00152741">
        <w:t>Description of activity</w:t>
      </w:r>
    </w:p>
    <w:p w14:paraId="1781AB61" w14:textId="77777777" w:rsidR="0023583B" w:rsidRPr="00152741" w:rsidRDefault="0023583B" w:rsidP="00962C66">
      <w:pPr>
        <w:numPr>
          <w:ilvl w:val="0"/>
          <w:numId w:val="33"/>
        </w:numPr>
        <w:spacing w:after="240"/>
      </w:pPr>
      <w:r w:rsidRPr="00152741">
        <w:t>Total number of American Indian students served</w:t>
      </w:r>
    </w:p>
    <w:p w14:paraId="649863CE" w14:textId="77777777" w:rsidR="0023583B" w:rsidRPr="00152741" w:rsidRDefault="0023583B" w:rsidP="00962C66">
      <w:pPr>
        <w:numPr>
          <w:ilvl w:val="0"/>
          <w:numId w:val="33"/>
        </w:numPr>
        <w:spacing w:after="240"/>
      </w:pPr>
      <w:r w:rsidRPr="00152741">
        <w:t>Total number of others served</w:t>
      </w:r>
    </w:p>
    <w:p w14:paraId="4539BF2F" w14:textId="77777777" w:rsidR="0023583B" w:rsidRPr="00152741" w:rsidRDefault="0023583B" w:rsidP="00962C66">
      <w:pPr>
        <w:numPr>
          <w:ilvl w:val="0"/>
          <w:numId w:val="33"/>
        </w:numPr>
        <w:spacing w:after="240"/>
      </w:pPr>
      <w:r w:rsidRPr="00152741">
        <w:t>Number of American Indian students in each activity session</w:t>
      </w:r>
    </w:p>
    <w:p w14:paraId="536856C0" w14:textId="77777777" w:rsidR="0023583B" w:rsidRPr="00152741" w:rsidRDefault="0023583B" w:rsidP="00962C66">
      <w:pPr>
        <w:numPr>
          <w:ilvl w:val="0"/>
          <w:numId w:val="33"/>
        </w:numPr>
        <w:spacing w:after="240"/>
      </w:pPr>
      <w:r w:rsidRPr="00152741">
        <w:t>Number of others in each activity session</w:t>
      </w:r>
    </w:p>
    <w:p w14:paraId="64D4D412" w14:textId="77777777" w:rsidR="0023583B" w:rsidRPr="00152741" w:rsidRDefault="0023583B" w:rsidP="00962C66">
      <w:pPr>
        <w:numPr>
          <w:ilvl w:val="0"/>
          <w:numId w:val="33"/>
        </w:numPr>
        <w:spacing w:after="240"/>
      </w:pPr>
      <w:r w:rsidRPr="00152741">
        <w:t>Number of hours per session</w:t>
      </w:r>
    </w:p>
    <w:p w14:paraId="53D8ABF3" w14:textId="77777777" w:rsidR="0023583B" w:rsidRPr="00152741" w:rsidRDefault="0023583B" w:rsidP="00962C66">
      <w:pPr>
        <w:numPr>
          <w:ilvl w:val="0"/>
          <w:numId w:val="33"/>
        </w:numPr>
        <w:spacing w:after="240"/>
      </w:pPr>
      <w:r w:rsidRPr="00152741">
        <w:t>Number of scheduled sessions</w:t>
      </w:r>
    </w:p>
    <w:p w14:paraId="3A497B52" w14:textId="77777777" w:rsidR="0023583B" w:rsidRPr="00152741" w:rsidRDefault="0023583B" w:rsidP="00962C66">
      <w:pPr>
        <w:numPr>
          <w:ilvl w:val="0"/>
          <w:numId w:val="33"/>
        </w:numPr>
        <w:spacing w:after="240"/>
      </w:pPr>
      <w:r w:rsidRPr="00152741">
        <w:t>Implementation timeline, including specific start and end dates of the proposed activities</w:t>
      </w:r>
    </w:p>
    <w:p w14:paraId="300CBDCD" w14:textId="0411DF61" w:rsidR="0023583B" w:rsidRPr="00152741" w:rsidRDefault="0023583B" w:rsidP="00962C66">
      <w:pPr>
        <w:numPr>
          <w:ilvl w:val="0"/>
          <w:numId w:val="32"/>
        </w:numPr>
        <w:spacing w:after="240"/>
      </w:pPr>
      <w:r w:rsidRPr="00152741">
        <w:t xml:space="preserve">A description of how such activities </w:t>
      </w:r>
      <w:r w:rsidR="000C7A88" w:rsidRPr="00152741">
        <w:t>is</w:t>
      </w:r>
      <w:r w:rsidRPr="00152741">
        <w:t xml:space="preserve"> expected to improve student academic achievement as well as overall student success.</w:t>
      </w:r>
    </w:p>
    <w:p w14:paraId="73DA201C" w14:textId="7E8F0B66" w:rsidR="0023583B" w:rsidRPr="00152741" w:rsidRDefault="0023583B" w:rsidP="00962C66">
      <w:pPr>
        <w:numPr>
          <w:ilvl w:val="0"/>
          <w:numId w:val="32"/>
        </w:numPr>
        <w:spacing w:after="240"/>
      </w:pPr>
      <w:r w:rsidRPr="00152741">
        <w:t xml:space="preserve">Description of the </w:t>
      </w:r>
      <w:r w:rsidR="0064651B" w:rsidRPr="00152741">
        <w:t>way</w:t>
      </w:r>
      <w:r w:rsidRPr="00152741">
        <w:t xml:space="preserve"> culturally responsive methodologies will be incorporated into program services in order to ensure that an optimal educational program for American Indian students is supported and maintained.</w:t>
      </w:r>
    </w:p>
    <w:p w14:paraId="120ECCAF" w14:textId="77777777" w:rsidR="0023583B" w:rsidRPr="00152741" w:rsidRDefault="0023583B" w:rsidP="00962C66">
      <w:pPr>
        <w:numPr>
          <w:ilvl w:val="0"/>
          <w:numId w:val="32"/>
        </w:numPr>
        <w:spacing w:after="240"/>
      </w:pPr>
      <w:r w:rsidRPr="00152741">
        <w:t>Documentation of and/or plans for continuing, coordinating, and collaborating with local school districts, local tribes, and other community organizations to provide successful services to participants.</w:t>
      </w:r>
    </w:p>
    <w:p w14:paraId="5CCF0873" w14:textId="77777777" w:rsidR="0023583B" w:rsidRPr="00152741" w:rsidRDefault="0023583B" w:rsidP="00962C66">
      <w:pPr>
        <w:numPr>
          <w:ilvl w:val="0"/>
          <w:numId w:val="34"/>
        </w:numPr>
        <w:spacing w:after="240"/>
      </w:pPr>
      <w:r w:rsidRPr="00152741">
        <w:lastRenderedPageBreak/>
        <w:t>An MOU is suggested as documentation if the AIEC has a relationship with another organization in which there is an exchange of funds or services. The MOU defines the relationship and responsibilities of the AIEC and the partnering organization. Attach a copy of each MOU to the application. Among the scenarios that benefit from the use of an MOU are:</w:t>
      </w:r>
    </w:p>
    <w:p w14:paraId="0D840A6F" w14:textId="77777777" w:rsidR="0023583B" w:rsidRPr="00152741" w:rsidRDefault="0023583B" w:rsidP="00962C66">
      <w:pPr>
        <w:numPr>
          <w:ilvl w:val="0"/>
          <w:numId w:val="36"/>
        </w:numPr>
        <w:spacing w:after="240"/>
        <w:ind w:left="2880"/>
      </w:pPr>
      <w:r w:rsidRPr="00152741">
        <w:t>The AIEC</w:t>
      </w:r>
      <w:r w:rsidR="00DC5077" w:rsidRPr="00152741">
        <w:t xml:space="preserve"> Program</w:t>
      </w:r>
      <w:r w:rsidRPr="00152741">
        <w:t xml:space="preserve"> is contributing in-kind resources, such as a site, or staff resources.</w:t>
      </w:r>
    </w:p>
    <w:p w14:paraId="1D90F1F5" w14:textId="77777777" w:rsidR="0023583B" w:rsidRPr="00152741" w:rsidRDefault="0023583B" w:rsidP="00962C66">
      <w:pPr>
        <w:numPr>
          <w:ilvl w:val="0"/>
          <w:numId w:val="36"/>
        </w:numPr>
        <w:spacing w:after="240"/>
        <w:ind w:left="2880"/>
      </w:pPr>
      <w:r w:rsidRPr="00152741">
        <w:t>An organization is contributing in-kind resources, such as a site, or staff resources.</w:t>
      </w:r>
    </w:p>
    <w:p w14:paraId="5C9F0F3B" w14:textId="77777777" w:rsidR="0023583B" w:rsidRPr="00152741" w:rsidRDefault="0023583B" w:rsidP="00962C66">
      <w:pPr>
        <w:numPr>
          <w:ilvl w:val="0"/>
          <w:numId w:val="34"/>
        </w:numPr>
        <w:spacing w:after="240"/>
      </w:pPr>
      <w:r w:rsidRPr="00152741">
        <w:t>The MOUs are not needed when there is a subcontract or consultant agreement that defines the relationship between the two organizations.</w:t>
      </w:r>
    </w:p>
    <w:p w14:paraId="5D18325C" w14:textId="77777777" w:rsidR="0023583B" w:rsidRPr="00152741" w:rsidRDefault="0023583B" w:rsidP="00962C66">
      <w:pPr>
        <w:numPr>
          <w:ilvl w:val="0"/>
          <w:numId w:val="34"/>
        </w:numPr>
        <w:spacing w:after="240"/>
      </w:pPr>
      <w:r w:rsidRPr="00152741">
        <w:t>A letter of support, as documentation, is a letter of endorsement or commitment to the project from partners, parents, collaborating teachers or administrators, community partners, and so forth. This kind of documentation serves to show support only.</w:t>
      </w:r>
    </w:p>
    <w:p w14:paraId="0450CACB" w14:textId="77777777" w:rsidR="0023583B" w:rsidRPr="00152741" w:rsidRDefault="0023583B" w:rsidP="00962C66">
      <w:pPr>
        <w:numPr>
          <w:ilvl w:val="0"/>
          <w:numId w:val="32"/>
        </w:numPr>
        <w:spacing w:after="240"/>
        <w:rPr>
          <w:iCs/>
        </w:rPr>
      </w:pPr>
      <w:r w:rsidRPr="00152741">
        <w:t>A discussion of the impact the program services will have on students and their families and on other organizations in the region, as evidenced by the implementation of promising practices or proven strategies.</w:t>
      </w:r>
      <w:r w:rsidR="00211B67" w:rsidRPr="00152741">
        <w:t xml:space="preserve"> List </w:t>
      </w:r>
      <w:r w:rsidR="00B77BAA" w:rsidRPr="00152741">
        <w:t>benchmarks that will be used to indicate success.</w:t>
      </w:r>
    </w:p>
    <w:p w14:paraId="2A807948" w14:textId="77777777" w:rsidR="0023583B" w:rsidRPr="00152741" w:rsidRDefault="0023583B" w:rsidP="00962C66">
      <w:pPr>
        <w:numPr>
          <w:ilvl w:val="0"/>
          <w:numId w:val="32"/>
        </w:numPr>
        <w:spacing w:after="240"/>
      </w:pPr>
      <w:r w:rsidRPr="00152741">
        <w:t>Description of how the AIEC</w:t>
      </w:r>
      <w:r w:rsidR="00DC5077" w:rsidRPr="00152741">
        <w:t xml:space="preserve"> Program</w:t>
      </w:r>
      <w:r w:rsidRPr="00152741">
        <w:t xml:space="preserve"> will evaluate the success of th</w:t>
      </w:r>
      <w:r w:rsidR="003519A9" w:rsidRPr="00152741">
        <w:t>e proposed services. Including:</w:t>
      </w:r>
    </w:p>
    <w:p w14:paraId="1DB98717" w14:textId="77777777" w:rsidR="0023583B" w:rsidRPr="00152741" w:rsidRDefault="0023583B" w:rsidP="00962C66">
      <w:pPr>
        <w:numPr>
          <w:ilvl w:val="0"/>
          <w:numId w:val="35"/>
        </w:numPr>
        <w:spacing w:after="240"/>
        <w:rPr>
          <w:lang w:val="en"/>
        </w:rPr>
      </w:pPr>
      <w:r w:rsidRPr="00152741">
        <w:rPr>
          <w:lang w:val="en"/>
        </w:rPr>
        <w:t>Wha</w:t>
      </w:r>
      <w:r w:rsidR="00172010" w:rsidRPr="00152741">
        <w:rPr>
          <w:lang w:val="en"/>
        </w:rPr>
        <w:t>t criteria will be used to evaluate</w:t>
      </w:r>
      <w:r w:rsidRPr="00152741">
        <w:rPr>
          <w:lang w:val="en"/>
        </w:rPr>
        <w:t xml:space="preserve"> program performance?</w:t>
      </w:r>
    </w:p>
    <w:p w14:paraId="71803F37" w14:textId="77777777" w:rsidR="0023583B" w:rsidRPr="00152741" w:rsidRDefault="0023583B" w:rsidP="00962C66">
      <w:pPr>
        <w:numPr>
          <w:ilvl w:val="0"/>
          <w:numId w:val="35"/>
        </w:numPr>
        <w:spacing w:after="240"/>
        <w:rPr>
          <w:lang w:val="en"/>
        </w:rPr>
      </w:pPr>
      <w:r w:rsidRPr="00152741">
        <w:rPr>
          <w:lang w:val="en"/>
        </w:rPr>
        <w:t>What standards of performance on the criteria must be reached for the program to be considered successful?</w:t>
      </w:r>
    </w:p>
    <w:p w14:paraId="60061438" w14:textId="77777777" w:rsidR="0023583B" w:rsidRPr="00152741" w:rsidRDefault="0023583B" w:rsidP="5BA997D8">
      <w:pPr>
        <w:numPr>
          <w:ilvl w:val="0"/>
          <w:numId w:val="35"/>
        </w:numPr>
        <w:spacing w:after="240"/>
      </w:pPr>
      <w:r w:rsidRPr="5BA997D8">
        <w:t>What evidence will indicate performance on the criteria relative to the standards?</w:t>
      </w:r>
    </w:p>
    <w:p w14:paraId="64429044" w14:textId="31BAC945" w:rsidR="0023583B" w:rsidRPr="00152741" w:rsidRDefault="00DC5077" w:rsidP="00962C66">
      <w:pPr>
        <w:numPr>
          <w:ilvl w:val="0"/>
          <w:numId w:val="35"/>
        </w:numPr>
        <w:spacing w:after="240"/>
        <w:rPr>
          <w:lang w:val="en"/>
        </w:rPr>
      </w:pPr>
      <w:r w:rsidRPr="00152741">
        <w:t xml:space="preserve">How </w:t>
      </w:r>
      <w:r w:rsidR="0023583B" w:rsidRPr="00152741">
        <w:t>the AIEC</w:t>
      </w:r>
      <w:r w:rsidRPr="00152741">
        <w:t xml:space="preserve"> Program</w:t>
      </w:r>
      <w:r w:rsidR="0023583B" w:rsidRPr="00152741">
        <w:t xml:space="preserve"> </w:t>
      </w:r>
      <w:r w:rsidRPr="00152741">
        <w:t xml:space="preserve">will </w:t>
      </w:r>
      <w:r w:rsidR="0023583B" w:rsidRPr="00152741">
        <w:t>diagnose and document program st</w:t>
      </w:r>
      <w:r w:rsidRPr="00152741">
        <w:t>rengths and weaknesses? How</w:t>
      </w:r>
      <w:r w:rsidR="0023583B" w:rsidRPr="00152741">
        <w:t xml:space="preserve"> </w:t>
      </w:r>
      <w:r w:rsidR="000C7A88" w:rsidRPr="00152741">
        <w:t>will the program</w:t>
      </w:r>
      <w:r w:rsidRPr="00152741">
        <w:t xml:space="preserve"> </w:t>
      </w:r>
      <w:r w:rsidR="003519A9" w:rsidRPr="00152741">
        <w:t>address weaknesses?</w:t>
      </w:r>
    </w:p>
    <w:p w14:paraId="68A57E6E" w14:textId="77777777" w:rsidR="0023583B" w:rsidRPr="00152741" w:rsidRDefault="00DC5077" w:rsidP="5BA997D8">
      <w:pPr>
        <w:numPr>
          <w:ilvl w:val="0"/>
          <w:numId w:val="35"/>
        </w:numPr>
        <w:spacing w:after="240"/>
      </w:pPr>
      <w:r w:rsidRPr="5BA997D8">
        <w:t xml:space="preserve">How </w:t>
      </w:r>
      <w:r w:rsidR="0023583B" w:rsidRPr="5BA997D8">
        <w:t xml:space="preserve">results of the evaluation </w:t>
      </w:r>
      <w:r w:rsidRPr="5BA997D8">
        <w:t xml:space="preserve">will </w:t>
      </w:r>
      <w:r w:rsidR="0023583B" w:rsidRPr="5BA997D8">
        <w:t>be communicated to stakeholders?</w:t>
      </w:r>
    </w:p>
    <w:p w14:paraId="2FF03A39" w14:textId="2CF923A5" w:rsidR="00A87795" w:rsidRPr="00152741" w:rsidRDefault="00DC5077" w:rsidP="00962C66">
      <w:pPr>
        <w:numPr>
          <w:ilvl w:val="0"/>
          <w:numId w:val="32"/>
        </w:numPr>
        <w:spacing w:after="240"/>
        <w:ind w:left="1530" w:hanging="450"/>
        <w:rPr>
          <w:lang w:val="en"/>
        </w:rPr>
      </w:pPr>
      <w:r w:rsidRPr="00152741">
        <w:rPr>
          <w:lang w:val="en"/>
        </w:rPr>
        <w:t>Description of</w:t>
      </w:r>
      <w:r w:rsidR="0023583B" w:rsidRPr="00152741">
        <w:rPr>
          <w:lang w:val="en"/>
        </w:rPr>
        <w:t xml:space="preserve"> how the AIEC</w:t>
      </w:r>
      <w:r w:rsidRPr="00152741">
        <w:rPr>
          <w:lang w:val="en"/>
        </w:rPr>
        <w:t xml:space="preserve"> Program</w:t>
      </w:r>
      <w:r w:rsidR="0023583B" w:rsidRPr="00152741">
        <w:rPr>
          <w:lang w:val="en"/>
        </w:rPr>
        <w:t xml:space="preserve"> will staff the program to satisfy the ratio of 40 percent administrative/indirect cost and 60 percent direct service cost. Include all job descriptions and an example of the staff </w:t>
      </w:r>
      <w:r w:rsidR="0023583B" w:rsidRPr="00152741">
        <w:rPr>
          <w:lang w:val="en"/>
        </w:rPr>
        <w:lastRenderedPageBreak/>
        <w:t>activ</w:t>
      </w:r>
      <w:r w:rsidR="003519A9" w:rsidRPr="00152741">
        <w:rPr>
          <w:lang w:val="en"/>
        </w:rPr>
        <w:t xml:space="preserve">ity log the AIEC </w:t>
      </w:r>
      <w:r w:rsidRPr="00152741">
        <w:rPr>
          <w:lang w:val="en"/>
        </w:rPr>
        <w:t>Program will use</w:t>
      </w:r>
      <w:r w:rsidR="003519A9" w:rsidRPr="006F68E4">
        <w:rPr>
          <w:lang w:val="en"/>
        </w:rPr>
        <w:t>.</w:t>
      </w:r>
      <w:r w:rsidR="006F68E4" w:rsidRPr="006F68E4">
        <w:rPr>
          <w:rFonts w:eastAsia="Calibri"/>
          <w:bCs w:val="0"/>
          <w:szCs w:val="24"/>
        </w:rPr>
        <w:t xml:space="preserve"> Indirect costs should be based on Direct Costs then added to </w:t>
      </w:r>
      <w:r w:rsidR="000C7A88" w:rsidRPr="006F68E4">
        <w:rPr>
          <w:rFonts w:eastAsia="Calibri"/>
          <w:bCs w:val="0"/>
          <w:szCs w:val="24"/>
        </w:rPr>
        <w:t>administrative</w:t>
      </w:r>
      <w:r w:rsidR="006F68E4" w:rsidRPr="006F68E4">
        <w:rPr>
          <w:rFonts w:eastAsia="Calibri"/>
          <w:bCs w:val="0"/>
          <w:szCs w:val="24"/>
        </w:rPr>
        <w:t xml:space="preserve"> costs.</w:t>
      </w:r>
    </w:p>
    <w:p w14:paraId="2DF664A4" w14:textId="77777777" w:rsidR="00A87795" w:rsidRPr="00152741" w:rsidRDefault="00A87795" w:rsidP="5BA997D8">
      <w:pPr>
        <w:pStyle w:val="ListParagraph"/>
        <w:numPr>
          <w:ilvl w:val="1"/>
          <w:numId w:val="32"/>
        </w:numPr>
        <w:spacing w:after="480"/>
      </w:pPr>
      <w:r w:rsidRPr="5BA997D8">
        <w:t xml:space="preserve">Staff who are considered direct service providers must have a work schedule that </w:t>
      </w:r>
      <w:r w:rsidR="00DC5077" w:rsidRPr="5BA997D8">
        <w:t>includes</w:t>
      </w:r>
      <w:r w:rsidRPr="5BA997D8">
        <w:t xml:space="preserve"> 85 percent of the time pro</w:t>
      </w:r>
      <w:r w:rsidR="00DC5077" w:rsidRPr="5BA997D8">
        <w:t>viding services to participants;</w:t>
      </w:r>
      <w:r w:rsidRPr="5BA997D8">
        <w:t xml:space="preserve"> 15 percent of the time may be used for planning </w:t>
      </w:r>
      <w:r w:rsidR="00172010" w:rsidRPr="5BA997D8">
        <w:t>and a</w:t>
      </w:r>
      <w:r w:rsidR="00DC5077" w:rsidRPr="5BA997D8">
        <w:t>dministrative duties</w:t>
      </w:r>
      <w:r w:rsidRPr="5BA997D8">
        <w:t>.</w:t>
      </w:r>
    </w:p>
    <w:p w14:paraId="607FA970" w14:textId="77777777" w:rsidR="003519A9" w:rsidRPr="00152741" w:rsidRDefault="003519A9" w:rsidP="00962C66">
      <w:pPr>
        <w:pStyle w:val="Heading3"/>
        <w:numPr>
          <w:ilvl w:val="0"/>
          <w:numId w:val="25"/>
        </w:numPr>
        <w:tabs>
          <w:tab w:val="clear" w:pos="960"/>
          <w:tab w:val="clear" w:pos="1440"/>
          <w:tab w:val="clear" w:pos="1800"/>
          <w:tab w:val="clear" w:pos="2160"/>
        </w:tabs>
        <w:spacing w:after="240"/>
      </w:pPr>
      <w:bookmarkStart w:id="46" w:name="_Toc164262859"/>
      <w:r w:rsidRPr="00152741">
        <w:t>Program Budget</w:t>
      </w:r>
      <w:bookmarkEnd w:id="46"/>
    </w:p>
    <w:p w14:paraId="1C9420EE" w14:textId="77777777" w:rsidR="003519A9" w:rsidRPr="00152741" w:rsidRDefault="003519A9" w:rsidP="003519A9">
      <w:pPr>
        <w:spacing w:after="240"/>
        <w:ind w:left="720"/>
        <w:rPr>
          <w:b/>
        </w:rPr>
      </w:pPr>
      <w:r w:rsidRPr="00152741">
        <w:rPr>
          <w:b/>
        </w:rPr>
        <w:t>American Indian Education Center Program Cost Allocation</w:t>
      </w:r>
    </w:p>
    <w:p w14:paraId="79C00BDF" w14:textId="676FC851" w:rsidR="00DC5077" w:rsidRPr="00152741" w:rsidRDefault="003519A9" w:rsidP="00D550A2">
      <w:pPr>
        <w:spacing w:after="240"/>
        <w:ind w:left="720"/>
        <w:rPr>
          <w:rFonts w:eastAsia="Calibri"/>
          <w:bCs w:val="0"/>
          <w:szCs w:val="24"/>
        </w:rPr>
      </w:pPr>
      <w:r w:rsidRPr="00152741">
        <w:t xml:space="preserve">All AIEC </w:t>
      </w:r>
      <w:r w:rsidR="00DC5077" w:rsidRPr="00152741">
        <w:t xml:space="preserve">Program </w:t>
      </w:r>
      <w:r w:rsidRPr="00152741">
        <w:t xml:space="preserve">costs </w:t>
      </w:r>
      <w:r w:rsidRPr="00152741">
        <w:rPr>
          <w:rFonts w:eastAsia="Calibri"/>
          <w:bCs w:val="0"/>
          <w:szCs w:val="24"/>
        </w:rPr>
        <w:t>must be directly correlated with the educationally relate</w:t>
      </w:r>
      <w:r w:rsidR="00B92109" w:rsidRPr="00152741">
        <w:rPr>
          <w:rFonts w:eastAsia="Calibri"/>
          <w:bCs w:val="0"/>
          <w:szCs w:val="24"/>
        </w:rPr>
        <w:t xml:space="preserve">d activities provided to </w:t>
      </w:r>
      <w:r w:rsidRPr="00152741">
        <w:rPr>
          <w:rFonts w:eastAsia="Calibri"/>
          <w:bCs w:val="0"/>
          <w:szCs w:val="24"/>
        </w:rPr>
        <w:t xml:space="preserve">American </w:t>
      </w:r>
      <w:r w:rsidR="00B92109" w:rsidRPr="00152741">
        <w:rPr>
          <w:rFonts w:eastAsia="Calibri"/>
          <w:bCs w:val="0"/>
          <w:szCs w:val="24"/>
        </w:rPr>
        <w:t xml:space="preserve">Indian </w:t>
      </w:r>
      <w:r w:rsidRPr="00152741">
        <w:rPr>
          <w:rFonts w:eastAsia="Calibri"/>
          <w:bCs w:val="0"/>
          <w:szCs w:val="24"/>
        </w:rPr>
        <w:t>students. The AIEC shall ensure that each approved activity and budget item exists for the educat</w:t>
      </w:r>
      <w:r w:rsidR="00B92109" w:rsidRPr="00152741">
        <w:rPr>
          <w:rFonts w:eastAsia="Calibri"/>
          <w:bCs w:val="0"/>
          <w:szCs w:val="24"/>
        </w:rPr>
        <w:t xml:space="preserve">ional benefit of eligible American Indian </w:t>
      </w:r>
      <w:r w:rsidRPr="00152741">
        <w:rPr>
          <w:rFonts w:eastAsia="Calibri"/>
          <w:bCs w:val="0"/>
          <w:szCs w:val="24"/>
        </w:rPr>
        <w:t xml:space="preserve">students based on identified needs. </w:t>
      </w:r>
      <w:r w:rsidRPr="00152741">
        <w:rPr>
          <w:rFonts w:eastAsia="Calibri"/>
          <w:bCs w:val="0"/>
          <w:i/>
          <w:iCs/>
          <w:szCs w:val="24"/>
        </w:rPr>
        <w:t xml:space="preserve">EC </w:t>
      </w:r>
      <w:r w:rsidRPr="00152741">
        <w:rPr>
          <w:rFonts w:eastAsia="Calibri"/>
          <w:bCs w:val="0"/>
          <w:szCs w:val="24"/>
        </w:rPr>
        <w:t>Section 63001 requires public educational agencies to spend no less than 85</w:t>
      </w:r>
      <w:r w:rsidR="002D678A" w:rsidRPr="00152741">
        <w:rPr>
          <w:rFonts w:eastAsia="Calibri"/>
          <w:bCs w:val="0"/>
          <w:szCs w:val="24"/>
        </w:rPr>
        <w:t xml:space="preserve"> percent of funds received for D</w:t>
      </w:r>
      <w:r w:rsidRPr="00152741">
        <w:rPr>
          <w:rFonts w:eastAsia="Calibri"/>
          <w:bCs w:val="0"/>
          <w:szCs w:val="24"/>
        </w:rPr>
        <w:t xml:space="preserve">irect </w:t>
      </w:r>
      <w:r w:rsidR="002D678A" w:rsidRPr="00152741">
        <w:rPr>
          <w:rFonts w:eastAsia="Calibri"/>
          <w:bCs w:val="0"/>
          <w:szCs w:val="24"/>
        </w:rPr>
        <w:t>S</w:t>
      </w:r>
      <w:r w:rsidRPr="00152741">
        <w:rPr>
          <w:rFonts w:eastAsia="Calibri"/>
          <w:bCs w:val="0"/>
          <w:szCs w:val="24"/>
        </w:rPr>
        <w:t>ervices to stude</w:t>
      </w:r>
      <w:r w:rsidR="002D678A" w:rsidRPr="00152741">
        <w:rPr>
          <w:rFonts w:eastAsia="Calibri"/>
          <w:bCs w:val="0"/>
          <w:szCs w:val="24"/>
        </w:rPr>
        <w:t>nts. The maximu</w:t>
      </w:r>
      <w:r w:rsidR="00172010" w:rsidRPr="00152741">
        <w:rPr>
          <w:rFonts w:eastAsia="Calibri"/>
          <w:bCs w:val="0"/>
          <w:szCs w:val="24"/>
        </w:rPr>
        <w:t xml:space="preserve">m allowable for </w:t>
      </w:r>
      <w:r w:rsidR="000C7A88" w:rsidRPr="00152741">
        <w:rPr>
          <w:rFonts w:eastAsia="Calibri"/>
          <w:bCs w:val="0"/>
          <w:szCs w:val="24"/>
        </w:rPr>
        <w:t>administrative</w:t>
      </w:r>
      <w:r w:rsidR="00172010" w:rsidRPr="00152741">
        <w:rPr>
          <w:rFonts w:eastAsia="Calibri"/>
          <w:bCs w:val="0"/>
          <w:szCs w:val="24"/>
        </w:rPr>
        <w:t xml:space="preserve"> costs, including I</w:t>
      </w:r>
      <w:r w:rsidRPr="00152741">
        <w:rPr>
          <w:rFonts w:eastAsia="Calibri"/>
          <w:bCs w:val="0"/>
          <w:szCs w:val="24"/>
        </w:rPr>
        <w:t>ndirect c</w:t>
      </w:r>
      <w:r w:rsidR="00DC5077" w:rsidRPr="00152741">
        <w:rPr>
          <w:rFonts w:eastAsia="Calibri"/>
          <w:bCs w:val="0"/>
          <w:szCs w:val="24"/>
        </w:rPr>
        <w:t>osts, is 15 percent. It is CDE</w:t>
      </w:r>
      <w:r w:rsidR="00172010" w:rsidRPr="00152741">
        <w:rPr>
          <w:rFonts w:eastAsia="Calibri"/>
          <w:bCs w:val="0"/>
          <w:szCs w:val="24"/>
        </w:rPr>
        <w:t xml:space="preserve"> policy that the AIEC</w:t>
      </w:r>
      <w:r w:rsidRPr="00152741">
        <w:rPr>
          <w:rFonts w:eastAsia="Calibri"/>
          <w:bCs w:val="0"/>
          <w:szCs w:val="24"/>
        </w:rPr>
        <w:t xml:space="preserve"> will approximate this goal and thereby direct the </w:t>
      </w:r>
      <w:r w:rsidR="002D678A" w:rsidRPr="00152741">
        <w:rPr>
          <w:rFonts w:eastAsia="Calibri"/>
          <w:bCs w:val="0"/>
          <w:szCs w:val="24"/>
        </w:rPr>
        <w:t>preponderance of funds towards Direct S</w:t>
      </w:r>
      <w:r w:rsidRPr="00152741">
        <w:rPr>
          <w:rFonts w:eastAsia="Calibri"/>
          <w:bCs w:val="0"/>
          <w:szCs w:val="24"/>
        </w:rPr>
        <w:t xml:space="preserve">ervices to pupils. </w:t>
      </w:r>
    </w:p>
    <w:p w14:paraId="579459CE" w14:textId="23915250" w:rsidR="003519A9" w:rsidRPr="00152741" w:rsidRDefault="003519A9" w:rsidP="00D550A2">
      <w:pPr>
        <w:spacing w:after="240"/>
        <w:ind w:left="720"/>
        <w:rPr>
          <w:rFonts w:eastAsia="Calibri"/>
          <w:bCs w:val="0"/>
          <w:szCs w:val="24"/>
        </w:rPr>
      </w:pPr>
      <w:r w:rsidRPr="00152741">
        <w:rPr>
          <w:rFonts w:eastAsia="Calibri"/>
          <w:bCs w:val="0"/>
          <w:szCs w:val="24"/>
        </w:rPr>
        <w:t xml:space="preserve">The AIEC Program will allow a maximum of 40 percent of </w:t>
      </w:r>
      <w:r w:rsidR="002D678A" w:rsidRPr="00152741">
        <w:rPr>
          <w:rFonts w:eastAsia="Calibri"/>
          <w:bCs w:val="0"/>
          <w:szCs w:val="24"/>
        </w:rPr>
        <w:t>AIEC</w:t>
      </w:r>
      <w:r w:rsidR="00DC5077" w:rsidRPr="00152741">
        <w:rPr>
          <w:rFonts w:eastAsia="Calibri"/>
          <w:bCs w:val="0"/>
          <w:szCs w:val="24"/>
        </w:rPr>
        <w:t xml:space="preserve"> Program</w:t>
      </w:r>
      <w:r w:rsidR="002D678A" w:rsidRPr="00152741">
        <w:rPr>
          <w:rFonts w:eastAsia="Calibri"/>
          <w:bCs w:val="0"/>
          <w:szCs w:val="24"/>
        </w:rPr>
        <w:t xml:space="preserve"> funds to be allocated for </w:t>
      </w:r>
      <w:r w:rsidR="000C7A88" w:rsidRPr="00152741">
        <w:rPr>
          <w:rFonts w:eastAsia="Calibri"/>
          <w:bCs w:val="0"/>
          <w:szCs w:val="24"/>
        </w:rPr>
        <w:t>administrative</w:t>
      </w:r>
      <w:r w:rsidRPr="00152741">
        <w:rPr>
          <w:rFonts w:eastAsia="Calibri"/>
          <w:bCs w:val="0"/>
          <w:szCs w:val="24"/>
        </w:rPr>
        <w:t xml:space="preserve"> </w:t>
      </w:r>
      <w:r w:rsidR="00172010" w:rsidRPr="00152741">
        <w:rPr>
          <w:rFonts w:eastAsia="Calibri"/>
          <w:bCs w:val="0"/>
          <w:szCs w:val="24"/>
        </w:rPr>
        <w:t>c</w:t>
      </w:r>
      <w:r w:rsidR="00DC5077" w:rsidRPr="00152741">
        <w:rPr>
          <w:rFonts w:eastAsia="Calibri"/>
          <w:bCs w:val="0"/>
          <w:szCs w:val="24"/>
        </w:rPr>
        <w:t>osts (</w:t>
      </w:r>
      <w:r w:rsidRPr="00152741">
        <w:rPr>
          <w:rFonts w:eastAsia="Calibri"/>
          <w:bCs w:val="0"/>
          <w:szCs w:val="24"/>
        </w:rPr>
        <w:t xml:space="preserve">including </w:t>
      </w:r>
      <w:r w:rsidR="00DC5077" w:rsidRPr="00152741">
        <w:rPr>
          <w:rFonts w:eastAsia="Calibri"/>
          <w:bCs w:val="0"/>
          <w:szCs w:val="24"/>
        </w:rPr>
        <w:t>the I</w:t>
      </w:r>
      <w:r w:rsidRPr="00152741">
        <w:rPr>
          <w:rFonts w:eastAsia="Calibri"/>
          <w:bCs w:val="0"/>
          <w:szCs w:val="24"/>
        </w:rPr>
        <w:t xml:space="preserve">ndirect </w:t>
      </w:r>
      <w:r w:rsidR="00DC5077" w:rsidRPr="00152741">
        <w:rPr>
          <w:rFonts w:eastAsia="Calibri"/>
          <w:bCs w:val="0"/>
          <w:szCs w:val="24"/>
        </w:rPr>
        <w:t>cost</w:t>
      </w:r>
      <w:r w:rsidR="003F7E0E" w:rsidRPr="00152741">
        <w:rPr>
          <w:rFonts w:eastAsia="Calibri"/>
          <w:bCs w:val="0"/>
          <w:szCs w:val="24"/>
        </w:rPr>
        <w:t>s</w:t>
      </w:r>
      <w:r w:rsidR="00DC5077" w:rsidRPr="00152741">
        <w:rPr>
          <w:rFonts w:eastAsia="Calibri"/>
          <w:bCs w:val="0"/>
          <w:szCs w:val="24"/>
        </w:rPr>
        <w:t xml:space="preserve"> of 7 percent), </w:t>
      </w:r>
      <w:r w:rsidRPr="00152741">
        <w:rPr>
          <w:rFonts w:eastAsia="Calibri"/>
          <w:bCs w:val="0"/>
          <w:szCs w:val="24"/>
        </w:rPr>
        <w:t xml:space="preserve">and 60 percent of AIEC </w:t>
      </w:r>
      <w:r w:rsidR="00DC5077" w:rsidRPr="00152741">
        <w:rPr>
          <w:rFonts w:eastAsia="Calibri"/>
          <w:bCs w:val="0"/>
          <w:szCs w:val="24"/>
        </w:rPr>
        <w:t xml:space="preserve">Program </w:t>
      </w:r>
      <w:r w:rsidRPr="00152741">
        <w:rPr>
          <w:rFonts w:eastAsia="Calibri"/>
          <w:bCs w:val="0"/>
          <w:szCs w:val="24"/>
        </w:rPr>
        <w:t>funds to be allocated to Direct Services.</w:t>
      </w:r>
    </w:p>
    <w:p w14:paraId="71460DF9" w14:textId="77777777" w:rsidR="003519A9" w:rsidRPr="00152741" w:rsidRDefault="003519A9" w:rsidP="00D550A2">
      <w:pPr>
        <w:spacing w:after="240"/>
        <w:ind w:left="720"/>
        <w:rPr>
          <w:b/>
        </w:rPr>
      </w:pPr>
      <w:r w:rsidRPr="00152741">
        <w:rPr>
          <w:b/>
        </w:rPr>
        <w:t>Direct Costs</w:t>
      </w:r>
    </w:p>
    <w:p w14:paraId="2792F701" w14:textId="77777777" w:rsidR="003519A9" w:rsidRPr="00152741" w:rsidRDefault="003519A9" w:rsidP="00D550A2">
      <w:pPr>
        <w:spacing w:after="240"/>
        <w:ind w:left="720"/>
      </w:pPr>
      <w:r w:rsidRPr="00152741">
        <w:t>Direct costs can be identified with a particular instructional program or support service necessary to maintain the program.</w:t>
      </w:r>
    </w:p>
    <w:p w14:paraId="4C1AAA6B" w14:textId="77777777" w:rsidR="003519A9" w:rsidRPr="00152741" w:rsidRDefault="003519A9" w:rsidP="00D550A2">
      <w:pPr>
        <w:spacing w:after="240"/>
        <w:ind w:left="720"/>
      </w:pPr>
      <w:r w:rsidRPr="00152741">
        <w:t>Direct costs provide measurable, direct benefits to particular programs, including costs for instructional programs, and support costs that relate to the peripheral services necessary to maintain the instr</w:t>
      </w:r>
      <w:r w:rsidR="00DC5077" w:rsidRPr="00152741">
        <w:t>uctional programs. Examples of D</w:t>
      </w:r>
      <w:r w:rsidRPr="00152741">
        <w:t>irect costs include salaries and benefits of instructi</w:t>
      </w:r>
      <w:r w:rsidR="00DC5077" w:rsidRPr="00152741">
        <w:t>onal aides (to be considered a D</w:t>
      </w:r>
      <w:r w:rsidRPr="00152741">
        <w:t>irect cost</w:t>
      </w:r>
      <w:r w:rsidR="00DC5077" w:rsidRPr="00152741">
        <w:t>,</w:t>
      </w:r>
      <w:r w:rsidRPr="00152741">
        <w:t xml:space="preserve"> instructional staff must be scheduled to work when students are present. A prep time of one hour per day will be allowed), payments for textbooks, instructional supply purchases, and pupil service costs (e.g., counseling, health services, and pupil transportation).</w:t>
      </w:r>
    </w:p>
    <w:p w14:paraId="3608A888" w14:textId="77777777" w:rsidR="003519A9" w:rsidRPr="00152741" w:rsidRDefault="003519A9" w:rsidP="003519A9">
      <w:pPr>
        <w:spacing w:after="240"/>
        <w:ind w:left="720"/>
        <w:rPr>
          <w:b/>
        </w:rPr>
      </w:pPr>
      <w:r w:rsidRPr="00152741">
        <w:rPr>
          <w:b/>
        </w:rPr>
        <w:t>Indirect Cost</w:t>
      </w:r>
    </w:p>
    <w:p w14:paraId="05364533" w14:textId="6609B7DA" w:rsidR="003519A9" w:rsidRPr="00152741" w:rsidRDefault="003519A9" w:rsidP="003519A9">
      <w:pPr>
        <w:spacing w:after="240"/>
        <w:ind w:left="720"/>
      </w:pPr>
      <w:r w:rsidRPr="00152741">
        <w:t xml:space="preserve">Indirect costs are those costs of general management that are </w:t>
      </w:r>
      <w:r w:rsidR="00FA5E04">
        <w:t>agency-wide</w:t>
      </w:r>
      <w:r w:rsidRPr="00152741">
        <w:t>. General management costs consist of expenditures for administrative activities necessary for the general operation of the AIEC</w:t>
      </w:r>
      <w:r w:rsidR="003F7E0E" w:rsidRPr="00152741">
        <w:t xml:space="preserve"> Program</w:t>
      </w:r>
      <w:r w:rsidRPr="00152741">
        <w:t xml:space="preserve"> (e.g., accounting, budgeting, payroll preparation, personnel management, </w:t>
      </w:r>
      <w:r w:rsidR="008248F5" w:rsidRPr="00152741">
        <w:t xml:space="preserve">and </w:t>
      </w:r>
      <w:r w:rsidRPr="00152741">
        <w:t xml:space="preserve">purchasing, centralized data processing). </w:t>
      </w:r>
      <w:r w:rsidR="008416F4" w:rsidRPr="00152741">
        <w:t>Agency-wide</w:t>
      </w:r>
      <w:r w:rsidRPr="00152741">
        <w:t xml:space="preserve"> general management costs </w:t>
      </w:r>
      <w:r w:rsidR="00FA5E04">
        <w:t xml:space="preserve">are </w:t>
      </w:r>
      <w:r w:rsidRPr="00152741">
        <w:t xml:space="preserve">not </w:t>
      </w:r>
      <w:r w:rsidRPr="00152741">
        <w:lastRenderedPageBreak/>
        <w:t>readily identifiable with a particular program. The maximum indirect cost for the AIEC Program is 7 percent.</w:t>
      </w:r>
    </w:p>
    <w:p w14:paraId="0E095633" w14:textId="77777777" w:rsidR="003519A9" w:rsidRPr="00152741" w:rsidRDefault="003519A9" w:rsidP="003519A9">
      <w:pPr>
        <w:spacing w:after="240"/>
        <w:ind w:left="720"/>
        <w:rPr>
          <w:b/>
        </w:rPr>
      </w:pPr>
      <w:r w:rsidRPr="00152741">
        <w:rPr>
          <w:b/>
        </w:rPr>
        <w:t>Administrative Costs</w:t>
      </w:r>
    </w:p>
    <w:p w14:paraId="173C9D80" w14:textId="76EE5A3A" w:rsidR="003519A9" w:rsidRPr="00152741" w:rsidRDefault="003519A9" w:rsidP="003519A9">
      <w:pPr>
        <w:spacing w:after="240"/>
        <w:ind w:left="720"/>
      </w:pPr>
      <w:r w:rsidRPr="00152741">
        <w:t xml:space="preserve">Administrative costs for the AIEC Program will be in </w:t>
      </w:r>
      <w:r w:rsidR="002D678A" w:rsidRPr="00152741">
        <w:t xml:space="preserve">alignment </w:t>
      </w:r>
      <w:r w:rsidR="008416F4" w:rsidRPr="00152741">
        <w:t>with</w:t>
      </w:r>
      <w:r w:rsidR="002D678A" w:rsidRPr="00152741">
        <w:t xml:space="preserve"> the definition of </w:t>
      </w:r>
      <w:r w:rsidR="008416F4" w:rsidRPr="00152741">
        <w:t>administrative</w:t>
      </w:r>
      <w:r w:rsidRPr="00152741">
        <w:t xml:space="preserve"> costs in Procedure 915 of the California State Accounting Manual. Administrative costs will include:</w:t>
      </w:r>
    </w:p>
    <w:p w14:paraId="02A30507" w14:textId="615F3B85" w:rsidR="00F2228F" w:rsidRPr="00152741" w:rsidRDefault="003F7E0E" w:rsidP="00962C66">
      <w:pPr>
        <w:numPr>
          <w:ilvl w:val="0"/>
          <w:numId w:val="56"/>
        </w:numPr>
        <w:spacing w:after="240"/>
      </w:pPr>
      <w:r w:rsidRPr="00152741">
        <w:t>Any costs that are A</w:t>
      </w:r>
      <w:r w:rsidR="003519A9" w:rsidRPr="00152741">
        <w:t>dministrative in nature and support the management of the program.</w:t>
      </w:r>
    </w:p>
    <w:p w14:paraId="52656DB9" w14:textId="13100882" w:rsidR="003519A9" w:rsidRPr="00152741" w:rsidRDefault="003519A9" w:rsidP="00962C66">
      <w:pPr>
        <w:numPr>
          <w:ilvl w:val="0"/>
          <w:numId w:val="56"/>
        </w:numPr>
        <w:spacing w:after="240"/>
      </w:pPr>
      <w:r w:rsidRPr="00152741">
        <w:t>The salaries and be</w:t>
      </w:r>
      <w:r w:rsidR="003F7E0E" w:rsidRPr="00152741">
        <w:t>nefits of personnel engaged in A</w:t>
      </w:r>
      <w:r w:rsidRPr="00152741">
        <w:t>dministrative or planning acti</w:t>
      </w:r>
      <w:r w:rsidR="003F7E0E" w:rsidRPr="00152741">
        <w:t xml:space="preserve">vities will be included in the </w:t>
      </w:r>
      <w:r w:rsidR="008416F4" w:rsidRPr="00152741">
        <w:t>administrative</w:t>
      </w:r>
      <w:r w:rsidRPr="00152741">
        <w:t xml:space="preserve"> costs. In the event that an employee’s duti</w:t>
      </w:r>
      <w:r w:rsidR="003F7E0E" w:rsidRPr="00152741">
        <w:t>es include various functions, (A</w:t>
      </w:r>
      <w:r w:rsidRPr="00152741">
        <w:t>dministrative, i</w:t>
      </w:r>
      <w:r w:rsidR="003F7E0E" w:rsidRPr="00152741">
        <w:t>dentification and recruitment, D</w:t>
      </w:r>
      <w:r w:rsidRPr="00152741">
        <w:t xml:space="preserve">irect </w:t>
      </w:r>
      <w:r w:rsidR="003F7E0E" w:rsidRPr="00152741">
        <w:t>S</w:t>
      </w:r>
      <w:r w:rsidRPr="00152741">
        <w:t>ervice, etc.) the agency will account for these activities in the appropriate component of the funding application. The p</w:t>
      </w:r>
      <w:r w:rsidR="002D678A" w:rsidRPr="00152741">
        <w:t>roportion of time dedicated to D</w:t>
      </w:r>
      <w:r w:rsidRPr="00152741">
        <w:t xml:space="preserve">irect </w:t>
      </w:r>
      <w:r w:rsidR="002D678A" w:rsidRPr="00152741">
        <w:t>S</w:t>
      </w:r>
      <w:r w:rsidRPr="00152741">
        <w:t xml:space="preserve">ervice </w:t>
      </w:r>
      <w:r w:rsidR="003F7E0E" w:rsidRPr="00152741">
        <w:t xml:space="preserve">and Administrative/Indirect Service </w:t>
      </w:r>
      <w:r w:rsidRPr="00152741">
        <w:t>activity will need to be specified in the job description and supported with employee service logs. This will include:</w:t>
      </w:r>
    </w:p>
    <w:p w14:paraId="182F45E6" w14:textId="77777777" w:rsidR="003519A9" w:rsidRPr="00152741" w:rsidRDefault="003519A9" w:rsidP="00962C66">
      <w:pPr>
        <w:numPr>
          <w:ilvl w:val="0"/>
          <w:numId w:val="37"/>
        </w:numPr>
        <w:tabs>
          <w:tab w:val="left" w:pos="2160"/>
        </w:tabs>
        <w:spacing w:after="240"/>
        <w:ind w:left="2160"/>
      </w:pPr>
      <w:r w:rsidRPr="00152741">
        <w:t xml:space="preserve">AIEC </w:t>
      </w:r>
      <w:r w:rsidR="003F7E0E" w:rsidRPr="00152741">
        <w:t xml:space="preserve">Program </w:t>
      </w:r>
      <w:r w:rsidRPr="00152741">
        <w:t>Director salarie</w:t>
      </w:r>
      <w:r w:rsidR="003F7E0E" w:rsidRPr="00152741">
        <w:t>s shall be considered strictly A</w:t>
      </w:r>
      <w:r w:rsidRPr="00152741">
        <w:t>dministrative and may</w:t>
      </w:r>
      <w:r w:rsidR="003F7E0E" w:rsidRPr="00152741">
        <w:t xml:space="preserve"> not be charged/budgeted under d</w:t>
      </w:r>
      <w:r w:rsidRPr="00152741">
        <w:t xml:space="preserve">irect instruction/services to pupils unless the approved job </w:t>
      </w:r>
      <w:r w:rsidR="003F7E0E" w:rsidRPr="00152741">
        <w:t>description specifically lists Direct S</w:t>
      </w:r>
      <w:r w:rsidRPr="00152741">
        <w:t>ervices provided to students.</w:t>
      </w:r>
    </w:p>
    <w:p w14:paraId="68994D69" w14:textId="77777777" w:rsidR="003519A9" w:rsidRPr="00152741" w:rsidRDefault="003F7E0E" w:rsidP="00962C66">
      <w:pPr>
        <w:numPr>
          <w:ilvl w:val="1"/>
          <w:numId w:val="37"/>
        </w:numPr>
        <w:spacing w:after="240"/>
        <w:ind w:left="2160"/>
      </w:pPr>
      <w:r w:rsidRPr="00152741">
        <w:t>To be charged as Direct S</w:t>
      </w:r>
      <w:r w:rsidR="003519A9" w:rsidRPr="00152741">
        <w:t xml:space="preserve">ervice the AIEC </w:t>
      </w:r>
      <w:r w:rsidRPr="00152741">
        <w:t xml:space="preserve">Program </w:t>
      </w:r>
      <w:r w:rsidR="003519A9" w:rsidRPr="00152741">
        <w:t xml:space="preserve">Director’s time must be supported by an employee service log that indicates the date, </w:t>
      </w:r>
      <w:r w:rsidRPr="00152741">
        <w:t>time, and a description of the D</w:t>
      </w:r>
      <w:r w:rsidR="003519A9" w:rsidRPr="00152741">
        <w:t xml:space="preserve">irect </w:t>
      </w:r>
      <w:r w:rsidRPr="00152741">
        <w:t>S</w:t>
      </w:r>
      <w:r w:rsidR="003519A9" w:rsidRPr="00152741">
        <w:t>ervice. This log must be kept with the director’s timesheet.</w:t>
      </w:r>
    </w:p>
    <w:p w14:paraId="5C3BB293" w14:textId="77777777" w:rsidR="003519A9" w:rsidRPr="00152741" w:rsidRDefault="003519A9" w:rsidP="00962C66">
      <w:pPr>
        <w:numPr>
          <w:ilvl w:val="0"/>
          <w:numId w:val="37"/>
        </w:numPr>
        <w:tabs>
          <w:tab w:val="left" w:pos="2700"/>
        </w:tabs>
        <w:spacing w:after="240"/>
        <w:ind w:left="2160"/>
      </w:pPr>
      <w:r w:rsidRPr="00152741">
        <w:t xml:space="preserve">AIEC </w:t>
      </w:r>
      <w:r w:rsidR="007232DB" w:rsidRPr="00152741">
        <w:t xml:space="preserve">Program </w:t>
      </w:r>
      <w:r w:rsidRPr="00152741">
        <w:t>Administrative</w:t>
      </w:r>
      <w:r w:rsidR="003F7E0E" w:rsidRPr="00152741">
        <w:t xml:space="preserve"> personnel shall be considered A</w:t>
      </w:r>
      <w:r w:rsidRPr="00152741">
        <w:t>dministrative unless the approved job description specifically identifies a percentage of time that will be specifically directed to direct instruction/services to pupils.</w:t>
      </w:r>
    </w:p>
    <w:p w14:paraId="793E8DC9" w14:textId="57D54460" w:rsidR="003519A9" w:rsidRPr="00152741" w:rsidRDefault="003519A9" w:rsidP="00962C66">
      <w:pPr>
        <w:numPr>
          <w:ilvl w:val="0"/>
          <w:numId w:val="38"/>
        </w:numPr>
        <w:spacing w:after="240"/>
        <w:ind w:left="2160"/>
      </w:pPr>
      <w:r w:rsidRPr="00152741">
        <w:t xml:space="preserve">To be charged as direct service the AIEC </w:t>
      </w:r>
      <w:r w:rsidR="003F7E0E" w:rsidRPr="00152741">
        <w:t>Program A</w:t>
      </w:r>
      <w:r w:rsidRPr="00152741">
        <w:t xml:space="preserve">dministrative personnel’s time must be supported by an employee service log that indicates the date, </w:t>
      </w:r>
      <w:r w:rsidR="003F7E0E" w:rsidRPr="00152741">
        <w:t>time, and a description of the Direct S</w:t>
      </w:r>
      <w:r w:rsidRPr="00152741">
        <w:t xml:space="preserve">ervice. This log must be kept with the </w:t>
      </w:r>
      <w:r w:rsidR="0064651B" w:rsidRPr="00152741">
        <w:t>employees’</w:t>
      </w:r>
      <w:r w:rsidRPr="00152741">
        <w:t xml:space="preserve"> timesheet.</w:t>
      </w:r>
    </w:p>
    <w:p w14:paraId="6FD256CC" w14:textId="77777777" w:rsidR="003519A9" w:rsidRPr="00152741" w:rsidRDefault="003519A9" w:rsidP="00962C66">
      <w:pPr>
        <w:numPr>
          <w:ilvl w:val="0"/>
          <w:numId w:val="39"/>
        </w:numPr>
        <w:spacing w:after="240"/>
        <w:ind w:left="2160"/>
      </w:pPr>
      <w:r w:rsidRPr="00152741">
        <w:t>Custodians/janitors are considered classified support. Custodians/janitors are part of the overall general operations of a program and not a provider of direct instruction to pupils.</w:t>
      </w:r>
    </w:p>
    <w:p w14:paraId="7358B6D5" w14:textId="77777777" w:rsidR="00124958" w:rsidRPr="00152741" w:rsidRDefault="00124958" w:rsidP="00222C3E">
      <w:pPr>
        <w:keepNext/>
        <w:keepLines/>
        <w:spacing w:after="240"/>
        <w:ind w:left="720"/>
        <w:rPr>
          <w:b/>
        </w:rPr>
      </w:pPr>
      <w:r w:rsidRPr="00152741">
        <w:rPr>
          <w:b/>
        </w:rPr>
        <w:lastRenderedPageBreak/>
        <w:t>Direct Services to Students</w:t>
      </w:r>
    </w:p>
    <w:p w14:paraId="2D6B0AC8" w14:textId="77777777" w:rsidR="00124958" w:rsidRPr="00152741" w:rsidRDefault="00124958" w:rsidP="00222C3E">
      <w:pPr>
        <w:keepNext/>
        <w:keepLines/>
        <w:spacing w:after="240"/>
        <w:ind w:left="720"/>
      </w:pPr>
      <w:r w:rsidRPr="00152741">
        <w:t xml:space="preserve">Direct Services to students are those supplementary services that </w:t>
      </w:r>
      <w:r w:rsidR="003F7E0E" w:rsidRPr="00152741">
        <w:t>are delivered at the AIEC</w:t>
      </w:r>
      <w:r w:rsidRPr="00152741">
        <w:t xml:space="preserve"> where the student is the direct recipient or beneficiary of the services. Expenditures for personnel and services are </w:t>
      </w:r>
      <w:r w:rsidR="003F7E0E" w:rsidRPr="00152741">
        <w:t>justified as D</w:t>
      </w:r>
      <w:r w:rsidRPr="00152741">
        <w:t xml:space="preserve">irect </w:t>
      </w:r>
      <w:r w:rsidR="003F7E0E" w:rsidRPr="00152741">
        <w:t>S</w:t>
      </w:r>
      <w:r w:rsidRPr="00152741">
        <w:t>ervice if:</w:t>
      </w:r>
    </w:p>
    <w:p w14:paraId="3F2525C3" w14:textId="77777777" w:rsidR="00C116BF" w:rsidRDefault="00124958" w:rsidP="5BA997D8">
      <w:pPr>
        <w:numPr>
          <w:ilvl w:val="1"/>
          <w:numId w:val="37"/>
        </w:numPr>
        <w:tabs>
          <w:tab w:val="left" w:pos="2070"/>
        </w:tabs>
        <w:spacing w:after="240"/>
      </w:pPr>
      <w:r w:rsidRPr="5BA997D8">
        <w:t xml:space="preserve">The staff </w:t>
      </w:r>
      <w:r w:rsidR="00553BFC" w:rsidRPr="5BA997D8">
        <w:t>provide</w:t>
      </w:r>
      <w:r w:rsidRPr="5BA997D8">
        <w:t xml:space="preserve"> </w:t>
      </w:r>
      <w:r w:rsidR="007228C1" w:rsidRPr="5BA997D8">
        <w:t>d</w:t>
      </w:r>
      <w:r w:rsidRPr="5BA997D8">
        <w:t>irect, hands-on services to stud</w:t>
      </w:r>
      <w:r w:rsidR="003F7E0E" w:rsidRPr="5BA997D8">
        <w:t>ents. Staff who are considered D</w:t>
      </w:r>
      <w:r w:rsidRPr="5BA997D8">
        <w:t xml:space="preserve">irect </w:t>
      </w:r>
      <w:r w:rsidR="003F7E0E" w:rsidRPr="5BA997D8">
        <w:t>S</w:t>
      </w:r>
      <w:r w:rsidRPr="5BA997D8">
        <w:t xml:space="preserve">ervice providers must have a work schedule </w:t>
      </w:r>
      <w:r w:rsidR="0064651B" w:rsidRPr="5BA997D8">
        <w:t>that</w:t>
      </w:r>
      <w:r w:rsidRPr="5BA997D8">
        <w:t xml:space="preserve"> 85 percent of the time pro</w:t>
      </w:r>
      <w:r w:rsidR="003F7E0E" w:rsidRPr="5BA997D8">
        <w:t>viding services to participants;</w:t>
      </w:r>
      <w:r w:rsidRPr="5BA997D8">
        <w:t xml:space="preserve"> 15 percent of the time may be used for planning and </w:t>
      </w:r>
      <w:r w:rsidR="00553BFC" w:rsidRPr="5BA997D8">
        <w:t>administrative</w:t>
      </w:r>
      <w:r w:rsidR="003F7E0E" w:rsidRPr="5BA997D8">
        <w:t xml:space="preserve"> duties</w:t>
      </w:r>
      <w:r w:rsidRPr="5BA997D8">
        <w:t>.</w:t>
      </w:r>
    </w:p>
    <w:p w14:paraId="788691FB" w14:textId="5B2BECB8" w:rsidR="00124958" w:rsidRPr="00C116BF" w:rsidRDefault="00124958" w:rsidP="5BA997D8">
      <w:pPr>
        <w:numPr>
          <w:ilvl w:val="1"/>
          <w:numId w:val="37"/>
        </w:numPr>
        <w:spacing w:after="240"/>
      </w:pPr>
      <w:r w:rsidRPr="5BA997D8">
        <w:t>Staff time for drop-</w:t>
      </w:r>
      <w:r w:rsidR="003F7E0E" w:rsidRPr="5BA997D8">
        <w:t>in tutoring will be considered A</w:t>
      </w:r>
      <w:r w:rsidRPr="5BA997D8">
        <w:t>dministrative unless the AIEC can justify, by previous year sign in sheets, that the drop-in hours are consistently (greater than 90 percent) being used. For a new AIEC, drop-in hours will be monitored for three months to ensure that the greater than 90 percent rate of participation is satisfied.</w:t>
      </w:r>
    </w:p>
    <w:p w14:paraId="5D9B40CB" w14:textId="77777777" w:rsidR="00124958" w:rsidRPr="00152741" w:rsidRDefault="00124958" w:rsidP="00962C66">
      <w:pPr>
        <w:numPr>
          <w:ilvl w:val="0"/>
          <w:numId w:val="37"/>
        </w:numPr>
        <w:spacing w:after="240"/>
        <w:ind w:left="1440"/>
        <w:rPr>
          <w:lang w:val="en"/>
        </w:rPr>
      </w:pPr>
      <w:r w:rsidRPr="00152741">
        <w:rPr>
          <w:lang w:val="en"/>
        </w:rPr>
        <w:t>The services being provided are so integral to the program that absence of the services would affect the quality of the program itself and the success of students. Examples of these types of services that are critical to the quality of the programs for students include: professional development for program staff, parent education and involvement activities, and staff development.</w:t>
      </w:r>
    </w:p>
    <w:p w14:paraId="28119A44" w14:textId="77777777" w:rsidR="00124958" w:rsidRPr="00152741" w:rsidRDefault="00124958" w:rsidP="5BA997D8">
      <w:pPr>
        <w:numPr>
          <w:ilvl w:val="0"/>
          <w:numId w:val="37"/>
        </w:numPr>
        <w:spacing w:after="240"/>
        <w:ind w:left="1440"/>
      </w:pPr>
      <w:r w:rsidRPr="5BA997D8">
        <w:t>The funds are used to purchase materials and equipment to be used by eligible students.</w:t>
      </w:r>
    </w:p>
    <w:p w14:paraId="4657F978" w14:textId="77777777" w:rsidR="00124958" w:rsidRPr="00152741" w:rsidRDefault="00124958" w:rsidP="00962C66">
      <w:pPr>
        <w:numPr>
          <w:ilvl w:val="0"/>
          <w:numId w:val="37"/>
        </w:numPr>
        <w:spacing w:after="240"/>
        <w:ind w:left="1440"/>
        <w:rPr>
          <w:lang w:val="en"/>
        </w:rPr>
      </w:pPr>
      <w:r w:rsidRPr="00152741">
        <w:rPr>
          <w:lang w:val="en"/>
        </w:rPr>
        <w:t>The funds support the analysis and use of student performance data that is then used to inform services for eligible students.</w:t>
      </w:r>
    </w:p>
    <w:p w14:paraId="380A5779" w14:textId="0287A403" w:rsidR="00124958" w:rsidRPr="00152741" w:rsidRDefault="00124958" w:rsidP="00962C66">
      <w:pPr>
        <w:pStyle w:val="ListParagraph"/>
        <w:numPr>
          <w:ilvl w:val="0"/>
          <w:numId w:val="37"/>
        </w:numPr>
        <w:spacing w:after="240"/>
        <w:ind w:left="1440"/>
      </w:pPr>
      <w:r w:rsidRPr="00152741">
        <w:t xml:space="preserve">The funds are being used to rent space where direct student services are taking place. The AIEC will need to find the </w:t>
      </w:r>
      <w:r w:rsidR="00553BFC" w:rsidRPr="00152741">
        <w:t>ratio</w:t>
      </w:r>
      <w:r w:rsidRPr="00152741">
        <w:t xml:space="preserve"> of space used for student use and for administrative use.</w:t>
      </w:r>
    </w:p>
    <w:p w14:paraId="7FCA7F7D" w14:textId="77777777" w:rsidR="00124958" w:rsidRPr="00152741" w:rsidRDefault="00124958" w:rsidP="00962C66">
      <w:pPr>
        <w:pStyle w:val="ListParagraph"/>
        <w:numPr>
          <w:ilvl w:val="0"/>
          <w:numId w:val="39"/>
        </w:numPr>
        <w:ind w:left="2160"/>
      </w:pPr>
      <w:r w:rsidRPr="00152741">
        <w:t>For example: Total building space</w:t>
      </w:r>
      <w:r w:rsidR="00B91F89" w:rsidRPr="00152741">
        <w:tab/>
      </w:r>
      <w:r w:rsidRPr="00152741">
        <w:t>1500 sq. ft</w:t>
      </w:r>
      <w:r w:rsidR="00211B67" w:rsidRPr="00152741">
        <w:t>.</w:t>
      </w:r>
    </w:p>
    <w:p w14:paraId="1689EA01" w14:textId="77777777" w:rsidR="00124958" w:rsidRPr="00152741" w:rsidRDefault="00E264EB" w:rsidP="00F40E18">
      <w:pPr>
        <w:tabs>
          <w:tab w:val="left" w:pos="6480"/>
        </w:tabs>
        <w:ind w:left="2160"/>
      </w:pPr>
      <w:r w:rsidRPr="00152741">
        <w:t>Staff offices (A</w:t>
      </w:r>
      <w:r w:rsidR="00124958" w:rsidRPr="00152741">
        <w:t>dmin cost)</w:t>
      </w:r>
      <w:r w:rsidR="00B91F89" w:rsidRPr="00152741">
        <w:tab/>
        <w:t>4</w:t>
      </w:r>
      <w:r w:rsidR="00124958" w:rsidRPr="00152741">
        <w:t>00 sq.</w:t>
      </w:r>
      <w:r w:rsidR="006D5C69" w:rsidRPr="00152741">
        <w:t xml:space="preserve"> </w:t>
      </w:r>
      <w:r w:rsidR="00124958" w:rsidRPr="00152741">
        <w:t>ft</w:t>
      </w:r>
      <w:r w:rsidR="00B91F89" w:rsidRPr="00152741">
        <w:t>.</w:t>
      </w:r>
      <w:r w:rsidR="00124958" w:rsidRPr="00152741">
        <w:t xml:space="preserve"> 2</w:t>
      </w:r>
      <w:r w:rsidR="005C36EB" w:rsidRPr="00152741">
        <w:t>7</w:t>
      </w:r>
      <w:r w:rsidR="00124958" w:rsidRPr="00152741">
        <w:t xml:space="preserve"> Percent</w:t>
      </w:r>
    </w:p>
    <w:p w14:paraId="43E2EB20" w14:textId="77777777" w:rsidR="00124958" w:rsidRPr="00152741" w:rsidRDefault="00124958" w:rsidP="00F40E18">
      <w:pPr>
        <w:ind w:left="2160"/>
      </w:pPr>
      <w:r w:rsidRPr="00152741">
        <w:t>Program space (</w:t>
      </w:r>
      <w:r w:rsidR="00E264EB" w:rsidRPr="00152741">
        <w:t>D</w:t>
      </w:r>
      <w:r w:rsidRPr="00152741">
        <w:t xml:space="preserve">irect </w:t>
      </w:r>
      <w:r w:rsidR="00E264EB" w:rsidRPr="00152741">
        <w:t>S</w:t>
      </w:r>
      <w:r w:rsidRPr="00152741">
        <w:t>ervice cost)</w:t>
      </w:r>
      <w:r w:rsidRPr="00152741">
        <w:tab/>
        <w:t>1100 sq.</w:t>
      </w:r>
      <w:r w:rsidR="006D5C69" w:rsidRPr="00152741">
        <w:t xml:space="preserve"> </w:t>
      </w:r>
      <w:r w:rsidRPr="00152741">
        <w:t>ft</w:t>
      </w:r>
      <w:r w:rsidR="00B91F89" w:rsidRPr="00152741">
        <w:t>.</w:t>
      </w:r>
      <w:r w:rsidRPr="00152741">
        <w:t xml:space="preserve"> 7</w:t>
      </w:r>
      <w:r w:rsidR="005C36EB" w:rsidRPr="00152741">
        <w:t>3</w:t>
      </w:r>
      <w:r w:rsidRPr="00152741">
        <w:t xml:space="preserve"> Percent</w:t>
      </w:r>
    </w:p>
    <w:p w14:paraId="7362FE64" w14:textId="77777777" w:rsidR="00124958" w:rsidRPr="00152741" w:rsidRDefault="00124958" w:rsidP="00F40E18">
      <w:pPr>
        <w:ind w:left="2160"/>
      </w:pPr>
      <w:r w:rsidRPr="00152741">
        <w:t>Rent = $1,800/mo.</w:t>
      </w:r>
    </w:p>
    <w:p w14:paraId="37C64561" w14:textId="77777777" w:rsidR="00124958" w:rsidRPr="00152741" w:rsidRDefault="00124958" w:rsidP="00F40E18">
      <w:pPr>
        <w:ind w:left="2160"/>
      </w:pPr>
      <w:r w:rsidRPr="00152741">
        <w:t>Admin cost = $1,800 x 2</w:t>
      </w:r>
      <w:r w:rsidR="005C36EB" w:rsidRPr="00152741">
        <w:t>7% = $486</w:t>
      </w:r>
    </w:p>
    <w:p w14:paraId="4C60683D" w14:textId="77777777" w:rsidR="00124958" w:rsidRPr="00152741" w:rsidRDefault="00124958" w:rsidP="00F40E18">
      <w:pPr>
        <w:spacing w:after="240"/>
        <w:ind w:left="2160"/>
      </w:pPr>
      <w:r w:rsidRPr="00152741">
        <w:t>Direct cost = $1,800 x 7</w:t>
      </w:r>
      <w:r w:rsidR="005C36EB" w:rsidRPr="00152741">
        <w:t>3% = $1,314</w:t>
      </w:r>
    </w:p>
    <w:p w14:paraId="298BC95F" w14:textId="3D11362F" w:rsidR="00124958" w:rsidRPr="00152741" w:rsidRDefault="00124958" w:rsidP="00962C66">
      <w:pPr>
        <w:pStyle w:val="ListParagraph"/>
        <w:numPr>
          <w:ilvl w:val="0"/>
          <w:numId w:val="37"/>
        </w:numPr>
        <w:spacing w:after="240"/>
      </w:pPr>
      <w:r w:rsidRPr="00152741">
        <w:t xml:space="preserve">The funds are being used for utilities where direct student services are taking place. This </w:t>
      </w:r>
      <w:r w:rsidR="00021945">
        <w:t>ratio</w:t>
      </w:r>
      <w:r w:rsidRPr="00152741">
        <w:t xml:space="preserve"> will follow the ratio that is used for allocating the rental space.</w:t>
      </w:r>
    </w:p>
    <w:p w14:paraId="72B919D9" w14:textId="2A1886F4" w:rsidR="00124958" w:rsidRPr="00152741" w:rsidRDefault="00124958" w:rsidP="00962C66">
      <w:pPr>
        <w:numPr>
          <w:ilvl w:val="1"/>
          <w:numId w:val="40"/>
        </w:numPr>
        <w:ind w:left="2160"/>
      </w:pPr>
      <w:r w:rsidRPr="00152741">
        <w:t>For example: Utilities = $200/mo.</w:t>
      </w:r>
    </w:p>
    <w:p w14:paraId="42219FF4" w14:textId="77777777" w:rsidR="00124958" w:rsidRPr="00152741" w:rsidRDefault="00124958" w:rsidP="00021945">
      <w:pPr>
        <w:ind w:left="720" w:firstLine="1440"/>
      </w:pPr>
      <w:r w:rsidRPr="00152741">
        <w:t>Admin cost = $200 x 2</w:t>
      </w:r>
      <w:r w:rsidR="005C36EB" w:rsidRPr="00152741">
        <w:t>7</w:t>
      </w:r>
      <w:r w:rsidRPr="00152741">
        <w:t xml:space="preserve">% = </w:t>
      </w:r>
      <w:r w:rsidR="005C36EB" w:rsidRPr="00152741">
        <w:t>$54</w:t>
      </w:r>
    </w:p>
    <w:p w14:paraId="1F0232E0" w14:textId="77777777" w:rsidR="00124958" w:rsidRPr="00152741" w:rsidRDefault="00124958" w:rsidP="00021945">
      <w:pPr>
        <w:spacing w:after="240"/>
        <w:ind w:left="720" w:firstLine="1444"/>
      </w:pPr>
      <w:r w:rsidRPr="00152741">
        <w:lastRenderedPageBreak/>
        <w:t>Direct cost = $200 x 7</w:t>
      </w:r>
      <w:r w:rsidR="005C36EB" w:rsidRPr="00152741">
        <w:t>3% = $146</w:t>
      </w:r>
    </w:p>
    <w:p w14:paraId="660BFAF3" w14:textId="77777777" w:rsidR="00E72ED4" w:rsidRDefault="00E72ED4" w:rsidP="00E72ED4">
      <w:pPr>
        <w:spacing w:before="360" w:after="240"/>
        <w:ind w:left="720"/>
        <w:rPr>
          <w:b/>
        </w:rPr>
      </w:pPr>
      <w:r>
        <w:rPr>
          <w:b/>
        </w:rPr>
        <w:t>Budget Forms</w:t>
      </w:r>
    </w:p>
    <w:p w14:paraId="74A731E9" w14:textId="77777777" w:rsidR="00E72ED4" w:rsidRDefault="00E72ED4" w:rsidP="00E72ED4">
      <w:pPr>
        <w:spacing w:before="240" w:after="240"/>
        <w:ind w:left="720"/>
      </w:pPr>
      <w:r>
        <w:t xml:space="preserve">The Program Budget must be clearly tied to program activities. Expenditure line items and Object Codes used in the budget proposal and subsequent expenditure reports should be consistent with the Standardized Account Code Structure. </w:t>
      </w:r>
    </w:p>
    <w:p w14:paraId="4D32BE97" w14:textId="624C476F" w:rsidR="00E72ED4" w:rsidRDefault="00E72ED4" w:rsidP="00962C66">
      <w:pPr>
        <w:numPr>
          <w:ilvl w:val="0"/>
          <w:numId w:val="43"/>
        </w:numPr>
        <w:tabs>
          <w:tab w:val="clear" w:pos="1440"/>
          <w:tab w:val="num" w:pos="1620"/>
        </w:tabs>
        <w:spacing w:before="240" w:after="240"/>
      </w:pPr>
      <w:r>
        <w:t>Budget Request (Attachment 8)</w:t>
      </w:r>
    </w:p>
    <w:p w14:paraId="2EC685F1" w14:textId="1E30267A" w:rsidR="00E72ED4" w:rsidRDefault="00E72ED4" w:rsidP="00E72ED4">
      <w:pPr>
        <w:spacing w:before="240" w:after="240"/>
        <w:ind w:left="720"/>
      </w:pPr>
      <w:r>
        <w:t xml:space="preserve">The Budget Request (Attachment 8) must provide sufficient information to support the proposed goals, program, and activities. The Budget Request must provide a description of the costs for each line item of expenditure for which grant funding will be allocated. </w:t>
      </w:r>
      <w:r>
        <w:rPr>
          <w:iCs/>
        </w:rPr>
        <w:t xml:space="preserve">For all personnel, </w:t>
      </w:r>
      <w:r w:rsidR="00021945">
        <w:rPr>
          <w:iCs/>
        </w:rPr>
        <w:t>include full</w:t>
      </w:r>
      <w:r w:rsidR="00E01AA5">
        <w:rPr>
          <w:iCs/>
        </w:rPr>
        <w:t xml:space="preserve"> time e</w:t>
      </w:r>
      <w:r w:rsidR="00594D1C">
        <w:rPr>
          <w:iCs/>
        </w:rPr>
        <w:t>q</w:t>
      </w:r>
      <w:r w:rsidR="00E01AA5">
        <w:rPr>
          <w:iCs/>
        </w:rPr>
        <w:t>uivalent</w:t>
      </w:r>
      <w:r>
        <w:rPr>
          <w:iCs/>
        </w:rPr>
        <w:t xml:space="preserve"> value, number of days or percentage of time, and duties/services to be performed.</w:t>
      </w:r>
      <w:r>
        <w:t xml:space="preserve"> For partial salary expenses, indicate the percentage of salary costs charged to the AIEC</w:t>
      </w:r>
      <w:r>
        <w:rPr>
          <w:i/>
          <w:iCs/>
        </w:rPr>
        <w:t xml:space="preserve"> </w:t>
      </w:r>
      <w:r>
        <w:t>Program. For multi-funded positions, justify the percentage charged to the AIEC Program. No position may be funded 100 percent by AIEC Program funding unless the staff member in that position works solely on the AIEC Program. If a position is part-time, please justify that position’s time charged to the AIEC Program grant.</w:t>
      </w:r>
    </w:p>
    <w:p w14:paraId="110D3549" w14:textId="44F81225" w:rsidR="00E72ED4" w:rsidRDefault="00E72ED4" w:rsidP="00E72ED4">
      <w:pPr>
        <w:spacing w:after="240"/>
        <w:ind w:left="720"/>
      </w:pPr>
      <w:r>
        <w:t>The Budget Request (Attachment 8) must provide a breakdown of the expenses for each line item (as shown in the table below), as follows:</w:t>
      </w:r>
    </w:p>
    <w:p w14:paraId="42C1F6FA" w14:textId="77777777" w:rsidR="00E72ED4" w:rsidRDefault="00E72ED4" w:rsidP="00962C66">
      <w:pPr>
        <w:pStyle w:val="ListParagraph"/>
        <w:numPr>
          <w:ilvl w:val="0"/>
          <w:numId w:val="57"/>
        </w:numPr>
        <w:spacing w:before="240" w:after="240"/>
      </w:pPr>
      <w:r>
        <w:t>Name; position; labor cost detail, including percentage for Direct Service and Administrative/Indirect Service, hourly or billing rates for all personnel; and the total number of hours projected for the project.</w:t>
      </w:r>
    </w:p>
    <w:p w14:paraId="262CBD46" w14:textId="77777777" w:rsidR="00E72ED4" w:rsidRDefault="00E72ED4" w:rsidP="00962C66">
      <w:pPr>
        <w:numPr>
          <w:ilvl w:val="1"/>
          <w:numId w:val="44"/>
        </w:numPr>
        <w:spacing w:before="240" w:after="240"/>
        <w:ind w:left="2160"/>
      </w:pPr>
      <w:r>
        <w:t>To be charged as Direct Service, the staff time must be supported by an employee service log that indicates the date, time, and a description of the Direct Service. This log must be kept with the timesheets.</w:t>
      </w:r>
    </w:p>
    <w:p w14:paraId="1D65E1DA" w14:textId="77777777" w:rsidR="00E72ED4" w:rsidRPr="00F40E18" w:rsidRDefault="00E72ED4" w:rsidP="00962C66">
      <w:pPr>
        <w:pStyle w:val="ListParagraph"/>
        <w:numPr>
          <w:ilvl w:val="0"/>
          <w:numId w:val="58"/>
        </w:numPr>
        <w:spacing w:before="240" w:after="240"/>
        <w:rPr>
          <w:b/>
        </w:rPr>
      </w:pPr>
      <w:r>
        <w:t>Vacation hours cannot be accrued from year to year and must be used within the grant year in which it was accumulated.</w:t>
      </w:r>
    </w:p>
    <w:p w14:paraId="68961D3E" w14:textId="2282F6E0" w:rsidR="00E72ED4" w:rsidRDefault="00E72ED4" w:rsidP="00962C66">
      <w:pPr>
        <w:pStyle w:val="ListParagraph"/>
        <w:numPr>
          <w:ilvl w:val="0"/>
          <w:numId w:val="58"/>
        </w:numPr>
        <w:spacing w:before="240" w:after="240" w:line="256" w:lineRule="auto"/>
      </w:pPr>
      <w:r w:rsidRPr="00F40E18">
        <w:rPr>
          <w:rFonts w:eastAsia="Calibri"/>
          <w:bCs w:val="0"/>
          <w:szCs w:val="24"/>
        </w:rPr>
        <w:t xml:space="preserve">Grantees and sub-grantees </w:t>
      </w:r>
      <w:r>
        <w:t>shall be reimbursed for travel and per diem expenses at rates not exceeding those amounts paid to the CDE’s non-represented employees. Grantees with collective bargaining agreements allowing higher rates of reimbursement shall not pay the difference out of the AIEC Program grant funds. The CDE shall notify the grantee of a change in expense rates within 30 calendar days after the CDE has received notification of a change in rates from the State Department of Personnel Administration.</w:t>
      </w:r>
    </w:p>
    <w:p w14:paraId="61ECC470" w14:textId="77777777" w:rsidR="00E72ED4" w:rsidRDefault="00E72ED4" w:rsidP="00962C66">
      <w:pPr>
        <w:pStyle w:val="NoSpacing0"/>
        <w:numPr>
          <w:ilvl w:val="0"/>
          <w:numId w:val="58"/>
        </w:numPr>
        <w:spacing w:before="240" w:after="240"/>
        <w:rPr>
          <w:rFonts w:eastAsia="Calibri"/>
        </w:rPr>
      </w:pPr>
      <w:r>
        <w:rPr>
          <w:rFonts w:eastAsia="Calibri"/>
        </w:rPr>
        <w:lastRenderedPageBreak/>
        <w:t>Lodging, meals, and incidental expenses are allowed while traveling on official state business only when the employee is traveling farther than 50 miles from their home or headquarters, whichever is closer to the temporary work site.</w:t>
      </w:r>
    </w:p>
    <w:p w14:paraId="5338F2A0" w14:textId="77777777" w:rsidR="00E72ED4" w:rsidRDefault="00E72ED4" w:rsidP="00962C66">
      <w:pPr>
        <w:pStyle w:val="NoSpacing0"/>
        <w:numPr>
          <w:ilvl w:val="0"/>
          <w:numId w:val="59"/>
        </w:numPr>
        <w:spacing w:before="240" w:after="240"/>
        <w:ind w:left="2160"/>
        <w:rPr>
          <w:rFonts w:eastAsia="Calibri"/>
        </w:rPr>
      </w:pPr>
      <w:r>
        <w:rPr>
          <w:rFonts w:eastAsia="Calibri"/>
        </w:rPr>
        <w:t>Per diem</w:t>
      </w:r>
    </w:p>
    <w:p w14:paraId="4AC0BA38" w14:textId="77777777" w:rsidR="00E72ED4" w:rsidRDefault="00E72ED4" w:rsidP="00962C66">
      <w:pPr>
        <w:pStyle w:val="NoSpacing0"/>
        <w:numPr>
          <w:ilvl w:val="0"/>
          <w:numId w:val="59"/>
        </w:numPr>
        <w:spacing w:before="240" w:after="240"/>
        <w:ind w:left="2160"/>
        <w:rPr>
          <w:rFonts w:eastAsia="Calibri"/>
        </w:rPr>
      </w:pPr>
      <w:r>
        <w:rPr>
          <w:rFonts w:eastAsia="Calibri"/>
        </w:rPr>
        <w:t>Breakfast $13</w:t>
      </w:r>
    </w:p>
    <w:p w14:paraId="5EB4C4DE" w14:textId="77777777" w:rsidR="00E72ED4" w:rsidRDefault="00E72ED4" w:rsidP="00962C66">
      <w:pPr>
        <w:pStyle w:val="NoSpacing0"/>
        <w:numPr>
          <w:ilvl w:val="0"/>
          <w:numId w:val="59"/>
        </w:numPr>
        <w:spacing w:before="240" w:after="240"/>
        <w:ind w:left="2160"/>
        <w:rPr>
          <w:rFonts w:eastAsia="Calibri"/>
        </w:rPr>
      </w:pPr>
      <w:r>
        <w:rPr>
          <w:rFonts w:eastAsia="Calibri"/>
        </w:rPr>
        <w:t>Lunch $15</w:t>
      </w:r>
    </w:p>
    <w:p w14:paraId="57F16046" w14:textId="77777777" w:rsidR="00E72ED4" w:rsidRDefault="00E72ED4" w:rsidP="00962C66">
      <w:pPr>
        <w:pStyle w:val="NoSpacing0"/>
        <w:numPr>
          <w:ilvl w:val="0"/>
          <w:numId w:val="59"/>
        </w:numPr>
        <w:spacing w:before="240" w:after="240"/>
        <w:ind w:left="2160"/>
        <w:rPr>
          <w:rFonts w:eastAsia="Calibri"/>
        </w:rPr>
      </w:pPr>
      <w:r>
        <w:rPr>
          <w:rFonts w:eastAsia="Calibri"/>
        </w:rPr>
        <w:t>Dinner $26</w:t>
      </w:r>
    </w:p>
    <w:p w14:paraId="62073F49" w14:textId="77777777" w:rsidR="00E72ED4" w:rsidRDefault="00E72ED4" w:rsidP="00962C66">
      <w:pPr>
        <w:pStyle w:val="NoSpacing0"/>
        <w:numPr>
          <w:ilvl w:val="0"/>
          <w:numId w:val="59"/>
        </w:numPr>
        <w:spacing w:before="240" w:after="240"/>
        <w:ind w:left="2160"/>
        <w:rPr>
          <w:rFonts w:eastAsia="Calibri"/>
        </w:rPr>
      </w:pPr>
      <w:r>
        <w:rPr>
          <w:rFonts w:eastAsia="Calibri"/>
        </w:rPr>
        <w:t>Incidentals $5 (can be claimed only after a 24-hour travel period)</w:t>
      </w:r>
    </w:p>
    <w:p w14:paraId="4B13B5E6" w14:textId="77777777" w:rsidR="00E72ED4" w:rsidRDefault="00E72ED4" w:rsidP="00E72ED4">
      <w:pPr>
        <w:spacing w:before="240" w:after="240" w:line="256" w:lineRule="auto"/>
        <w:ind w:left="2520"/>
        <w:rPr>
          <w:rFonts w:eastAsia="Calibri"/>
          <w:bCs w:val="0"/>
          <w:szCs w:val="24"/>
        </w:rPr>
      </w:pPr>
      <w:r>
        <w:rPr>
          <w:rFonts w:eastAsia="Calibri"/>
          <w:bCs w:val="0"/>
          <w:szCs w:val="24"/>
        </w:rPr>
        <w:t>May not claim meals when meals are included in the hotel expenses or conference fees.</w:t>
      </w:r>
    </w:p>
    <w:p w14:paraId="4E36255A" w14:textId="77777777" w:rsidR="00E72ED4" w:rsidRDefault="00E72ED4" w:rsidP="00962C66">
      <w:pPr>
        <w:pStyle w:val="ListParagraph"/>
        <w:numPr>
          <w:ilvl w:val="0"/>
          <w:numId w:val="45"/>
        </w:numPr>
        <w:spacing w:before="240" w:after="240" w:line="256" w:lineRule="auto"/>
        <w:ind w:left="1440"/>
        <w:rPr>
          <w:rFonts w:eastAsia="Calibri"/>
          <w:bCs w:val="0"/>
          <w:szCs w:val="24"/>
        </w:rPr>
      </w:pPr>
      <w:r>
        <w:rPr>
          <w:rFonts w:eastAsia="Calibri"/>
          <w:bCs w:val="0"/>
          <w:szCs w:val="24"/>
        </w:rPr>
        <w:t>Incidentals may not be reimbursed to students.</w:t>
      </w:r>
    </w:p>
    <w:p w14:paraId="0E43BDA6" w14:textId="77777777" w:rsidR="00E72ED4" w:rsidRDefault="00E72ED4" w:rsidP="00962C66">
      <w:pPr>
        <w:pStyle w:val="ListParagraph"/>
        <w:numPr>
          <w:ilvl w:val="0"/>
          <w:numId w:val="45"/>
        </w:numPr>
        <w:spacing w:before="240" w:after="240"/>
        <w:ind w:left="1440"/>
        <w:outlineLvl w:val="5"/>
        <w:rPr>
          <w:b/>
          <w:color w:val="000000"/>
          <w:szCs w:val="24"/>
        </w:rPr>
      </w:pPr>
      <w:r>
        <w:rPr>
          <w:b/>
          <w:color w:val="000000"/>
          <w:szCs w:val="24"/>
        </w:rPr>
        <w:t>Partial Days (Less than 24 Hours)</w:t>
      </w:r>
    </w:p>
    <w:tbl>
      <w:tblPr>
        <w:tblW w:w="4330" w:type="pct"/>
        <w:tblCellSpacing w:w="15" w:type="dxa"/>
        <w:tblInd w:w="12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This table lists the reimbursement rates for partial day (less than 24 hours) of travel."/>
      </w:tblPr>
      <w:tblGrid>
        <w:gridCol w:w="1923"/>
        <w:gridCol w:w="1905"/>
        <w:gridCol w:w="4264"/>
      </w:tblGrid>
      <w:tr w:rsidR="00E72ED4" w14:paraId="2DA347D7" w14:textId="77777777" w:rsidTr="00C9255D">
        <w:trPr>
          <w:cantSplit/>
          <w:tblHeader/>
          <w:tblCellSpacing w:w="15" w:type="dxa"/>
        </w:trPr>
        <w:tc>
          <w:tcPr>
            <w:tcW w:w="1160" w:type="pct"/>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57CF3583" w14:textId="77777777" w:rsidR="00E72ED4" w:rsidRDefault="00E72ED4">
            <w:pPr>
              <w:spacing w:before="100" w:beforeAutospacing="1" w:after="100" w:afterAutospacing="1"/>
              <w:jc w:val="center"/>
              <w:rPr>
                <w:b/>
                <w:color w:val="FFFFFF"/>
                <w:szCs w:val="24"/>
              </w:rPr>
            </w:pPr>
            <w:r>
              <w:rPr>
                <w:b/>
                <w:color w:val="FFFFFF"/>
                <w:szCs w:val="24"/>
              </w:rPr>
              <w:t>Begins At</w:t>
            </w:r>
            <w:r>
              <w:rPr>
                <w:b/>
                <w:color w:val="FFFFFF"/>
                <w:szCs w:val="24"/>
              </w:rPr>
              <w:br/>
              <w:t>or Before</w:t>
            </w:r>
          </w:p>
        </w:tc>
        <w:tc>
          <w:tcPr>
            <w:tcW w:w="1159" w:type="pct"/>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4344C2DF" w14:textId="77777777" w:rsidR="00E72ED4" w:rsidRDefault="00E72ED4">
            <w:pPr>
              <w:spacing w:before="100" w:beforeAutospacing="1" w:after="100" w:afterAutospacing="1"/>
              <w:jc w:val="center"/>
              <w:rPr>
                <w:b/>
                <w:color w:val="FFFFFF"/>
                <w:szCs w:val="24"/>
              </w:rPr>
            </w:pPr>
            <w:r>
              <w:rPr>
                <w:b/>
                <w:color w:val="FFFFFF"/>
                <w:szCs w:val="24"/>
              </w:rPr>
              <w:t>Ends At</w:t>
            </w:r>
            <w:r>
              <w:rPr>
                <w:b/>
                <w:color w:val="FFFFFF"/>
                <w:szCs w:val="24"/>
              </w:rPr>
              <w:br/>
              <w:t>or After</w:t>
            </w:r>
          </w:p>
        </w:tc>
        <w:tc>
          <w:tcPr>
            <w:tcW w:w="2607" w:type="pct"/>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3FF4CE83" w14:textId="77777777" w:rsidR="00E72ED4" w:rsidRDefault="00E72ED4">
            <w:pPr>
              <w:jc w:val="center"/>
              <w:rPr>
                <w:b/>
                <w:color w:val="FFFFFF"/>
                <w:szCs w:val="24"/>
              </w:rPr>
            </w:pPr>
            <w:r>
              <w:rPr>
                <w:b/>
                <w:color w:val="FFFFFF"/>
                <w:szCs w:val="24"/>
              </w:rPr>
              <w:t>Effective January 1, 2024: Reimbursement Rate for Actual Expense</w:t>
            </w:r>
          </w:p>
        </w:tc>
      </w:tr>
      <w:tr w:rsidR="00E72ED4" w14:paraId="7CC43C24" w14:textId="77777777" w:rsidTr="00C9255D">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07CB2F" w14:textId="77777777" w:rsidR="00E72ED4" w:rsidRDefault="00E72ED4">
            <w:pPr>
              <w:spacing w:before="100" w:beforeAutospacing="1" w:after="100" w:afterAutospacing="1"/>
              <w:jc w:val="center"/>
              <w:rPr>
                <w:bCs w:val="0"/>
                <w:szCs w:val="24"/>
              </w:rPr>
            </w:pPr>
            <w:r>
              <w:rPr>
                <w:bCs w:val="0"/>
                <w:szCs w:val="24"/>
              </w:rPr>
              <w:t>6:00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AC03E" w14:textId="77777777" w:rsidR="00E72ED4" w:rsidRDefault="00E72ED4">
            <w:pPr>
              <w:spacing w:before="100" w:beforeAutospacing="1" w:after="100" w:afterAutospacing="1"/>
              <w:jc w:val="center"/>
              <w:rPr>
                <w:bCs w:val="0"/>
                <w:szCs w:val="24"/>
              </w:rPr>
            </w:pPr>
            <w:r>
              <w:rPr>
                <w:bCs w:val="0"/>
                <w:szCs w:val="24"/>
              </w:rPr>
              <w:t>9:00 a.m.</w:t>
            </w:r>
          </w:p>
        </w:tc>
        <w:tc>
          <w:tcPr>
            <w:tcW w:w="2607" w:type="pct"/>
            <w:tcBorders>
              <w:top w:val="outset" w:sz="6" w:space="0" w:color="auto"/>
              <w:left w:val="outset" w:sz="6" w:space="0" w:color="auto"/>
              <w:bottom w:val="outset" w:sz="6" w:space="0" w:color="auto"/>
              <w:right w:val="outset" w:sz="6" w:space="0" w:color="auto"/>
            </w:tcBorders>
            <w:noWrap/>
            <w:vAlign w:val="center"/>
            <w:hideMark/>
          </w:tcPr>
          <w:p w14:paraId="717DA8DE" w14:textId="77777777" w:rsidR="00E72ED4" w:rsidRDefault="00E72ED4">
            <w:pPr>
              <w:jc w:val="center"/>
              <w:rPr>
                <w:bCs w:val="0"/>
                <w:szCs w:val="24"/>
              </w:rPr>
            </w:pPr>
            <w:r>
              <w:rPr>
                <w:bCs w:val="0"/>
                <w:szCs w:val="24"/>
              </w:rPr>
              <w:t>Breakfast $13.00</w:t>
            </w:r>
          </w:p>
        </w:tc>
      </w:tr>
      <w:tr w:rsidR="00E72ED4" w14:paraId="0FBE0FBC" w14:textId="77777777" w:rsidTr="00C9255D">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442CCA" w14:textId="77777777" w:rsidR="00E72ED4" w:rsidRDefault="00E72ED4">
            <w:pPr>
              <w:spacing w:before="100" w:beforeAutospacing="1" w:after="100" w:afterAutospacing="1"/>
              <w:jc w:val="center"/>
              <w:rPr>
                <w:bCs w:val="0"/>
                <w:szCs w:val="24"/>
              </w:rPr>
            </w:pPr>
            <w:r>
              <w:rPr>
                <w:bCs w:val="0"/>
                <w:szCs w:val="24"/>
              </w:rPr>
              <w:t>4:00 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6F0AA" w14:textId="77777777" w:rsidR="00E72ED4" w:rsidRDefault="00E72ED4">
            <w:pPr>
              <w:spacing w:before="100" w:beforeAutospacing="1" w:after="100" w:afterAutospacing="1"/>
              <w:jc w:val="center"/>
              <w:rPr>
                <w:bCs w:val="0"/>
                <w:szCs w:val="24"/>
              </w:rPr>
            </w:pPr>
            <w:r>
              <w:rPr>
                <w:bCs w:val="0"/>
                <w:szCs w:val="24"/>
              </w:rPr>
              <w:t>7:00 p.m.</w:t>
            </w:r>
          </w:p>
        </w:tc>
        <w:tc>
          <w:tcPr>
            <w:tcW w:w="2607" w:type="pct"/>
            <w:tcBorders>
              <w:top w:val="outset" w:sz="6" w:space="0" w:color="auto"/>
              <w:left w:val="outset" w:sz="6" w:space="0" w:color="auto"/>
              <w:bottom w:val="outset" w:sz="6" w:space="0" w:color="auto"/>
              <w:right w:val="outset" w:sz="6" w:space="0" w:color="auto"/>
            </w:tcBorders>
            <w:noWrap/>
            <w:vAlign w:val="center"/>
            <w:hideMark/>
          </w:tcPr>
          <w:p w14:paraId="7EFB74D5" w14:textId="77777777" w:rsidR="00E72ED4" w:rsidRDefault="00E72ED4">
            <w:pPr>
              <w:jc w:val="center"/>
              <w:rPr>
                <w:bCs w:val="0"/>
                <w:szCs w:val="24"/>
              </w:rPr>
            </w:pPr>
            <w:r>
              <w:rPr>
                <w:bCs w:val="0"/>
                <w:szCs w:val="24"/>
              </w:rPr>
              <w:t>Dinner $26.00</w:t>
            </w:r>
          </w:p>
        </w:tc>
      </w:tr>
    </w:tbl>
    <w:p w14:paraId="096E589F" w14:textId="77777777" w:rsidR="00E72ED4" w:rsidRDefault="00E72ED4" w:rsidP="00962C66">
      <w:pPr>
        <w:pStyle w:val="ListParagraph"/>
        <w:numPr>
          <w:ilvl w:val="0"/>
          <w:numId w:val="46"/>
        </w:numPr>
        <w:spacing w:before="240" w:after="240"/>
        <w:ind w:left="1440"/>
        <w:outlineLvl w:val="5"/>
        <w:rPr>
          <w:b/>
          <w:color w:val="000000"/>
          <w:szCs w:val="24"/>
        </w:rPr>
      </w:pPr>
      <w:r>
        <w:rPr>
          <w:b/>
          <w:color w:val="000000"/>
          <w:szCs w:val="24"/>
        </w:rPr>
        <w:t>Full Days (More than 24 Hours)</w:t>
      </w:r>
    </w:p>
    <w:tbl>
      <w:tblPr>
        <w:tblW w:w="4357" w:type="pct"/>
        <w:tblCellSpacing w:w="15" w:type="dxa"/>
        <w:tblInd w:w="12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This table lists the reimbursement rates for full days of travel."/>
      </w:tblPr>
      <w:tblGrid>
        <w:gridCol w:w="2042"/>
        <w:gridCol w:w="1917"/>
        <w:gridCol w:w="4183"/>
      </w:tblGrid>
      <w:tr w:rsidR="00E72ED4" w14:paraId="07752B22" w14:textId="77777777" w:rsidTr="00243043">
        <w:trPr>
          <w:cantSplit/>
          <w:tblHeader/>
          <w:tblCellSpacing w:w="15" w:type="dxa"/>
        </w:trPr>
        <w:tc>
          <w:tcPr>
            <w:tcW w:w="1226" w:type="pct"/>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694A7D83" w14:textId="77777777" w:rsidR="00E72ED4" w:rsidRDefault="00E72ED4">
            <w:pPr>
              <w:spacing w:before="100" w:beforeAutospacing="1" w:after="100" w:afterAutospacing="1"/>
              <w:jc w:val="center"/>
              <w:rPr>
                <w:b/>
                <w:color w:val="FFFFFF"/>
                <w:szCs w:val="24"/>
              </w:rPr>
            </w:pPr>
            <w:r>
              <w:rPr>
                <w:b/>
                <w:color w:val="FFFFFF"/>
                <w:szCs w:val="24"/>
              </w:rPr>
              <w:t>Begins At</w:t>
            </w:r>
            <w:r>
              <w:rPr>
                <w:b/>
                <w:color w:val="FFFFFF"/>
                <w:szCs w:val="24"/>
              </w:rPr>
              <w:br/>
              <w:t>or Before</w:t>
            </w:r>
          </w:p>
        </w:tc>
        <w:tc>
          <w:tcPr>
            <w:tcW w:w="1159" w:type="pct"/>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69BDFBCE" w14:textId="77777777" w:rsidR="00E72ED4" w:rsidRDefault="00E72ED4">
            <w:pPr>
              <w:spacing w:before="100" w:beforeAutospacing="1" w:after="100" w:afterAutospacing="1"/>
              <w:jc w:val="center"/>
              <w:rPr>
                <w:b/>
                <w:color w:val="FFFFFF"/>
                <w:szCs w:val="24"/>
              </w:rPr>
            </w:pPr>
            <w:r>
              <w:rPr>
                <w:b/>
                <w:color w:val="FFFFFF"/>
                <w:szCs w:val="24"/>
              </w:rPr>
              <w:t>Ends At</w:t>
            </w:r>
            <w:r>
              <w:rPr>
                <w:b/>
                <w:color w:val="FFFFFF"/>
                <w:szCs w:val="24"/>
              </w:rPr>
              <w:br/>
              <w:t>or After</w:t>
            </w:r>
          </w:p>
        </w:tc>
        <w:tc>
          <w:tcPr>
            <w:tcW w:w="2541" w:type="pct"/>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3871F949" w14:textId="77777777" w:rsidR="00E72ED4" w:rsidRDefault="00E72ED4">
            <w:pPr>
              <w:jc w:val="center"/>
              <w:rPr>
                <w:b/>
                <w:color w:val="FFFFFF"/>
                <w:szCs w:val="24"/>
              </w:rPr>
            </w:pPr>
            <w:r>
              <w:rPr>
                <w:b/>
                <w:color w:val="FFFFFF"/>
                <w:szCs w:val="24"/>
              </w:rPr>
              <w:t>Effective January 1, 2024: Reimbursement Rate for Actual Expense</w:t>
            </w:r>
          </w:p>
        </w:tc>
      </w:tr>
      <w:tr w:rsidR="00E72ED4" w14:paraId="1F67E72E" w14:textId="77777777" w:rsidTr="00243043">
        <w:trPr>
          <w:cantSplit/>
          <w:tblCellSpacing w:w="15" w:type="dxa"/>
        </w:trPr>
        <w:tc>
          <w:tcPr>
            <w:tcW w:w="1226" w:type="pct"/>
            <w:tcBorders>
              <w:top w:val="outset" w:sz="6" w:space="0" w:color="auto"/>
              <w:left w:val="outset" w:sz="6" w:space="0" w:color="auto"/>
              <w:bottom w:val="outset" w:sz="6" w:space="0" w:color="auto"/>
              <w:right w:val="outset" w:sz="6" w:space="0" w:color="auto"/>
            </w:tcBorders>
            <w:vAlign w:val="center"/>
            <w:hideMark/>
          </w:tcPr>
          <w:p w14:paraId="35046103" w14:textId="77777777" w:rsidR="00E72ED4" w:rsidRDefault="00E72ED4">
            <w:pPr>
              <w:spacing w:before="100" w:beforeAutospacing="1" w:after="100" w:afterAutospacing="1"/>
              <w:jc w:val="center"/>
              <w:rPr>
                <w:bCs w:val="0"/>
                <w:szCs w:val="24"/>
              </w:rPr>
            </w:pPr>
            <w:r>
              <w:rPr>
                <w:bCs w:val="0"/>
                <w:szCs w:val="24"/>
              </w:rPr>
              <w:t>6:00 a.m.</w:t>
            </w:r>
          </w:p>
        </w:tc>
        <w:tc>
          <w:tcPr>
            <w:tcW w:w="1159" w:type="pct"/>
            <w:tcBorders>
              <w:top w:val="outset" w:sz="6" w:space="0" w:color="auto"/>
              <w:left w:val="outset" w:sz="6" w:space="0" w:color="auto"/>
              <w:bottom w:val="outset" w:sz="6" w:space="0" w:color="auto"/>
              <w:right w:val="outset" w:sz="6" w:space="0" w:color="auto"/>
            </w:tcBorders>
            <w:vAlign w:val="center"/>
            <w:hideMark/>
          </w:tcPr>
          <w:p w14:paraId="040A89A2" w14:textId="77777777" w:rsidR="00E72ED4" w:rsidRDefault="00E72ED4">
            <w:pPr>
              <w:spacing w:before="100" w:beforeAutospacing="1" w:after="100" w:afterAutospacing="1"/>
              <w:jc w:val="center"/>
              <w:rPr>
                <w:bCs w:val="0"/>
                <w:szCs w:val="24"/>
              </w:rPr>
            </w:pPr>
            <w:r>
              <w:rPr>
                <w:bCs w:val="0"/>
                <w:szCs w:val="24"/>
              </w:rPr>
              <w:t>8:00 a.m.</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34EC1A7" w14:textId="77777777" w:rsidR="00E72ED4" w:rsidRDefault="00E72ED4">
            <w:pPr>
              <w:jc w:val="center"/>
              <w:rPr>
                <w:bCs w:val="0"/>
                <w:szCs w:val="24"/>
              </w:rPr>
            </w:pPr>
            <w:r>
              <w:rPr>
                <w:bCs w:val="0"/>
                <w:szCs w:val="24"/>
              </w:rPr>
              <w:t>Breakfast $13.00</w:t>
            </w:r>
          </w:p>
        </w:tc>
      </w:tr>
      <w:tr w:rsidR="00E72ED4" w14:paraId="0541BFBF" w14:textId="77777777" w:rsidTr="00243043">
        <w:trPr>
          <w:cantSplit/>
          <w:tblCellSpacing w:w="15" w:type="dxa"/>
        </w:trPr>
        <w:tc>
          <w:tcPr>
            <w:tcW w:w="1226" w:type="pct"/>
            <w:tcBorders>
              <w:top w:val="outset" w:sz="6" w:space="0" w:color="auto"/>
              <w:left w:val="outset" w:sz="6" w:space="0" w:color="auto"/>
              <w:bottom w:val="outset" w:sz="6" w:space="0" w:color="auto"/>
              <w:right w:val="outset" w:sz="6" w:space="0" w:color="auto"/>
            </w:tcBorders>
            <w:vAlign w:val="center"/>
            <w:hideMark/>
          </w:tcPr>
          <w:p w14:paraId="701C9C6F" w14:textId="77777777" w:rsidR="00E72ED4" w:rsidRDefault="00E72ED4">
            <w:pPr>
              <w:spacing w:before="100" w:beforeAutospacing="1" w:after="100" w:afterAutospacing="1"/>
              <w:jc w:val="center"/>
              <w:rPr>
                <w:bCs w:val="0"/>
                <w:szCs w:val="24"/>
              </w:rPr>
            </w:pPr>
            <w:r>
              <w:rPr>
                <w:bCs w:val="0"/>
                <w:szCs w:val="24"/>
              </w:rPr>
              <w:t>11:00 a.m.</w:t>
            </w:r>
          </w:p>
        </w:tc>
        <w:tc>
          <w:tcPr>
            <w:tcW w:w="1159" w:type="pct"/>
            <w:tcBorders>
              <w:top w:val="outset" w:sz="6" w:space="0" w:color="auto"/>
              <w:left w:val="outset" w:sz="6" w:space="0" w:color="auto"/>
              <w:bottom w:val="outset" w:sz="6" w:space="0" w:color="auto"/>
              <w:right w:val="outset" w:sz="6" w:space="0" w:color="auto"/>
            </w:tcBorders>
            <w:vAlign w:val="center"/>
            <w:hideMark/>
          </w:tcPr>
          <w:p w14:paraId="14AA4E88" w14:textId="77777777" w:rsidR="00E72ED4" w:rsidRDefault="00E72ED4">
            <w:pPr>
              <w:spacing w:before="100" w:beforeAutospacing="1" w:after="100" w:afterAutospacing="1"/>
              <w:jc w:val="center"/>
              <w:rPr>
                <w:bCs w:val="0"/>
                <w:szCs w:val="24"/>
              </w:rPr>
            </w:pPr>
            <w:r>
              <w:rPr>
                <w:bCs w:val="0"/>
                <w:szCs w:val="24"/>
              </w:rPr>
              <w:t>2:00 p.m.</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9362CA" w14:textId="77777777" w:rsidR="00E72ED4" w:rsidRDefault="00E72ED4">
            <w:pPr>
              <w:jc w:val="center"/>
              <w:rPr>
                <w:bCs w:val="0"/>
                <w:szCs w:val="24"/>
              </w:rPr>
            </w:pPr>
            <w:r>
              <w:rPr>
                <w:bCs w:val="0"/>
                <w:szCs w:val="24"/>
              </w:rPr>
              <w:t>Lunch $15.00</w:t>
            </w:r>
          </w:p>
        </w:tc>
      </w:tr>
      <w:tr w:rsidR="00E72ED4" w14:paraId="38CBA656" w14:textId="77777777" w:rsidTr="00243043">
        <w:trPr>
          <w:cantSplit/>
          <w:tblCellSpacing w:w="15" w:type="dxa"/>
        </w:trPr>
        <w:tc>
          <w:tcPr>
            <w:tcW w:w="1226" w:type="pct"/>
            <w:tcBorders>
              <w:top w:val="outset" w:sz="6" w:space="0" w:color="auto"/>
              <w:left w:val="outset" w:sz="6" w:space="0" w:color="auto"/>
              <w:bottom w:val="outset" w:sz="6" w:space="0" w:color="auto"/>
              <w:right w:val="outset" w:sz="6" w:space="0" w:color="auto"/>
            </w:tcBorders>
            <w:vAlign w:val="center"/>
            <w:hideMark/>
          </w:tcPr>
          <w:p w14:paraId="4665A621" w14:textId="77777777" w:rsidR="00E72ED4" w:rsidRDefault="00E72ED4">
            <w:pPr>
              <w:spacing w:before="100" w:beforeAutospacing="1" w:after="100" w:afterAutospacing="1"/>
              <w:jc w:val="center"/>
              <w:rPr>
                <w:bCs w:val="0"/>
                <w:szCs w:val="24"/>
              </w:rPr>
            </w:pPr>
            <w:r>
              <w:rPr>
                <w:bCs w:val="0"/>
                <w:szCs w:val="24"/>
              </w:rPr>
              <w:t>5:00 p.m.</w:t>
            </w:r>
          </w:p>
        </w:tc>
        <w:tc>
          <w:tcPr>
            <w:tcW w:w="1159" w:type="pct"/>
            <w:tcBorders>
              <w:top w:val="outset" w:sz="6" w:space="0" w:color="auto"/>
              <w:left w:val="outset" w:sz="6" w:space="0" w:color="auto"/>
              <w:bottom w:val="outset" w:sz="6" w:space="0" w:color="auto"/>
              <w:right w:val="outset" w:sz="6" w:space="0" w:color="auto"/>
            </w:tcBorders>
            <w:vAlign w:val="center"/>
            <w:hideMark/>
          </w:tcPr>
          <w:p w14:paraId="44A30C1E" w14:textId="77777777" w:rsidR="00E72ED4" w:rsidRDefault="00E72ED4">
            <w:pPr>
              <w:spacing w:before="100" w:beforeAutospacing="1" w:after="100" w:afterAutospacing="1"/>
              <w:jc w:val="center"/>
              <w:rPr>
                <w:bCs w:val="0"/>
                <w:szCs w:val="24"/>
              </w:rPr>
            </w:pPr>
            <w:r>
              <w:rPr>
                <w:bCs w:val="0"/>
                <w:szCs w:val="24"/>
              </w:rPr>
              <w:t>7:00 p.m.</w:t>
            </w:r>
          </w:p>
        </w:tc>
        <w:tc>
          <w:tcPr>
            <w:tcW w:w="2541" w:type="pct"/>
            <w:tcBorders>
              <w:top w:val="outset" w:sz="6" w:space="0" w:color="auto"/>
              <w:left w:val="outset" w:sz="6" w:space="0" w:color="auto"/>
              <w:bottom w:val="outset" w:sz="6" w:space="0" w:color="auto"/>
              <w:right w:val="outset" w:sz="6" w:space="0" w:color="auto"/>
            </w:tcBorders>
            <w:noWrap/>
            <w:vAlign w:val="center"/>
            <w:hideMark/>
          </w:tcPr>
          <w:p w14:paraId="3E14A35B" w14:textId="77777777" w:rsidR="00E72ED4" w:rsidRDefault="00E72ED4">
            <w:pPr>
              <w:jc w:val="center"/>
              <w:rPr>
                <w:bCs w:val="0"/>
                <w:szCs w:val="24"/>
              </w:rPr>
            </w:pPr>
            <w:r>
              <w:rPr>
                <w:bCs w:val="0"/>
                <w:szCs w:val="24"/>
              </w:rPr>
              <w:t>Dinner $26.00</w:t>
            </w:r>
          </w:p>
        </w:tc>
      </w:tr>
      <w:tr w:rsidR="00E72ED4" w14:paraId="440B71AF" w14:textId="77777777" w:rsidTr="00243043">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907A2" w14:textId="77777777" w:rsidR="00E72ED4" w:rsidRDefault="00E72ED4">
            <w:pPr>
              <w:jc w:val="center"/>
              <w:rPr>
                <w:bCs w:val="0"/>
                <w:szCs w:val="24"/>
              </w:rPr>
            </w:pPr>
            <w:r>
              <w:rPr>
                <w:bCs w:val="0"/>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6BC41" w14:textId="77777777" w:rsidR="00E72ED4" w:rsidRDefault="00E72ED4">
            <w:pPr>
              <w:jc w:val="center"/>
              <w:rPr>
                <w:bCs w:val="0"/>
                <w:szCs w:val="24"/>
              </w:rPr>
            </w:pPr>
            <w:r>
              <w:rPr>
                <w:bCs w:val="0"/>
                <w:szCs w:val="24"/>
              </w:rPr>
              <w:t>After the first 24 hours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50BA64" w14:textId="77777777" w:rsidR="00E72ED4" w:rsidRDefault="00E72ED4">
            <w:pPr>
              <w:jc w:val="center"/>
              <w:rPr>
                <w:bCs w:val="0"/>
                <w:szCs w:val="24"/>
              </w:rPr>
            </w:pPr>
            <w:r>
              <w:rPr>
                <w:bCs w:val="0"/>
                <w:szCs w:val="24"/>
              </w:rPr>
              <w:t>Incidentals $5.00</w:t>
            </w:r>
          </w:p>
        </w:tc>
      </w:tr>
    </w:tbl>
    <w:p w14:paraId="06151ADF" w14:textId="488CA6F2" w:rsidR="00E72ED4" w:rsidRDefault="00E72ED4" w:rsidP="00962C66">
      <w:pPr>
        <w:pStyle w:val="ListParagraph"/>
        <w:numPr>
          <w:ilvl w:val="0"/>
          <w:numId w:val="46"/>
        </w:numPr>
        <w:spacing w:before="360" w:after="240" w:line="256" w:lineRule="auto"/>
        <w:ind w:left="1440"/>
        <w:rPr>
          <w:rFonts w:eastAsia="Calibri"/>
          <w:bCs w:val="0"/>
          <w:szCs w:val="24"/>
        </w:rPr>
      </w:pPr>
      <w:r>
        <w:rPr>
          <w:rFonts w:eastAsia="Calibri"/>
          <w:bCs w:val="0"/>
          <w:szCs w:val="24"/>
        </w:rPr>
        <w:t xml:space="preserve">When </w:t>
      </w:r>
      <w:r w:rsidR="00627D79">
        <w:rPr>
          <w:rFonts w:eastAsia="Calibri"/>
          <w:bCs w:val="0"/>
          <w:szCs w:val="24"/>
        </w:rPr>
        <w:t>travelling for</w:t>
      </w:r>
      <w:r>
        <w:rPr>
          <w:rFonts w:eastAsia="Calibri"/>
          <w:bCs w:val="0"/>
          <w:szCs w:val="24"/>
        </w:rPr>
        <w:t xml:space="preserve"> fewer than 24 hours, lunch can never be claimed.</w:t>
      </w:r>
    </w:p>
    <w:p w14:paraId="72B49DBF" w14:textId="77777777" w:rsidR="00E72ED4" w:rsidRDefault="00E72ED4" w:rsidP="00962C66">
      <w:pPr>
        <w:pStyle w:val="ListParagraph"/>
        <w:numPr>
          <w:ilvl w:val="0"/>
          <w:numId w:val="47"/>
        </w:numPr>
        <w:spacing w:before="240" w:after="240" w:line="256" w:lineRule="auto"/>
        <w:ind w:left="1440"/>
        <w:rPr>
          <w:rFonts w:eastAsia="Calibri"/>
          <w:bCs w:val="0"/>
          <w:szCs w:val="24"/>
        </w:rPr>
      </w:pPr>
      <w:r>
        <w:rPr>
          <w:rFonts w:eastAsia="Calibri"/>
          <w:bCs w:val="0"/>
          <w:szCs w:val="24"/>
        </w:rPr>
        <w:t>Personal Vehicle Mileage $0.67/mile</w:t>
      </w:r>
    </w:p>
    <w:p w14:paraId="1614A632" w14:textId="77777777" w:rsidR="00E72ED4" w:rsidRDefault="00E72ED4" w:rsidP="00962C66">
      <w:pPr>
        <w:pStyle w:val="ListParagraph"/>
        <w:numPr>
          <w:ilvl w:val="0"/>
          <w:numId w:val="48"/>
        </w:numPr>
        <w:spacing w:before="240" w:after="240" w:line="256" w:lineRule="auto"/>
        <w:rPr>
          <w:rFonts w:eastAsia="Calibri"/>
          <w:bCs w:val="0"/>
          <w:szCs w:val="24"/>
        </w:rPr>
      </w:pPr>
      <w:r>
        <w:rPr>
          <w:rFonts w:eastAsia="Calibri"/>
          <w:bCs w:val="0"/>
          <w:szCs w:val="24"/>
        </w:rPr>
        <w:lastRenderedPageBreak/>
        <w:t>Verification of mileage must be kept with the reimbursement.</w:t>
      </w:r>
    </w:p>
    <w:p w14:paraId="31387EBE" w14:textId="77777777" w:rsidR="00E72ED4" w:rsidRDefault="00E72ED4" w:rsidP="00962C66">
      <w:pPr>
        <w:pStyle w:val="ListParagraph"/>
        <w:numPr>
          <w:ilvl w:val="0"/>
          <w:numId w:val="48"/>
        </w:numPr>
        <w:spacing w:before="240" w:after="240" w:line="256" w:lineRule="auto"/>
        <w:ind w:left="1800"/>
        <w:rPr>
          <w:rFonts w:eastAsia="Calibri"/>
          <w:bCs w:val="0"/>
          <w:szCs w:val="24"/>
        </w:rPr>
      </w:pPr>
      <w:r>
        <w:rPr>
          <w:rFonts w:eastAsia="Calibri"/>
          <w:bCs w:val="0"/>
          <w:szCs w:val="24"/>
        </w:rPr>
        <w:t>Mileage reimbursement documents must include a flyer/purpose and sign-in sheets.</w:t>
      </w:r>
    </w:p>
    <w:p w14:paraId="5F6309CD" w14:textId="77777777" w:rsidR="00E72ED4" w:rsidRDefault="00E72ED4" w:rsidP="00962C66">
      <w:pPr>
        <w:pStyle w:val="ListParagraph"/>
        <w:numPr>
          <w:ilvl w:val="0"/>
          <w:numId w:val="49"/>
        </w:numPr>
        <w:spacing w:before="240" w:after="240" w:line="256" w:lineRule="auto"/>
        <w:ind w:left="1440" w:right="-187"/>
        <w:rPr>
          <w:bCs w:val="0"/>
          <w:szCs w:val="24"/>
        </w:rPr>
      </w:pPr>
      <w:r>
        <w:rPr>
          <w:rFonts w:eastAsia="Calibri"/>
          <w:bCs w:val="0"/>
          <w:szCs w:val="24"/>
        </w:rPr>
        <w:t>Lodging reimbursement (</w:t>
      </w:r>
      <w:r>
        <w:rPr>
          <w:rFonts w:eastAsia="Calibri"/>
          <w:b/>
          <w:bCs w:val="0"/>
          <w:szCs w:val="24"/>
        </w:rPr>
        <w:t>original receipt required</w:t>
      </w:r>
      <w:r>
        <w:rPr>
          <w:rFonts w:eastAsia="Calibri"/>
          <w:bCs w:val="0"/>
          <w:szCs w:val="24"/>
        </w:rPr>
        <w:t>).</w:t>
      </w:r>
    </w:p>
    <w:tbl>
      <w:tblPr>
        <w:tblW w:w="4501" w:type="dxa"/>
        <w:tblCellSpacing w:w="15" w:type="dxa"/>
        <w:tblInd w:w="295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This table lists the hotel reimbursement rates by county in California."/>
      </w:tblPr>
      <w:tblGrid>
        <w:gridCol w:w="2492"/>
        <w:gridCol w:w="2009"/>
      </w:tblGrid>
      <w:tr w:rsidR="00E72ED4" w14:paraId="61C56729" w14:textId="77777777" w:rsidTr="0056204B">
        <w:trPr>
          <w:cantSplit/>
          <w:tblHeader/>
          <w:tblCellSpacing w:w="15" w:type="dxa"/>
        </w:trPr>
        <w:tc>
          <w:tcPr>
            <w:tcW w:w="2447" w:type="dxa"/>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757BE1F3" w14:textId="77777777" w:rsidR="00E72ED4" w:rsidRDefault="00E72ED4">
            <w:pPr>
              <w:spacing w:before="100" w:beforeAutospacing="1" w:after="100" w:afterAutospacing="1"/>
              <w:jc w:val="center"/>
              <w:rPr>
                <w:b/>
                <w:color w:val="FFFFFF"/>
                <w:szCs w:val="24"/>
              </w:rPr>
            </w:pPr>
            <w:r>
              <w:rPr>
                <w:b/>
                <w:color w:val="FFFFFF"/>
                <w:szCs w:val="24"/>
              </w:rPr>
              <w:t>County</w:t>
            </w:r>
          </w:p>
        </w:tc>
        <w:tc>
          <w:tcPr>
            <w:tcW w:w="1964" w:type="dxa"/>
            <w:tcBorders>
              <w:top w:val="outset" w:sz="6" w:space="0" w:color="auto"/>
              <w:left w:val="outset" w:sz="6" w:space="0" w:color="auto"/>
              <w:bottom w:val="outset" w:sz="6" w:space="0" w:color="auto"/>
              <w:right w:val="outset" w:sz="6" w:space="0" w:color="auto"/>
            </w:tcBorders>
            <w:shd w:val="clear" w:color="auto" w:fill="364965"/>
            <w:tcMar>
              <w:top w:w="60" w:type="dxa"/>
              <w:left w:w="60" w:type="dxa"/>
              <w:bottom w:w="60" w:type="dxa"/>
              <w:right w:w="60" w:type="dxa"/>
            </w:tcMar>
            <w:vAlign w:val="center"/>
            <w:hideMark/>
          </w:tcPr>
          <w:p w14:paraId="2C98175F" w14:textId="77777777" w:rsidR="00E72ED4" w:rsidRDefault="00E72ED4">
            <w:pPr>
              <w:jc w:val="center"/>
              <w:rPr>
                <w:b/>
                <w:color w:val="FFFFFF"/>
                <w:szCs w:val="24"/>
              </w:rPr>
            </w:pPr>
            <w:r>
              <w:rPr>
                <w:b/>
                <w:color w:val="FFFFFF"/>
                <w:szCs w:val="24"/>
              </w:rPr>
              <w:t>Effective January 1, 2024: Maximum Lodging Reimbursement Rate</w:t>
            </w:r>
          </w:p>
        </w:tc>
      </w:tr>
      <w:tr w:rsidR="00E72ED4" w14:paraId="643A26DB"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36CF4" w14:textId="77777777" w:rsidR="00E72ED4" w:rsidRDefault="00E72ED4">
            <w:pPr>
              <w:spacing w:before="100" w:beforeAutospacing="1" w:after="100" w:afterAutospacing="1"/>
              <w:rPr>
                <w:bCs w:val="0"/>
                <w:color w:val="000000"/>
                <w:szCs w:val="24"/>
              </w:rPr>
            </w:pPr>
            <w:r>
              <w:rPr>
                <w:bCs w:val="0"/>
                <w:color w:val="000000"/>
                <w:szCs w:val="24"/>
              </w:rPr>
              <w:t>All California counties except the below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7BD69" w14:textId="77777777" w:rsidR="00E72ED4" w:rsidRDefault="00E72ED4">
            <w:pPr>
              <w:jc w:val="center"/>
              <w:rPr>
                <w:bCs w:val="0"/>
                <w:color w:val="000000"/>
                <w:szCs w:val="24"/>
              </w:rPr>
            </w:pPr>
            <w:r>
              <w:rPr>
                <w:bCs w:val="0"/>
                <w:color w:val="000000"/>
                <w:szCs w:val="24"/>
              </w:rPr>
              <w:t>$107</w:t>
            </w:r>
          </w:p>
        </w:tc>
      </w:tr>
      <w:tr w:rsidR="00E72ED4" w14:paraId="603C753B"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184DD" w14:textId="77777777" w:rsidR="00E72ED4" w:rsidRDefault="00E72ED4">
            <w:pPr>
              <w:rPr>
                <w:bCs w:val="0"/>
                <w:color w:val="000000"/>
                <w:szCs w:val="24"/>
              </w:rPr>
            </w:pPr>
            <w:r>
              <w:rPr>
                <w:bCs w:val="0"/>
                <w:color w:val="000000"/>
                <w:szCs w:val="24"/>
              </w:rPr>
              <w:t>Alameda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2DBF1" w14:textId="77777777" w:rsidR="00E72ED4" w:rsidRDefault="00E72ED4">
            <w:pPr>
              <w:jc w:val="center"/>
              <w:rPr>
                <w:bCs w:val="0"/>
                <w:color w:val="000000"/>
                <w:szCs w:val="24"/>
              </w:rPr>
            </w:pPr>
            <w:r>
              <w:rPr>
                <w:bCs w:val="0"/>
                <w:color w:val="000000"/>
                <w:szCs w:val="24"/>
              </w:rPr>
              <w:t>$189</w:t>
            </w:r>
          </w:p>
        </w:tc>
      </w:tr>
      <w:tr w:rsidR="00E72ED4" w14:paraId="01823D20"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6A399F" w14:textId="77777777" w:rsidR="00E72ED4" w:rsidRDefault="00E72ED4">
            <w:pPr>
              <w:spacing w:before="100" w:beforeAutospacing="1" w:after="100" w:afterAutospacing="1"/>
              <w:rPr>
                <w:bCs w:val="0"/>
                <w:color w:val="000000"/>
                <w:szCs w:val="24"/>
              </w:rPr>
            </w:pPr>
            <w:r>
              <w:rPr>
                <w:bCs w:val="0"/>
                <w:color w:val="000000"/>
                <w:szCs w:val="24"/>
              </w:rPr>
              <w:t>City of Santa Monica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12C6E" w14:textId="77777777" w:rsidR="00E72ED4" w:rsidRDefault="00E72ED4">
            <w:pPr>
              <w:jc w:val="center"/>
              <w:rPr>
                <w:bCs w:val="0"/>
                <w:color w:val="000000"/>
                <w:szCs w:val="24"/>
              </w:rPr>
            </w:pPr>
            <w:r>
              <w:rPr>
                <w:bCs w:val="0"/>
                <w:color w:val="000000"/>
                <w:szCs w:val="24"/>
              </w:rPr>
              <w:t>$270</w:t>
            </w:r>
          </w:p>
        </w:tc>
      </w:tr>
      <w:tr w:rsidR="00E72ED4" w14:paraId="27519042"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6F9AD6" w14:textId="77777777" w:rsidR="00E72ED4" w:rsidRDefault="00E72ED4">
            <w:pPr>
              <w:rPr>
                <w:bCs w:val="0"/>
                <w:color w:val="000000"/>
                <w:szCs w:val="24"/>
              </w:rPr>
            </w:pPr>
            <w:r>
              <w:rPr>
                <w:bCs w:val="0"/>
                <w:color w:val="000000"/>
                <w:szCs w:val="24"/>
              </w:rPr>
              <w:t>Los Angeles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3F602" w14:textId="77777777" w:rsidR="00E72ED4" w:rsidRDefault="00E72ED4">
            <w:pPr>
              <w:jc w:val="center"/>
              <w:rPr>
                <w:bCs w:val="0"/>
                <w:color w:val="000000"/>
                <w:szCs w:val="24"/>
              </w:rPr>
            </w:pPr>
            <w:r>
              <w:rPr>
                <w:bCs w:val="0"/>
                <w:color w:val="000000"/>
                <w:szCs w:val="24"/>
              </w:rPr>
              <w:t>$169</w:t>
            </w:r>
          </w:p>
        </w:tc>
      </w:tr>
      <w:tr w:rsidR="00E72ED4" w14:paraId="5C59FA23"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17EC2B" w14:textId="77777777" w:rsidR="00E72ED4" w:rsidRDefault="00E72ED4">
            <w:pPr>
              <w:rPr>
                <w:bCs w:val="0"/>
                <w:color w:val="000000"/>
                <w:szCs w:val="24"/>
              </w:rPr>
            </w:pPr>
            <w:r>
              <w:rPr>
                <w:bCs w:val="0"/>
                <w:color w:val="000000"/>
                <w:szCs w:val="24"/>
              </w:rPr>
              <w:t>Marin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C36AA" w14:textId="77777777" w:rsidR="00E72ED4" w:rsidRDefault="00E72ED4">
            <w:pPr>
              <w:jc w:val="center"/>
              <w:rPr>
                <w:bCs w:val="0"/>
                <w:color w:val="000000"/>
                <w:szCs w:val="24"/>
              </w:rPr>
            </w:pPr>
            <w:r>
              <w:rPr>
                <w:bCs w:val="0"/>
                <w:color w:val="000000"/>
                <w:szCs w:val="24"/>
              </w:rPr>
              <w:t>$166</w:t>
            </w:r>
          </w:p>
        </w:tc>
      </w:tr>
      <w:tr w:rsidR="00E72ED4" w14:paraId="2DC532B5"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DDFD84" w14:textId="77777777" w:rsidR="00E72ED4" w:rsidRDefault="00E72ED4">
            <w:pPr>
              <w:rPr>
                <w:bCs w:val="0"/>
                <w:color w:val="000000"/>
                <w:szCs w:val="24"/>
              </w:rPr>
            </w:pPr>
            <w:r>
              <w:rPr>
                <w:bCs w:val="0"/>
                <w:color w:val="000000"/>
                <w:szCs w:val="24"/>
              </w:rPr>
              <w:t>Monterey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35A8B" w14:textId="77777777" w:rsidR="00E72ED4" w:rsidRDefault="00E72ED4">
            <w:pPr>
              <w:jc w:val="center"/>
              <w:rPr>
                <w:bCs w:val="0"/>
                <w:color w:val="000000"/>
                <w:szCs w:val="24"/>
              </w:rPr>
            </w:pPr>
            <w:r>
              <w:rPr>
                <w:bCs w:val="0"/>
                <w:color w:val="000000"/>
                <w:szCs w:val="24"/>
              </w:rPr>
              <w:t>$184</w:t>
            </w:r>
          </w:p>
        </w:tc>
      </w:tr>
      <w:tr w:rsidR="00E72ED4" w14:paraId="43137E3B"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71AAE" w14:textId="77777777" w:rsidR="00E72ED4" w:rsidRDefault="00E72ED4">
            <w:pPr>
              <w:rPr>
                <w:bCs w:val="0"/>
                <w:color w:val="000000"/>
                <w:szCs w:val="24"/>
              </w:rPr>
            </w:pPr>
            <w:r>
              <w:rPr>
                <w:bCs w:val="0"/>
                <w:color w:val="000000"/>
                <w:szCs w:val="24"/>
              </w:rPr>
              <w:t>Napa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73F48" w14:textId="77777777" w:rsidR="00E72ED4" w:rsidRDefault="00E72ED4">
            <w:pPr>
              <w:jc w:val="center"/>
              <w:rPr>
                <w:bCs w:val="0"/>
                <w:color w:val="000000"/>
                <w:szCs w:val="24"/>
              </w:rPr>
            </w:pPr>
            <w:r>
              <w:rPr>
                <w:bCs w:val="0"/>
                <w:color w:val="000000"/>
                <w:szCs w:val="24"/>
              </w:rPr>
              <w:t>$195</w:t>
            </w:r>
          </w:p>
        </w:tc>
      </w:tr>
      <w:tr w:rsidR="00E72ED4" w14:paraId="0567B822"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E70E7" w14:textId="77777777" w:rsidR="00E72ED4" w:rsidRDefault="00E72ED4">
            <w:pPr>
              <w:rPr>
                <w:bCs w:val="0"/>
                <w:color w:val="000000"/>
                <w:szCs w:val="24"/>
              </w:rPr>
            </w:pPr>
            <w:r>
              <w:rPr>
                <w:bCs w:val="0"/>
                <w:color w:val="000000"/>
                <w:szCs w:val="24"/>
              </w:rPr>
              <w:t>Orange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E3518" w14:textId="77777777" w:rsidR="00E72ED4" w:rsidRDefault="00E72ED4">
            <w:pPr>
              <w:jc w:val="center"/>
              <w:rPr>
                <w:bCs w:val="0"/>
                <w:color w:val="000000"/>
                <w:szCs w:val="24"/>
              </w:rPr>
            </w:pPr>
            <w:r>
              <w:rPr>
                <w:bCs w:val="0"/>
                <w:color w:val="000000"/>
                <w:szCs w:val="24"/>
              </w:rPr>
              <w:t>$169</w:t>
            </w:r>
          </w:p>
        </w:tc>
      </w:tr>
      <w:tr w:rsidR="00E72ED4" w14:paraId="718791E9"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0F9EBB" w14:textId="77777777" w:rsidR="00E72ED4" w:rsidRDefault="00E72ED4">
            <w:pPr>
              <w:rPr>
                <w:bCs w:val="0"/>
                <w:color w:val="000000"/>
                <w:szCs w:val="24"/>
              </w:rPr>
            </w:pPr>
            <w:r>
              <w:rPr>
                <w:bCs w:val="0"/>
                <w:color w:val="000000"/>
                <w:szCs w:val="24"/>
              </w:rPr>
              <w:t>Riverside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9567C" w14:textId="77777777" w:rsidR="00E72ED4" w:rsidRDefault="00E72ED4">
            <w:pPr>
              <w:jc w:val="center"/>
              <w:rPr>
                <w:bCs w:val="0"/>
                <w:color w:val="000000"/>
                <w:szCs w:val="24"/>
              </w:rPr>
            </w:pPr>
            <w:r>
              <w:rPr>
                <w:bCs w:val="0"/>
                <w:color w:val="000000"/>
                <w:szCs w:val="24"/>
              </w:rPr>
              <w:t>$142</w:t>
            </w:r>
          </w:p>
        </w:tc>
      </w:tr>
      <w:tr w:rsidR="00E72ED4" w14:paraId="0CB2EADC"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580B1" w14:textId="77777777" w:rsidR="00E72ED4" w:rsidRDefault="00E72ED4">
            <w:pPr>
              <w:rPr>
                <w:bCs w:val="0"/>
                <w:color w:val="000000"/>
                <w:szCs w:val="24"/>
              </w:rPr>
            </w:pPr>
            <w:r>
              <w:rPr>
                <w:bCs w:val="0"/>
                <w:color w:val="000000"/>
                <w:szCs w:val="24"/>
              </w:rPr>
              <w:t>Sacramento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6F99D" w14:textId="77777777" w:rsidR="00E72ED4" w:rsidRDefault="00E72ED4">
            <w:pPr>
              <w:jc w:val="center"/>
              <w:rPr>
                <w:bCs w:val="0"/>
                <w:color w:val="000000"/>
                <w:szCs w:val="24"/>
              </w:rPr>
            </w:pPr>
            <w:r>
              <w:rPr>
                <w:bCs w:val="0"/>
                <w:color w:val="000000"/>
                <w:szCs w:val="24"/>
              </w:rPr>
              <w:t>$145</w:t>
            </w:r>
          </w:p>
        </w:tc>
      </w:tr>
      <w:tr w:rsidR="00E72ED4" w14:paraId="1E208BA5"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89FE9" w14:textId="77777777" w:rsidR="00E72ED4" w:rsidRDefault="00E72ED4">
            <w:pPr>
              <w:spacing w:before="100" w:beforeAutospacing="1" w:after="100" w:afterAutospacing="1"/>
              <w:rPr>
                <w:bCs w:val="0"/>
                <w:color w:val="000000"/>
                <w:szCs w:val="24"/>
              </w:rPr>
            </w:pPr>
            <w:r>
              <w:rPr>
                <w:bCs w:val="0"/>
                <w:color w:val="000000"/>
                <w:szCs w:val="24"/>
              </w:rPr>
              <w:t>San Diego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B8B01" w14:textId="77777777" w:rsidR="00E72ED4" w:rsidRDefault="00E72ED4">
            <w:pPr>
              <w:jc w:val="center"/>
              <w:rPr>
                <w:bCs w:val="0"/>
                <w:color w:val="000000"/>
                <w:szCs w:val="24"/>
              </w:rPr>
            </w:pPr>
            <w:r>
              <w:rPr>
                <w:bCs w:val="0"/>
                <w:color w:val="000000"/>
                <w:szCs w:val="24"/>
              </w:rPr>
              <w:t>$194</w:t>
            </w:r>
          </w:p>
        </w:tc>
      </w:tr>
      <w:tr w:rsidR="00E72ED4" w14:paraId="3B885947"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99EA18" w14:textId="77777777" w:rsidR="00E72ED4" w:rsidRDefault="00E72ED4">
            <w:pPr>
              <w:rPr>
                <w:bCs w:val="0"/>
                <w:color w:val="000000"/>
                <w:szCs w:val="24"/>
              </w:rPr>
            </w:pPr>
            <w:r>
              <w:rPr>
                <w:bCs w:val="0"/>
                <w:color w:val="000000"/>
                <w:szCs w:val="24"/>
              </w:rPr>
              <w:t>San Francisco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67A8D" w14:textId="77777777" w:rsidR="00E72ED4" w:rsidRDefault="00E72ED4">
            <w:pPr>
              <w:jc w:val="center"/>
              <w:rPr>
                <w:bCs w:val="0"/>
                <w:color w:val="000000"/>
                <w:szCs w:val="24"/>
              </w:rPr>
            </w:pPr>
            <w:r>
              <w:rPr>
                <w:bCs w:val="0"/>
                <w:color w:val="000000"/>
                <w:szCs w:val="24"/>
              </w:rPr>
              <w:t>$270</w:t>
            </w:r>
          </w:p>
        </w:tc>
      </w:tr>
      <w:tr w:rsidR="00E72ED4" w14:paraId="59D24DF6"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D5BB67" w14:textId="77777777" w:rsidR="00E72ED4" w:rsidRDefault="00E72ED4">
            <w:pPr>
              <w:rPr>
                <w:bCs w:val="0"/>
                <w:color w:val="000000"/>
                <w:szCs w:val="24"/>
              </w:rPr>
            </w:pPr>
            <w:r>
              <w:rPr>
                <w:bCs w:val="0"/>
                <w:color w:val="000000"/>
                <w:szCs w:val="24"/>
              </w:rPr>
              <w:t>San Mateo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34A9D" w14:textId="77777777" w:rsidR="00E72ED4" w:rsidRDefault="00E72ED4">
            <w:pPr>
              <w:jc w:val="center"/>
              <w:rPr>
                <w:bCs w:val="0"/>
                <w:color w:val="000000"/>
                <w:szCs w:val="24"/>
              </w:rPr>
            </w:pPr>
            <w:r>
              <w:rPr>
                <w:bCs w:val="0"/>
                <w:color w:val="000000"/>
                <w:szCs w:val="24"/>
              </w:rPr>
              <w:t>$222</w:t>
            </w:r>
          </w:p>
        </w:tc>
      </w:tr>
      <w:tr w:rsidR="00E72ED4" w14:paraId="6245E80F"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05C9E7" w14:textId="77777777" w:rsidR="00E72ED4" w:rsidRDefault="00E72ED4">
            <w:pPr>
              <w:spacing w:before="100" w:beforeAutospacing="1" w:after="100" w:afterAutospacing="1"/>
              <w:rPr>
                <w:bCs w:val="0"/>
                <w:color w:val="000000"/>
                <w:szCs w:val="24"/>
              </w:rPr>
            </w:pPr>
            <w:r>
              <w:rPr>
                <w:bCs w:val="0"/>
                <w:color w:val="000000"/>
                <w:szCs w:val="24"/>
              </w:rPr>
              <w:t>Santa Clara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FA692" w14:textId="77777777" w:rsidR="00E72ED4" w:rsidRDefault="00E72ED4">
            <w:pPr>
              <w:jc w:val="center"/>
              <w:rPr>
                <w:bCs w:val="0"/>
                <w:color w:val="000000"/>
                <w:szCs w:val="24"/>
              </w:rPr>
            </w:pPr>
            <w:r>
              <w:rPr>
                <w:bCs w:val="0"/>
                <w:color w:val="000000"/>
                <w:szCs w:val="24"/>
              </w:rPr>
              <w:t>$245</w:t>
            </w:r>
          </w:p>
        </w:tc>
      </w:tr>
      <w:tr w:rsidR="00E72ED4" w14:paraId="315CF72F" w14:textId="77777777" w:rsidTr="0056204B">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46A0E" w14:textId="77777777" w:rsidR="00E72ED4" w:rsidRDefault="00E72ED4">
            <w:pPr>
              <w:spacing w:before="100" w:beforeAutospacing="1" w:after="100" w:afterAutospacing="1"/>
              <w:rPr>
                <w:bCs w:val="0"/>
                <w:color w:val="000000"/>
                <w:szCs w:val="24"/>
              </w:rPr>
            </w:pPr>
            <w:r>
              <w:rPr>
                <w:bCs w:val="0"/>
                <w:color w:val="000000"/>
                <w:szCs w:val="24"/>
              </w:rPr>
              <w:t>Ventura &amp; Edwards AFB, excluding the city of Santa Monica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5766D" w14:textId="77777777" w:rsidR="00E72ED4" w:rsidRDefault="00E72ED4">
            <w:pPr>
              <w:jc w:val="center"/>
              <w:rPr>
                <w:bCs w:val="0"/>
                <w:color w:val="000000"/>
                <w:szCs w:val="24"/>
              </w:rPr>
            </w:pPr>
            <w:r>
              <w:rPr>
                <w:bCs w:val="0"/>
                <w:color w:val="000000"/>
                <w:szCs w:val="24"/>
              </w:rPr>
              <w:t>$169</w:t>
            </w:r>
          </w:p>
        </w:tc>
      </w:tr>
    </w:tbl>
    <w:p w14:paraId="568399C5" w14:textId="77777777" w:rsidR="00E72ED4" w:rsidRDefault="00E72ED4" w:rsidP="00962C66">
      <w:pPr>
        <w:pStyle w:val="ListParagraph"/>
        <w:numPr>
          <w:ilvl w:val="0"/>
          <w:numId w:val="49"/>
        </w:numPr>
        <w:spacing w:before="360" w:after="240" w:line="256" w:lineRule="auto"/>
        <w:ind w:left="1440"/>
        <w:rPr>
          <w:rFonts w:eastAsia="Calibri"/>
          <w:bCs w:val="0"/>
          <w:szCs w:val="24"/>
        </w:rPr>
      </w:pPr>
      <w:r>
        <w:rPr>
          <w:rFonts w:eastAsia="Calibri"/>
          <w:bCs w:val="0"/>
          <w:szCs w:val="24"/>
        </w:rPr>
        <w:t>Services to be performed by outside consultants require a contract. All contracts must be approved by the CDE prior to implementation and should be listed in the budget as follows:</w:t>
      </w:r>
    </w:p>
    <w:p w14:paraId="11AEF04A" w14:textId="77777777" w:rsidR="00E72ED4" w:rsidRDefault="00E72ED4" w:rsidP="00962C66">
      <w:pPr>
        <w:pStyle w:val="ListParagraph"/>
        <w:numPr>
          <w:ilvl w:val="1"/>
          <w:numId w:val="49"/>
        </w:numPr>
        <w:spacing w:before="240" w:after="240" w:line="256" w:lineRule="auto"/>
        <w:rPr>
          <w:rFonts w:eastAsia="Calibri"/>
          <w:bCs w:val="0"/>
          <w:szCs w:val="24"/>
        </w:rPr>
      </w:pPr>
      <w:r>
        <w:rPr>
          <w:rFonts w:eastAsia="Calibri"/>
          <w:bCs w:val="0"/>
          <w:szCs w:val="24"/>
        </w:rPr>
        <w:t xml:space="preserve">Contractor name, services to be provided, and cost of service. Invoices are required to be submitted to the agency once the </w:t>
      </w:r>
      <w:r>
        <w:rPr>
          <w:rFonts w:eastAsia="Calibri"/>
          <w:bCs w:val="0"/>
          <w:szCs w:val="24"/>
        </w:rPr>
        <w:lastRenderedPageBreak/>
        <w:t>service is successfully completed. Agencies must have an invoice before payment can be made.</w:t>
      </w:r>
    </w:p>
    <w:p w14:paraId="41036F06" w14:textId="77777777" w:rsidR="0066457D" w:rsidRPr="00152741" w:rsidRDefault="0066457D" w:rsidP="0066457D">
      <w:pPr>
        <w:tabs>
          <w:tab w:val="left" w:pos="1200"/>
        </w:tabs>
        <w:spacing w:after="120"/>
        <w:jc w:val="right"/>
        <w:rPr>
          <w:rFonts w:eastAsia="Calibri"/>
          <w:szCs w:val="24"/>
        </w:rPr>
      </w:pPr>
    </w:p>
    <w:p w14:paraId="3BC7157E" w14:textId="77777777" w:rsidR="00F75567" w:rsidRPr="00152741" w:rsidRDefault="00F75567" w:rsidP="00962C66">
      <w:pPr>
        <w:pStyle w:val="Heading3"/>
        <w:numPr>
          <w:ilvl w:val="0"/>
          <w:numId w:val="25"/>
        </w:numPr>
        <w:tabs>
          <w:tab w:val="clear" w:pos="960"/>
          <w:tab w:val="clear" w:pos="1440"/>
          <w:tab w:val="clear" w:pos="1800"/>
          <w:tab w:val="clear" w:pos="2160"/>
        </w:tabs>
        <w:spacing w:after="240"/>
        <w:rPr>
          <w:rFonts w:eastAsia="Calibri"/>
        </w:rPr>
      </w:pPr>
      <w:bookmarkStart w:id="47" w:name="_Toc164262860"/>
      <w:r w:rsidRPr="00152741">
        <w:rPr>
          <w:rFonts w:eastAsia="Calibri"/>
        </w:rPr>
        <w:t>Allowable and Reasonable Cost</w:t>
      </w:r>
      <w:bookmarkEnd w:id="47"/>
    </w:p>
    <w:p w14:paraId="7CFD352C" w14:textId="5499DE2E" w:rsidR="00E72ED4" w:rsidRPr="00243043" w:rsidRDefault="00F75567" w:rsidP="00B77128">
      <w:pPr>
        <w:spacing w:after="240"/>
        <w:ind w:left="720"/>
      </w:pPr>
      <w:r w:rsidRPr="00152741">
        <w:rPr>
          <w:rFonts w:eastAsia="Calibri"/>
        </w:rPr>
        <w:t>Funds must supplement, not supplant, existing services and may not be used to supplant federal, state, local, or nonfederal funds. Programs may not use AIEC</w:t>
      </w:r>
      <w:r w:rsidR="007232DB" w:rsidRPr="00152741">
        <w:rPr>
          <w:rFonts w:eastAsia="Calibri"/>
        </w:rPr>
        <w:t xml:space="preserve"> Program</w:t>
      </w:r>
      <w:r w:rsidRPr="00152741">
        <w:rPr>
          <w:rFonts w:eastAsia="Calibri"/>
        </w:rPr>
        <w:t xml:space="preserve"> funds to pay for existing levels of service funded from any other source. The AIEC </w:t>
      </w:r>
      <w:r w:rsidR="007232DB" w:rsidRPr="00152741">
        <w:rPr>
          <w:rFonts w:eastAsia="Calibri"/>
        </w:rPr>
        <w:t xml:space="preserve">Program </w:t>
      </w:r>
      <w:r w:rsidRPr="00152741">
        <w:rPr>
          <w:rFonts w:eastAsia="Calibri"/>
        </w:rPr>
        <w:t xml:space="preserve">funds may not be used for new construction, entertainment, and purchases not directly related to </w:t>
      </w:r>
      <w:r w:rsidR="00873536" w:rsidRPr="00152741">
        <w:rPr>
          <w:rFonts w:eastAsia="Calibri"/>
        </w:rPr>
        <w:t>the requirements</w:t>
      </w:r>
      <w:r w:rsidRPr="00152741">
        <w:rPr>
          <w:rFonts w:eastAsia="Calibri"/>
        </w:rPr>
        <w:t xml:space="preserve"> of the grant. All purchases must be reasonable and necessary. Please visit the</w:t>
      </w:r>
      <w:r w:rsidR="00C116BF">
        <w:rPr>
          <w:rFonts w:eastAsia="Calibri"/>
        </w:rPr>
        <w:t xml:space="preserve"> National Archives, Code of Federal Regulations</w:t>
      </w:r>
      <w:r w:rsidR="0056204B">
        <w:rPr>
          <w:rFonts w:eastAsia="Calibri"/>
        </w:rPr>
        <w:t xml:space="preserve"> (</w:t>
      </w:r>
      <w:r w:rsidR="0056204B" w:rsidRPr="0056204B">
        <w:rPr>
          <w:rFonts w:eastAsia="Calibri"/>
          <w:i/>
          <w:iCs/>
        </w:rPr>
        <w:t>CFR</w:t>
      </w:r>
      <w:r w:rsidR="0056204B">
        <w:rPr>
          <w:rFonts w:eastAsia="Calibri"/>
        </w:rPr>
        <w:t>)</w:t>
      </w:r>
      <w:r w:rsidR="00C116BF">
        <w:rPr>
          <w:rFonts w:eastAsia="Calibri"/>
        </w:rPr>
        <w:t xml:space="preserve">, A Point in Time </w:t>
      </w:r>
      <w:proofErr w:type="spellStart"/>
      <w:r w:rsidR="00C116BF">
        <w:rPr>
          <w:rFonts w:eastAsia="Calibri"/>
        </w:rPr>
        <w:t>e</w:t>
      </w:r>
      <w:r w:rsidR="00C116BF" w:rsidRPr="0056204B">
        <w:rPr>
          <w:rFonts w:eastAsia="Calibri"/>
          <w:i/>
          <w:iCs/>
        </w:rPr>
        <w:t>CFR</w:t>
      </w:r>
      <w:proofErr w:type="spellEnd"/>
      <w:r w:rsidR="00C116BF">
        <w:rPr>
          <w:rFonts w:eastAsia="Calibri"/>
        </w:rPr>
        <w:t xml:space="preserve"> System,</w:t>
      </w:r>
      <w:r w:rsidRPr="00152741">
        <w:rPr>
          <w:rFonts w:eastAsia="Calibri"/>
        </w:rPr>
        <w:t xml:space="preserve"> Uniform Guidance–Title 2, Subtitle A, Chapter 2, Part 200, Subpart E–Cost Principles web page at</w:t>
      </w:r>
      <w:r w:rsidR="00E72ED4">
        <w:rPr>
          <w:rFonts w:eastAsia="Calibri"/>
        </w:rPr>
        <w:t xml:space="preserve"> </w:t>
      </w:r>
      <w:hyperlink r:id="rId17" w:anchor="sg2.1.200_1419.sg16" w:tooltip="Subpart E-Cost Principals" w:history="1">
        <w:r w:rsidR="00243043" w:rsidRPr="00FB179E">
          <w:rPr>
            <w:rStyle w:val="Hyperlink"/>
          </w:rPr>
          <w:t>https://www.ecfr.gov/current/title-2/subtitle-A/chapter-II/part-200/subpart-E#sg2.1.200_1419.sg16</w:t>
        </w:r>
      </w:hyperlink>
      <w:r w:rsidR="00243043" w:rsidRPr="00243043">
        <w:rPr>
          <w:rStyle w:val="Hyperlink"/>
          <w:u w:val="none"/>
        </w:rPr>
        <w:t>.</w:t>
      </w:r>
    </w:p>
    <w:p w14:paraId="3EFBD331" w14:textId="77777777" w:rsidR="00F75567" w:rsidRPr="00152741" w:rsidRDefault="00F75567" w:rsidP="00F75567">
      <w:pPr>
        <w:spacing w:after="240"/>
        <w:ind w:left="720"/>
        <w:rPr>
          <w:rFonts w:eastAsia="Calibri"/>
        </w:rPr>
      </w:pPr>
      <w:r w:rsidRPr="00152741">
        <w:rPr>
          <w:rFonts w:eastAsia="Calibri"/>
        </w:rPr>
        <w:t>Each application will be reviewed for reasonable costs. A cost is reasonable if, in its nature or amount, it does not exceed that cost which would be incurred by a prudent person under the circumstances prevailing at the time the decision was made to incur the cost.</w:t>
      </w:r>
    </w:p>
    <w:p w14:paraId="5DE1D963" w14:textId="63E3D264" w:rsidR="00F75567" w:rsidRPr="00152741" w:rsidRDefault="00F75567" w:rsidP="0026143E">
      <w:pPr>
        <w:spacing w:after="480"/>
        <w:ind w:left="720"/>
        <w:rPr>
          <w:rFonts w:eastAsia="Calibri"/>
        </w:rPr>
      </w:pPr>
      <w:r w:rsidRPr="00152741">
        <w:rPr>
          <w:rFonts w:eastAsia="Calibri"/>
        </w:rPr>
        <w:t xml:space="preserve">For additional policy guidance about direct services, administrative costs, and allowable costs, please visit the CDE </w:t>
      </w:r>
      <w:r w:rsidRPr="00152741">
        <w:rPr>
          <w:rFonts w:eastAsia="Calibri"/>
          <w:lang w:val="en"/>
        </w:rPr>
        <w:t xml:space="preserve">Direct Services and Administrative Costs Guidance web page at </w:t>
      </w:r>
      <w:hyperlink r:id="rId18" w:tooltip="California Department of Education Direct Service and Administrative Cost Guidance" w:history="1">
        <w:r w:rsidR="0056204B" w:rsidRPr="00A6041E">
          <w:rPr>
            <w:rStyle w:val="Hyperlink"/>
          </w:rPr>
          <w:t>https://www.cde.ca.gov/ls/ex/dirctservguidance.asp</w:t>
        </w:r>
      </w:hyperlink>
      <w:r w:rsidR="0056204B">
        <w:t>.</w:t>
      </w:r>
    </w:p>
    <w:p w14:paraId="3C5D9BF5" w14:textId="77777777" w:rsidR="00F75567" w:rsidRPr="00152741" w:rsidRDefault="00F75567" w:rsidP="00962C66">
      <w:pPr>
        <w:pStyle w:val="Heading3"/>
        <w:numPr>
          <w:ilvl w:val="0"/>
          <w:numId w:val="25"/>
        </w:numPr>
        <w:spacing w:after="240"/>
        <w:rPr>
          <w:rFonts w:eastAsia="Calibri"/>
        </w:rPr>
      </w:pPr>
      <w:bookmarkStart w:id="48" w:name="_Toc164262861"/>
      <w:r w:rsidRPr="00152741">
        <w:rPr>
          <w:rFonts w:eastAsia="Calibri"/>
        </w:rPr>
        <w:t>Unallowable Costs</w:t>
      </w:r>
      <w:bookmarkEnd w:id="48"/>
    </w:p>
    <w:p w14:paraId="6E34DC8B" w14:textId="77777777" w:rsidR="00F75567" w:rsidRPr="00152741" w:rsidRDefault="00F75567" w:rsidP="00F75567">
      <w:pPr>
        <w:spacing w:after="240"/>
        <w:ind w:left="720"/>
        <w:rPr>
          <w:rFonts w:eastAsia="Calibri"/>
        </w:rPr>
      </w:pPr>
      <w:r w:rsidRPr="00152741">
        <w:rPr>
          <w:rFonts w:eastAsia="Calibri"/>
        </w:rPr>
        <w:t>The applicant may be asked to remove unallowable costs. Examples of expenditures that are unallowable include, but are not limited to, the following:</w:t>
      </w:r>
    </w:p>
    <w:p w14:paraId="7CFDB8D4"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Incentives</w:t>
      </w:r>
    </w:p>
    <w:p w14:paraId="2CA8926E"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Gifts to honor individuals</w:t>
      </w:r>
    </w:p>
    <w:p w14:paraId="5A0651B6" w14:textId="77777777" w:rsidR="00F75567" w:rsidRPr="00152741" w:rsidRDefault="002D678A" w:rsidP="00962C66">
      <w:pPr>
        <w:pStyle w:val="ListParagraph"/>
        <w:numPr>
          <w:ilvl w:val="0"/>
          <w:numId w:val="60"/>
        </w:numPr>
        <w:spacing w:after="240"/>
        <w:ind w:left="1440"/>
        <w:rPr>
          <w:rFonts w:eastAsia="Calibri"/>
        </w:rPr>
      </w:pPr>
      <w:r w:rsidRPr="00152741">
        <w:rPr>
          <w:rFonts w:eastAsia="Calibri"/>
        </w:rPr>
        <w:t>Gift c</w:t>
      </w:r>
      <w:r w:rsidR="00F75567" w:rsidRPr="00152741">
        <w:rPr>
          <w:rFonts w:eastAsia="Calibri"/>
        </w:rPr>
        <w:t>ards</w:t>
      </w:r>
    </w:p>
    <w:p w14:paraId="3F79A575"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Pre-paid store cards or credit cards</w:t>
      </w:r>
    </w:p>
    <w:p w14:paraId="38CD5A63"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Parties/celebrations</w:t>
      </w:r>
    </w:p>
    <w:p w14:paraId="39115C7C"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Scholarships</w:t>
      </w:r>
    </w:p>
    <w:p w14:paraId="6A15D6B0"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Financial support to families</w:t>
      </w:r>
    </w:p>
    <w:p w14:paraId="62DA0F61"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Staff bonuses</w:t>
      </w:r>
    </w:p>
    <w:p w14:paraId="628CD63A"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lastRenderedPageBreak/>
        <w:t>Interest/finance charges</w:t>
      </w:r>
    </w:p>
    <w:p w14:paraId="50034EAE"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Internal Revenue Service penalties</w:t>
      </w:r>
    </w:p>
    <w:p w14:paraId="29EE3A5C"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Entertainment, including amusement, diversion, social activities and any costs directly associated with such costs (such as tickets to shows o</w:t>
      </w:r>
      <w:r w:rsidR="00211B67" w:rsidRPr="00152741">
        <w:rPr>
          <w:rFonts w:eastAsia="Calibri"/>
        </w:rPr>
        <w:t>r sports events,</w:t>
      </w:r>
      <w:r w:rsidRPr="00152741">
        <w:rPr>
          <w:rFonts w:eastAsia="Calibri"/>
        </w:rPr>
        <w:t xml:space="preserve"> rentals, transportation, and gratuities)</w:t>
      </w:r>
    </w:p>
    <w:p w14:paraId="3341AA66" w14:textId="77777777" w:rsidR="00F75567" w:rsidRPr="00152741" w:rsidRDefault="006D5C69" w:rsidP="00962C66">
      <w:pPr>
        <w:pStyle w:val="ListParagraph"/>
        <w:numPr>
          <w:ilvl w:val="0"/>
          <w:numId w:val="60"/>
        </w:numPr>
        <w:spacing w:after="240"/>
        <w:ind w:left="1440"/>
        <w:rPr>
          <w:rFonts w:eastAsia="Calibri"/>
        </w:rPr>
      </w:pPr>
      <w:r w:rsidRPr="00152741">
        <w:rPr>
          <w:rFonts w:eastAsia="Calibri"/>
        </w:rPr>
        <w:t>Lobbying</w:t>
      </w:r>
    </w:p>
    <w:p w14:paraId="7932CFC3"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Fundraising</w:t>
      </w:r>
    </w:p>
    <w:p w14:paraId="2D595B56" w14:textId="77777777" w:rsidR="00F75567" w:rsidRPr="00152741" w:rsidRDefault="006D5C69" w:rsidP="00962C66">
      <w:pPr>
        <w:pStyle w:val="ListParagraph"/>
        <w:numPr>
          <w:ilvl w:val="0"/>
          <w:numId w:val="60"/>
        </w:numPr>
        <w:spacing w:after="240"/>
        <w:ind w:left="1440"/>
        <w:rPr>
          <w:rFonts w:eastAsia="Calibri"/>
        </w:rPr>
      </w:pPr>
      <w:r w:rsidRPr="00152741">
        <w:rPr>
          <w:rFonts w:eastAsia="Calibri"/>
        </w:rPr>
        <w:t>Bad debts</w:t>
      </w:r>
    </w:p>
    <w:p w14:paraId="5811B082" w14:textId="77777777" w:rsidR="00F75567" w:rsidRPr="00152741" w:rsidRDefault="006D5C69" w:rsidP="00962C66">
      <w:pPr>
        <w:pStyle w:val="ListParagraph"/>
        <w:numPr>
          <w:ilvl w:val="0"/>
          <w:numId w:val="60"/>
        </w:numPr>
        <w:spacing w:after="240"/>
        <w:ind w:left="1440"/>
        <w:rPr>
          <w:rFonts w:eastAsia="Calibri"/>
        </w:rPr>
      </w:pPr>
      <w:r w:rsidRPr="00152741">
        <w:rPr>
          <w:rFonts w:eastAsia="Calibri"/>
        </w:rPr>
        <w:t>Contingencies</w:t>
      </w:r>
    </w:p>
    <w:p w14:paraId="39AD42E5" w14:textId="77777777" w:rsidR="00F75567" w:rsidRPr="00152741" w:rsidRDefault="006D5C69" w:rsidP="00962C66">
      <w:pPr>
        <w:pStyle w:val="ListParagraph"/>
        <w:numPr>
          <w:ilvl w:val="0"/>
          <w:numId w:val="60"/>
        </w:numPr>
        <w:spacing w:after="240"/>
        <w:ind w:left="1440"/>
        <w:rPr>
          <w:rFonts w:eastAsia="Calibri"/>
        </w:rPr>
      </w:pPr>
      <w:r w:rsidRPr="00152741">
        <w:rPr>
          <w:rFonts w:eastAsia="Calibri"/>
        </w:rPr>
        <w:t>Fines and penalties</w:t>
      </w:r>
    </w:p>
    <w:p w14:paraId="46EC1299"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Storage space rental</w:t>
      </w:r>
    </w:p>
    <w:p w14:paraId="69925564" w14:textId="77777777" w:rsidR="00F75567" w:rsidRPr="00152741" w:rsidRDefault="002D678A" w:rsidP="00962C66">
      <w:pPr>
        <w:pStyle w:val="ListParagraph"/>
        <w:numPr>
          <w:ilvl w:val="0"/>
          <w:numId w:val="60"/>
        </w:numPr>
        <w:spacing w:after="240"/>
        <w:ind w:left="1440"/>
        <w:rPr>
          <w:rFonts w:eastAsia="Calibri"/>
        </w:rPr>
      </w:pPr>
      <w:r w:rsidRPr="00152741">
        <w:rPr>
          <w:rFonts w:eastAsia="Calibri"/>
        </w:rPr>
        <w:t>Cost for a postage m</w:t>
      </w:r>
      <w:r w:rsidR="0066457D" w:rsidRPr="00152741">
        <w:rPr>
          <w:rFonts w:eastAsia="Calibri"/>
        </w:rPr>
        <w:t>achine r</w:t>
      </w:r>
      <w:r w:rsidR="00F75567" w:rsidRPr="00152741">
        <w:rPr>
          <w:rFonts w:eastAsia="Calibri"/>
        </w:rPr>
        <w:t>ental</w:t>
      </w:r>
    </w:p>
    <w:p w14:paraId="2DE2C70E"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Cost for a Post Office Box</w:t>
      </w:r>
    </w:p>
    <w:p w14:paraId="6FFB22E0"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Costs of idle facilities</w:t>
      </w:r>
    </w:p>
    <w:p w14:paraId="1075CD76" w14:textId="77777777" w:rsidR="00F75567" w:rsidRPr="00152741" w:rsidRDefault="002D678A" w:rsidP="00962C66">
      <w:pPr>
        <w:pStyle w:val="ListParagraph"/>
        <w:numPr>
          <w:ilvl w:val="0"/>
          <w:numId w:val="60"/>
        </w:numPr>
        <w:spacing w:after="240"/>
        <w:ind w:left="1440"/>
        <w:rPr>
          <w:rFonts w:eastAsia="Calibri"/>
        </w:rPr>
      </w:pPr>
      <w:r w:rsidRPr="00152741">
        <w:rPr>
          <w:rFonts w:eastAsia="Calibri"/>
        </w:rPr>
        <w:t>Cell p</w:t>
      </w:r>
      <w:r w:rsidR="00F75567" w:rsidRPr="00152741">
        <w:rPr>
          <w:rFonts w:eastAsia="Calibri"/>
        </w:rPr>
        <w:t>hone purchases</w:t>
      </w:r>
    </w:p>
    <w:p w14:paraId="1257D281"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Leasing of vehicles</w:t>
      </w:r>
    </w:p>
    <w:p w14:paraId="4E335FE7"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Costs incurred after the grant has been terminated</w:t>
      </w:r>
    </w:p>
    <w:p w14:paraId="23F2EDDF" w14:textId="77777777" w:rsidR="00F75567" w:rsidRPr="00152741" w:rsidRDefault="006D5C69" w:rsidP="00962C66">
      <w:pPr>
        <w:pStyle w:val="ListParagraph"/>
        <w:numPr>
          <w:ilvl w:val="0"/>
          <w:numId w:val="60"/>
        </w:numPr>
        <w:spacing w:after="240"/>
        <w:ind w:left="1440"/>
        <w:rPr>
          <w:rFonts w:eastAsia="Calibri"/>
        </w:rPr>
      </w:pPr>
      <w:r w:rsidRPr="00152741">
        <w:rPr>
          <w:rFonts w:eastAsia="Calibri"/>
        </w:rPr>
        <w:t>Unnecessary travel</w:t>
      </w:r>
      <w:r w:rsidR="00211B67" w:rsidRPr="00152741">
        <w:rPr>
          <w:rFonts w:eastAsia="Calibri"/>
        </w:rPr>
        <w:t xml:space="preserve"> (travel that does not support the goals of the application)</w:t>
      </w:r>
    </w:p>
    <w:p w14:paraId="399C4C65"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Out-of-state travel</w:t>
      </w:r>
    </w:p>
    <w:p w14:paraId="3C2B8400" w14:textId="77777777" w:rsidR="00F75567" w:rsidRPr="00152741" w:rsidRDefault="006D5C69" w:rsidP="00962C66">
      <w:pPr>
        <w:pStyle w:val="ListParagraph"/>
        <w:numPr>
          <w:ilvl w:val="0"/>
          <w:numId w:val="60"/>
        </w:numPr>
        <w:spacing w:after="240"/>
        <w:ind w:left="1440"/>
        <w:rPr>
          <w:rFonts w:eastAsia="Calibri"/>
        </w:rPr>
      </w:pPr>
      <w:r w:rsidRPr="00152741">
        <w:rPr>
          <w:rFonts w:eastAsia="Calibri"/>
        </w:rPr>
        <w:t>Contributions</w:t>
      </w:r>
    </w:p>
    <w:p w14:paraId="6C73CE83"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Costs of organization of a nonprofit corporation such as incorporation fees or consultant fees</w:t>
      </w:r>
    </w:p>
    <w:p w14:paraId="31C6619D"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Public relations consultant fees</w:t>
      </w:r>
    </w:p>
    <w:p w14:paraId="229B9EC7" w14:textId="5D16E5DC" w:rsidR="00F75567" w:rsidRPr="00152741" w:rsidRDefault="00F75567" w:rsidP="00962C66">
      <w:pPr>
        <w:pStyle w:val="ListParagraph"/>
        <w:numPr>
          <w:ilvl w:val="0"/>
          <w:numId w:val="60"/>
        </w:numPr>
        <w:spacing w:after="240"/>
        <w:ind w:left="1440"/>
        <w:rPr>
          <w:rFonts w:eastAsia="Calibri"/>
        </w:rPr>
      </w:pPr>
      <w:r w:rsidRPr="00152741">
        <w:rPr>
          <w:rFonts w:eastAsia="Calibri"/>
        </w:rPr>
        <w:t xml:space="preserve">Costs of legal, consulting, and accounting services incurred in </w:t>
      </w:r>
      <w:r w:rsidR="00E72ED4">
        <w:rPr>
          <w:rFonts w:eastAsia="Calibri"/>
        </w:rPr>
        <w:t xml:space="preserve">the </w:t>
      </w:r>
      <w:r w:rsidRPr="00152741">
        <w:rPr>
          <w:rFonts w:eastAsia="Calibri"/>
        </w:rPr>
        <w:t>prosecution of claims against the state</w:t>
      </w:r>
    </w:p>
    <w:p w14:paraId="4726EA7F"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t>State and federal income taxes, including filing fees</w:t>
      </w:r>
    </w:p>
    <w:p w14:paraId="3AFED870" w14:textId="77777777" w:rsidR="00F75567" w:rsidRPr="00152741" w:rsidRDefault="00F75567" w:rsidP="00962C66">
      <w:pPr>
        <w:pStyle w:val="ListParagraph"/>
        <w:numPr>
          <w:ilvl w:val="0"/>
          <w:numId w:val="60"/>
        </w:numPr>
        <w:spacing w:after="240"/>
        <w:ind w:left="1440"/>
        <w:rPr>
          <w:rFonts w:eastAsia="Calibri"/>
        </w:rPr>
      </w:pPr>
      <w:r w:rsidRPr="00152741">
        <w:rPr>
          <w:rFonts w:eastAsia="Calibri"/>
        </w:rPr>
        <w:lastRenderedPageBreak/>
        <w:t>Compensation to the members of the Board of Directors except for:</w:t>
      </w:r>
    </w:p>
    <w:p w14:paraId="5DC21368" w14:textId="77777777" w:rsidR="00F75567" w:rsidRPr="00962C66" w:rsidRDefault="00F75567" w:rsidP="00962C66">
      <w:pPr>
        <w:pStyle w:val="ListParagraph"/>
        <w:numPr>
          <w:ilvl w:val="0"/>
          <w:numId w:val="60"/>
        </w:numPr>
        <w:spacing w:after="240"/>
        <w:ind w:left="1800"/>
        <w:rPr>
          <w:rFonts w:eastAsia="Calibri"/>
        </w:rPr>
      </w:pPr>
      <w:r w:rsidRPr="00962C66">
        <w:rPr>
          <w:rFonts w:eastAsia="Calibri"/>
        </w:rPr>
        <w:t>Reimbursement for travel and/or per diem, computed in accordance with state rates, incurred while the members are conducting business on behalf of the AIEC Program</w:t>
      </w:r>
    </w:p>
    <w:p w14:paraId="796F6AFF" w14:textId="77777777" w:rsidR="00F75567" w:rsidRPr="00962C66" w:rsidRDefault="00F75567" w:rsidP="00962C66">
      <w:pPr>
        <w:pStyle w:val="ListParagraph"/>
        <w:numPr>
          <w:ilvl w:val="0"/>
          <w:numId w:val="60"/>
        </w:numPr>
        <w:spacing w:after="240"/>
        <w:ind w:left="1800"/>
        <w:rPr>
          <w:rFonts w:eastAsia="Calibri"/>
        </w:rPr>
      </w:pPr>
      <w:r w:rsidRPr="00962C66">
        <w:rPr>
          <w:rFonts w:eastAsia="Calibri"/>
        </w:rPr>
        <w:t>Costs incurred in prior or future years</w:t>
      </w:r>
    </w:p>
    <w:p w14:paraId="4268C042" w14:textId="77777777" w:rsidR="00F75567" w:rsidRPr="00962C66" w:rsidRDefault="00F75567" w:rsidP="00962C66">
      <w:pPr>
        <w:pStyle w:val="ListParagraph"/>
        <w:numPr>
          <w:ilvl w:val="0"/>
          <w:numId w:val="60"/>
        </w:numPr>
        <w:spacing w:after="240"/>
        <w:ind w:left="1800"/>
        <w:rPr>
          <w:rFonts w:eastAsia="Calibri"/>
        </w:rPr>
      </w:pPr>
      <w:r w:rsidRPr="00962C66">
        <w:rPr>
          <w:rFonts w:eastAsia="Calibri"/>
        </w:rPr>
        <w:t>Any expense not included in the approved budget</w:t>
      </w:r>
    </w:p>
    <w:p w14:paraId="47A47520" w14:textId="66581B29" w:rsidR="00F75567" w:rsidRPr="00152741" w:rsidRDefault="00F75567" w:rsidP="00F726B2">
      <w:pPr>
        <w:spacing w:after="240"/>
        <w:ind w:left="720"/>
        <w:rPr>
          <w:rFonts w:eastAsia="Calibri"/>
        </w:rPr>
      </w:pPr>
      <w:r w:rsidRPr="00152741">
        <w:rPr>
          <w:rFonts w:eastAsia="Calibri"/>
        </w:rPr>
        <w:t xml:space="preserve">The CDE shall recoup any payments made for costs </w:t>
      </w:r>
      <w:r w:rsidR="00E72ED4">
        <w:rPr>
          <w:rFonts w:eastAsia="Calibri"/>
        </w:rPr>
        <w:t>that</w:t>
      </w:r>
      <w:r w:rsidRPr="00152741">
        <w:rPr>
          <w:rFonts w:eastAsia="Calibri"/>
        </w:rPr>
        <w:t xml:space="preserve"> w</w:t>
      </w:r>
      <w:r w:rsidR="00211B67" w:rsidRPr="00152741">
        <w:rPr>
          <w:rFonts w:eastAsia="Calibri"/>
        </w:rPr>
        <w:t>ere not reasonable and unallowable</w:t>
      </w:r>
      <w:r w:rsidRPr="00152741">
        <w:rPr>
          <w:rFonts w:eastAsia="Calibri"/>
        </w:rPr>
        <w:t>. The amount that is recouped shall be the excess payment over the reasonable or fair market value, or 100 percent of the cost if the cost was not necessary. The CDE may elect to recover any costs associated with recouping advanced contract funds, including collection services or attorney fees.</w:t>
      </w:r>
    </w:p>
    <w:p w14:paraId="0B2E1B9A" w14:textId="77777777" w:rsidR="00F75567" w:rsidRPr="00152741" w:rsidRDefault="00F75567" w:rsidP="00F726B2">
      <w:pPr>
        <w:spacing w:after="480"/>
        <w:ind w:left="720"/>
        <w:rPr>
          <w:rFonts w:eastAsia="Calibri"/>
        </w:rPr>
      </w:pPr>
      <w:r w:rsidRPr="00152741">
        <w:rPr>
          <w:rFonts w:eastAsia="Calibri"/>
        </w:rPr>
        <w:t>Net reimbursable program costs must be incurred during the grant period. Grantees shall not use current year grant funds to pay pri</w:t>
      </w:r>
      <w:r w:rsidR="00F726B2" w:rsidRPr="00152741">
        <w:rPr>
          <w:rFonts w:eastAsia="Calibri"/>
        </w:rPr>
        <w:t>or or future year obligations.</w:t>
      </w:r>
    </w:p>
    <w:p w14:paraId="02E5A7A9" w14:textId="77777777" w:rsidR="00F726B2" w:rsidRPr="00152741" w:rsidRDefault="00F726B2" w:rsidP="00962C66">
      <w:pPr>
        <w:pStyle w:val="Heading3"/>
        <w:numPr>
          <w:ilvl w:val="0"/>
          <w:numId w:val="25"/>
        </w:numPr>
        <w:spacing w:after="240"/>
        <w:rPr>
          <w:rFonts w:eastAsia="Calibri"/>
        </w:rPr>
      </w:pPr>
      <w:bookmarkStart w:id="49" w:name="_Toc164262862"/>
      <w:r w:rsidRPr="00152741">
        <w:rPr>
          <w:rFonts w:eastAsia="Calibri"/>
        </w:rPr>
        <w:t>Costs Requiring California Department of Education Approval</w:t>
      </w:r>
      <w:bookmarkEnd w:id="49"/>
    </w:p>
    <w:p w14:paraId="3F5DA129" w14:textId="77777777" w:rsidR="00F726B2" w:rsidRPr="00152741" w:rsidRDefault="00F726B2" w:rsidP="00962C66">
      <w:pPr>
        <w:pStyle w:val="ListParagraph"/>
        <w:numPr>
          <w:ilvl w:val="0"/>
          <w:numId w:val="61"/>
        </w:numPr>
        <w:spacing w:after="240"/>
        <w:rPr>
          <w:rFonts w:eastAsia="Calibri"/>
        </w:rPr>
      </w:pPr>
      <w:r w:rsidRPr="00152741">
        <w:rPr>
          <w:rFonts w:eastAsia="Calibri"/>
        </w:rPr>
        <w:t>Any item that is not in the approved budget is unallowable unless written approval is given in advance by the CDE.</w:t>
      </w:r>
    </w:p>
    <w:p w14:paraId="05FC8688" w14:textId="77777777" w:rsidR="00F726B2" w:rsidRPr="00152741" w:rsidRDefault="00F726B2" w:rsidP="00962C66">
      <w:pPr>
        <w:pStyle w:val="ListParagraph"/>
        <w:numPr>
          <w:ilvl w:val="0"/>
          <w:numId w:val="61"/>
        </w:numPr>
        <w:spacing w:after="240"/>
        <w:rPr>
          <w:rFonts w:eastAsia="Calibri"/>
        </w:rPr>
      </w:pPr>
      <w:r w:rsidRPr="00152741">
        <w:rPr>
          <w:rFonts w:eastAsia="Calibri"/>
        </w:rPr>
        <w:t>If indirect costs are claimed, an indirect cost allocation plan must be on file with the grantee and available for review by</w:t>
      </w:r>
      <w:r w:rsidR="007232DB" w:rsidRPr="00152741">
        <w:rPr>
          <w:rFonts w:eastAsia="Calibri"/>
        </w:rPr>
        <w:t xml:space="preserve"> CDE staff. The maximum for an I</w:t>
      </w:r>
      <w:r w:rsidRPr="00152741">
        <w:rPr>
          <w:rFonts w:eastAsia="Calibri"/>
        </w:rPr>
        <w:t>ndirect cost rate for this funding is 7 percent. This rate is applied to budget categories 1000–5000 only in deter</w:t>
      </w:r>
      <w:r w:rsidR="007232DB" w:rsidRPr="00152741">
        <w:rPr>
          <w:rFonts w:eastAsia="Calibri"/>
        </w:rPr>
        <w:t>mining the maximum amount of I</w:t>
      </w:r>
      <w:r w:rsidRPr="00152741">
        <w:rPr>
          <w:rFonts w:eastAsia="Calibri"/>
        </w:rPr>
        <w:t xml:space="preserve">ndirect costs that are reimbursable under the grant. Indirect costs include agency-wide costs for fiscal services, personnel, central support (e.g., bookkeeping, purchasing, warehousing, and printing), </w:t>
      </w:r>
      <w:r w:rsidR="006D5C69" w:rsidRPr="00152741">
        <w:rPr>
          <w:rFonts w:eastAsia="Calibri"/>
        </w:rPr>
        <w:t>and other centralized services.</w:t>
      </w:r>
    </w:p>
    <w:p w14:paraId="43C1B159" w14:textId="77777777" w:rsidR="00F726B2" w:rsidRPr="00152741" w:rsidRDefault="00F726B2" w:rsidP="00962C66">
      <w:pPr>
        <w:pStyle w:val="ListParagraph"/>
        <w:numPr>
          <w:ilvl w:val="1"/>
          <w:numId w:val="62"/>
        </w:numPr>
        <w:spacing w:after="240"/>
        <w:rPr>
          <w:rFonts w:eastAsia="Calibri"/>
        </w:rPr>
      </w:pPr>
      <w:r w:rsidRPr="00152741">
        <w:rPr>
          <w:rFonts w:eastAsia="Calibri"/>
        </w:rPr>
        <w:t>The amount of cost allocable to this grant shall not exceed the benefits to this grant. The allocation method must quantify this benefit among all similar programs and then distribute the costs accordingly.</w:t>
      </w:r>
    </w:p>
    <w:p w14:paraId="78BD8808" w14:textId="77777777" w:rsidR="00F726B2" w:rsidRPr="00152741" w:rsidRDefault="00F726B2" w:rsidP="00962C66">
      <w:pPr>
        <w:pStyle w:val="ListParagraph"/>
        <w:numPr>
          <w:ilvl w:val="1"/>
          <w:numId w:val="62"/>
        </w:numPr>
        <w:spacing w:after="480"/>
        <w:rPr>
          <w:rFonts w:eastAsia="Calibri"/>
        </w:rPr>
      </w:pPr>
      <w:r w:rsidRPr="00152741">
        <w:rPr>
          <w:rFonts w:eastAsia="Calibri"/>
        </w:rPr>
        <w:t>The indirect cost rate shall not include consideration of any costs otherwise non-reimbursable. If a depreciation or use allowance is included in the indirect cost rate, such allowance shall not be claimed on the asset.</w:t>
      </w:r>
    </w:p>
    <w:p w14:paraId="1A189FE8" w14:textId="77777777" w:rsidR="00F726B2" w:rsidRPr="00152741" w:rsidRDefault="00F726B2" w:rsidP="0033175B">
      <w:pPr>
        <w:pStyle w:val="Heading2"/>
        <w:tabs>
          <w:tab w:val="clear" w:pos="360"/>
        </w:tabs>
        <w:spacing w:after="480"/>
        <w:ind w:hanging="634"/>
        <w:rPr>
          <w:rFonts w:eastAsia="Calibri"/>
        </w:rPr>
      </w:pPr>
      <w:bookmarkStart w:id="50" w:name="_Toc164262863"/>
      <w:r w:rsidRPr="00152741">
        <w:rPr>
          <w:rFonts w:eastAsia="Calibri"/>
        </w:rPr>
        <w:t>BUDGET REVISIONS, FISCAL, AND PROGRAMMATIC REPORTING REQUIREMENTS</w:t>
      </w:r>
      <w:bookmarkEnd w:id="50"/>
    </w:p>
    <w:p w14:paraId="3DBB4AA4" w14:textId="77777777" w:rsidR="00887400" w:rsidRPr="00152741" w:rsidRDefault="00887400" w:rsidP="00962C66">
      <w:pPr>
        <w:pStyle w:val="Heading3"/>
        <w:numPr>
          <w:ilvl w:val="0"/>
          <w:numId w:val="41"/>
        </w:numPr>
        <w:spacing w:after="240"/>
        <w:rPr>
          <w:rFonts w:eastAsia="Calibri"/>
        </w:rPr>
      </w:pPr>
      <w:bookmarkStart w:id="51" w:name="_Toc164262864"/>
      <w:r w:rsidRPr="00152741">
        <w:rPr>
          <w:rFonts w:eastAsia="Calibri"/>
        </w:rPr>
        <w:lastRenderedPageBreak/>
        <w:t>Fiscal Accountability Requirements</w:t>
      </w:r>
      <w:bookmarkEnd w:id="51"/>
    </w:p>
    <w:p w14:paraId="552B5ABB" w14:textId="77777777" w:rsidR="00887400" w:rsidRPr="00152741" w:rsidRDefault="00887400" w:rsidP="00887400">
      <w:pPr>
        <w:spacing w:after="480"/>
        <w:ind w:left="720"/>
        <w:rPr>
          <w:bCs w:val="0"/>
          <w:color w:val="000000"/>
          <w:szCs w:val="24"/>
        </w:rPr>
      </w:pPr>
      <w:r w:rsidRPr="00152741">
        <w:rPr>
          <w:rFonts w:eastAsia="Calibri"/>
        </w:rPr>
        <w:t xml:space="preserve">The CDE </w:t>
      </w:r>
      <w:r w:rsidRPr="00152741">
        <w:rPr>
          <w:bCs w:val="0"/>
          <w:color w:val="000000"/>
          <w:szCs w:val="24"/>
        </w:rPr>
        <w:t>receives annual appropriations from the State of California to be used for granting financial assistance to the AIEC Program. The CDE is, therefore, charged with a fiduciary responsibility to see that the taxpayers' money is used appropriately and to require proper accountability from the recipients of its awards. Acceptance of a grant from the CDE creates a legal obligation on the part of the grantee to use the funds in accordance with the terms of the grant and to comply with the grant's provisions and conditions. The grantee thus assumes full responsibility for the conduct of project activities and becomes accountable for meeting fiscal standards in the areas of financial management, internal control, audit, and reporting to the CDE.</w:t>
      </w:r>
    </w:p>
    <w:p w14:paraId="7B449A03" w14:textId="77777777" w:rsidR="00887400" w:rsidRPr="00152741" w:rsidRDefault="00887400" w:rsidP="00962C66">
      <w:pPr>
        <w:pStyle w:val="Heading3"/>
        <w:numPr>
          <w:ilvl w:val="0"/>
          <w:numId w:val="41"/>
        </w:numPr>
        <w:spacing w:after="240"/>
        <w:rPr>
          <w:rFonts w:eastAsia="Calibri"/>
        </w:rPr>
      </w:pPr>
      <w:bookmarkStart w:id="52" w:name="_Toc164262865"/>
      <w:r w:rsidRPr="00152741">
        <w:rPr>
          <w:rFonts w:eastAsia="Calibri"/>
        </w:rPr>
        <w:t>Financial Management Standards</w:t>
      </w:r>
      <w:bookmarkEnd w:id="52"/>
    </w:p>
    <w:p w14:paraId="11D55C61" w14:textId="77777777" w:rsidR="00887400" w:rsidRPr="00152741" w:rsidRDefault="00887400" w:rsidP="00887400">
      <w:pPr>
        <w:spacing w:after="240"/>
        <w:ind w:left="720"/>
        <w:rPr>
          <w:rFonts w:eastAsia="Calibri"/>
        </w:rPr>
      </w:pPr>
      <w:r w:rsidRPr="00152741">
        <w:rPr>
          <w:rFonts w:eastAsia="Calibri"/>
        </w:rPr>
        <w:t xml:space="preserve">Grantees shall adhere to the accounting and fiscal management requirements set forth in 5 </w:t>
      </w:r>
      <w:r w:rsidRPr="00152741">
        <w:rPr>
          <w:rFonts w:eastAsia="Calibri"/>
          <w:i/>
        </w:rPr>
        <w:t>CCR</w:t>
      </w:r>
      <w:r w:rsidRPr="00152741">
        <w:rPr>
          <w:rFonts w:eastAsia="Calibri"/>
        </w:rPr>
        <w:t>, sections 11996.7 and 11996.8. In order to adhere to these obligations, grantees at a minimum must conform their accounting and fiscal management practices to include the following:</w:t>
      </w:r>
    </w:p>
    <w:p w14:paraId="4145AF4F" w14:textId="77777777" w:rsidR="00887400" w:rsidRPr="00152741" w:rsidRDefault="00887400" w:rsidP="00962C66">
      <w:pPr>
        <w:numPr>
          <w:ilvl w:val="0"/>
          <w:numId w:val="63"/>
        </w:numPr>
        <w:spacing w:after="240"/>
        <w:rPr>
          <w:rFonts w:eastAsia="Calibri"/>
        </w:rPr>
      </w:pPr>
      <w:r w:rsidRPr="00152741">
        <w:rPr>
          <w:rFonts w:eastAsia="Calibri"/>
        </w:rPr>
        <w:t>Recipients must have accounting structures that provide accurate and complete information about all financial transactions related to the project.</w:t>
      </w:r>
    </w:p>
    <w:p w14:paraId="29633AC6" w14:textId="675A0F6D" w:rsidR="00887400" w:rsidRPr="00152741" w:rsidRDefault="00887400" w:rsidP="00962C66">
      <w:pPr>
        <w:numPr>
          <w:ilvl w:val="0"/>
          <w:numId w:val="63"/>
        </w:numPr>
        <w:spacing w:after="240"/>
        <w:rPr>
          <w:rFonts w:eastAsia="Calibri"/>
        </w:rPr>
      </w:pPr>
      <w:r w:rsidRPr="00152741">
        <w:rPr>
          <w:rFonts w:eastAsia="Calibri"/>
        </w:rPr>
        <w:t xml:space="preserve">Quarterly fiscal expenditure reports must be at least as detailed as the cost categories indicated in the approved budget (including indirect costs that are charged to the project). Actual </w:t>
      </w:r>
      <w:r w:rsidR="00AF6775" w:rsidRPr="00152741">
        <w:rPr>
          <w:rFonts w:eastAsia="Calibri"/>
        </w:rPr>
        <w:t>expenditure</w:t>
      </w:r>
      <w:r w:rsidRPr="00152741">
        <w:rPr>
          <w:rFonts w:eastAsia="Calibri"/>
        </w:rPr>
        <w:t xml:space="preserve"> must be consistent with budgeted amounts.</w:t>
      </w:r>
    </w:p>
    <w:p w14:paraId="5ED285EF" w14:textId="67FE3F8E" w:rsidR="00887400" w:rsidRPr="00962C66" w:rsidRDefault="00887400" w:rsidP="00962C66">
      <w:pPr>
        <w:pStyle w:val="ListParagraph"/>
        <w:numPr>
          <w:ilvl w:val="0"/>
          <w:numId w:val="64"/>
        </w:numPr>
        <w:spacing w:after="240"/>
        <w:ind w:left="2160"/>
        <w:rPr>
          <w:rFonts w:eastAsia="Calibri"/>
        </w:rPr>
      </w:pPr>
      <w:r w:rsidRPr="00962C66">
        <w:rPr>
          <w:rFonts w:eastAsia="Calibri"/>
        </w:rPr>
        <w:t xml:space="preserve">Once an expenditure report has been approved, changes will not be allowed, unless </w:t>
      </w:r>
      <w:r w:rsidR="00AF6775" w:rsidRPr="00962C66">
        <w:rPr>
          <w:rFonts w:eastAsia="Calibri"/>
        </w:rPr>
        <w:t>thorough</w:t>
      </w:r>
      <w:r w:rsidRPr="00962C66">
        <w:rPr>
          <w:rFonts w:eastAsia="Calibri"/>
        </w:rPr>
        <w:t xml:space="preserve"> justification is approved by the CDE.</w:t>
      </w:r>
    </w:p>
    <w:p w14:paraId="4D691104" w14:textId="77777777" w:rsidR="00887400" w:rsidRPr="00962C66" w:rsidRDefault="00887400" w:rsidP="00962C66">
      <w:pPr>
        <w:pStyle w:val="ListParagraph"/>
        <w:numPr>
          <w:ilvl w:val="0"/>
          <w:numId w:val="63"/>
        </w:numPr>
        <w:spacing w:after="240"/>
        <w:rPr>
          <w:rFonts w:eastAsia="Calibri"/>
        </w:rPr>
      </w:pPr>
      <w:r w:rsidRPr="00962C66">
        <w:rPr>
          <w:rFonts w:eastAsia="Calibri"/>
        </w:rPr>
        <w:t>Accounting records are to be maintained on a current basis and balanced monthly.</w:t>
      </w:r>
    </w:p>
    <w:p w14:paraId="52BEB592" w14:textId="77777777" w:rsidR="00887400" w:rsidRPr="00962C66" w:rsidRDefault="00887400" w:rsidP="00962C66">
      <w:pPr>
        <w:pStyle w:val="ListParagraph"/>
        <w:numPr>
          <w:ilvl w:val="0"/>
          <w:numId w:val="63"/>
        </w:numPr>
        <w:spacing w:after="240"/>
        <w:rPr>
          <w:rFonts w:eastAsia="Calibri"/>
        </w:rPr>
      </w:pPr>
      <w:r w:rsidRPr="00962C66">
        <w:rPr>
          <w:rFonts w:eastAsia="Calibri"/>
        </w:rPr>
        <w:t>Quarterly fiscal expenditure reports must reflect actual expenditures incurred during the quarter in which the report pertains. Costs may be incurred only during the grant period.</w:t>
      </w:r>
    </w:p>
    <w:p w14:paraId="79488A30" w14:textId="27EB3A3A" w:rsidR="00887400" w:rsidRPr="00962C66" w:rsidRDefault="00887400" w:rsidP="00962C66">
      <w:pPr>
        <w:pStyle w:val="ListParagraph"/>
        <w:numPr>
          <w:ilvl w:val="0"/>
          <w:numId w:val="63"/>
        </w:numPr>
        <w:spacing w:after="240"/>
        <w:rPr>
          <w:rFonts w:eastAsia="Calibri"/>
        </w:rPr>
      </w:pPr>
      <w:r w:rsidRPr="00962C66">
        <w:rPr>
          <w:rFonts w:eastAsia="Calibri"/>
        </w:rPr>
        <w:t xml:space="preserve">The quarterly fiscal expenditure reports must be supported by source documentation such as </w:t>
      </w:r>
      <w:r w:rsidR="00921BC6" w:rsidRPr="00962C66">
        <w:rPr>
          <w:rFonts w:eastAsia="Calibri"/>
        </w:rPr>
        <w:t>canceled</w:t>
      </w:r>
      <w:r w:rsidRPr="00962C66">
        <w:rPr>
          <w:rFonts w:eastAsia="Calibri"/>
        </w:rPr>
        <w:t xml:space="preserve"> checks, invoices, contracts, travel reports, donor letters, in-kind contribution reports, and personnel activity reports.</w:t>
      </w:r>
    </w:p>
    <w:p w14:paraId="6EEA3FB5" w14:textId="77777777" w:rsidR="00887400" w:rsidRPr="00962C66" w:rsidRDefault="00887400" w:rsidP="00962C66">
      <w:pPr>
        <w:pStyle w:val="ListParagraph"/>
        <w:numPr>
          <w:ilvl w:val="0"/>
          <w:numId w:val="63"/>
        </w:numPr>
        <w:spacing w:after="240"/>
        <w:rPr>
          <w:rFonts w:eastAsia="Calibri"/>
        </w:rPr>
      </w:pPr>
      <w:r w:rsidRPr="00962C66">
        <w:rPr>
          <w:rFonts w:eastAsia="Calibri"/>
        </w:rPr>
        <w:t>The same specific costs cannot be claimed and reported on more than one grant and in more than one quarterly report.</w:t>
      </w:r>
    </w:p>
    <w:p w14:paraId="2B9AEEBA" w14:textId="77777777" w:rsidR="00887400" w:rsidRPr="00152741" w:rsidRDefault="00887400" w:rsidP="00962C66">
      <w:pPr>
        <w:numPr>
          <w:ilvl w:val="0"/>
          <w:numId w:val="63"/>
        </w:numPr>
        <w:spacing w:after="240"/>
        <w:rPr>
          <w:rFonts w:eastAsia="Calibri"/>
        </w:rPr>
      </w:pPr>
      <w:r w:rsidRPr="00152741">
        <w:rPr>
          <w:rFonts w:eastAsia="Calibri"/>
        </w:rPr>
        <w:lastRenderedPageBreak/>
        <w:t>Every employee whose salary is charged, in whole or in part, to a grant must use personnel activity reports to account for all compensated time, including time spent on other activities.</w:t>
      </w:r>
    </w:p>
    <w:p w14:paraId="71C525AA" w14:textId="77777777" w:rsidR="00887400" w:rsidRPr="00152741" w:rsidRDefault="00887400" w:rsidP="00962C66">
      <w:pPr>
        <w:numPr>
          <w:ilvl w:val="1"/>
          <w:numId w:val="65"/>
        </w:numPr>
        <w:spacing w:after="240"/>
        <w:ind w:left="2160"/>
        <w:rPr>
          <w:rFonts w:eastAsia="Calibri"/>
        </w:rPr>
      </w:pPr>
      <w:r w:rsidRPr="00152741">
        <w:rPr>
          <w:rFonts w:eastAsia="Calibri"/>
        </w:rPr>
        <w:t>If the grantee has more than one program, then the method used to allocate administrative costs must be documented.</w:t>
      </w:r>
    </w:p>
    <w:p w14:paraId="3342F1A1" w14:textId="77777777" w:rsidR="00887400" w:rsidRPr="00152741" w:rsidRDefault="00887400" w:rsidP="00962C66">
      <w:pPr>
        <w:numPr>
          <w:ilvl w:val="1"/>
          <w:numId w:val="65"/>
        </w:numPr>
        <w:spacing w:after="240"/>
        <w:ind w:left="2160"/>
        <w:rPr>
          <w:rFonts w:eastAsia="Calibri"/>
        </w:rPr>
      </w:pPr>
      <w:r w:rsidRPr="00152741">
        <w:rPr>
          <w:rFonts w:eastAsia="Calibri"/>
        </w:rPr>
        <w:t>If an employee is multi-funded on a time accounting basis, then the employee’s time sheet must indicate the actual amount of time spent in each program per day.</w:t>
      </w:r>
    </w:p>
    <w:p w14:paraId="2A3C8588" w14:textId="77777777" w:rsidR="00887400" w:rsidRPr="00152741" w:rsidRDefault="00887400" w:rsidP="00962C66">
      <w:pPr>
        <w:numPr>
          <w:ilvl w:val="1"/>
          <w:numId w:val="65"/>
        </w:numPr>
        <w:spacing w:after="240"/>
        <w:ind w:left="2160"/>
        <w:rPr>
          <w:rFonts w:eastAsia="Calibri"/>
        </w:rPr>
      </w:pPr>
      <w:r w:rsidRPr="00152741">
        <w:rPr>
          <w:rFonts w:eastAsia="Calibri"/>
        </w:rPr>
        <w:t>Vacation hours cannot be accrued from year to year and must be used within the grant year in which it was accumulated.</w:t>
      </w:r>
    </w:p>
    <w:p w14:paraId="6EDB764A" w14:textId="77777777" w:rsidR="00887400" w:rsidRPr="00152741" w:rsidRDefault="00887400" w:rsidP="00962C66">
      <w:pPr>
        <w:numPr>
          <w:ilvl w:val="0"/>
          <w:numId w:val="63"/>
        </w:numPr>
        <w:spacing w:after="240"/>
        <w:rPr>
          <w:rFonts w:eastAsia="Calibri"/>
        </w:rPr>
      </w:pPr>
      <w:r w:rsidRPr="00152741">
        <w:rPr>
          <w:rFonts w:eastAsia="Calibri"/>
        </w:rPr>
        <w:t>Records must be preserved for five years following submission of the final financial status report. However, if records of receipts are being reviewed or audited, records of receipts must be kept until review/audit is completed. The CDE employees or representatives shall be allowed access to all program related or fiscal records during normal work hours.</w:t>
      </w:r>
    </w:p>
    <w:p w14:paraId="7455E473" w14:textId="77777777" w:rsidR="00887400" w:rsidRPr="00152741" w:rsidRDefault="00887400" w:rsidP="00962C66">
      <w:pPr>
        <w:numPr>
          <w:ilvl w:val="0"/>
          <w:numId w:val="63"/>
        </w:numPr>
        <w:spacing w:after="240"/>
        <w:rPr>
          <w:rFonts w:eastAsia="Calibri"/>
        </w:rPr>
      </w:pPr>
      <w:r w:rsidRPr="00152741">
        <w:rPr>
          <w:rFonts w:eastAsia="Calibri"/>
        </w:rPr>
        <w:t>The applicable Office of Management and Budget (OMB) cost principles and the terms and conditions of the grant award shall be followed in determining whether costs are reasonable, allowable, and allocable.</w:t>
      </w:r>
    </w:p>
    <w:p w14:paraId="1E29FB74" w14:textId="143E1F17" w:rsidR="00887400" w:rsidRPr="00152741" w:rsidRDefault="00887400" w:rsidP="00E44E65">
      <w:pPr>
        <w:spacing w:after="240"/>
        <w:ind w:left="720"/>
        <w:rPr>
          <w:rFonts w:eastAsia="Calibri"/>
        </w:rPr>
      </w:pPr>
      <w:r w:rsidRPr="00152741">
        <w:rPr>
          <w:rFonts w:eastAsia="Calibri"/>
        </w:rPr>
        <w:t xml:space="preserve">If the grantee organization is unable to meet the standards that are covered here, CDE funding may be </w:t>
      </w:r>
      <w:r w:rsidR="00AF6775" w:rsidRPr="00152741">
        <w:rPr>
          <w:rFonts w:eastAsia="Calibri"/>
        </w:rPr>
        <w:t>terminated,</w:t>
      </w:r>
      <w:r w:rsidR="00AF6775">
        <w:rPr>
          <w:rFonts w:eastAsia="Calibri"/>
        </w:rPr>
        <w:t xml:space="preserve"> </w:t>
      </w:r>
      <w:r w:rsidRPr="00152741">
        <w:rPr>
          <w:rFonts w:eastAsia="Calibri"/>
        </w:rPr>
        <w:t>and the organization may be deemed ineligible to receive subsequent financial assistance or may be placed on an alternative method of funding.</w:t>
      </w:r>
    </w:p>
    <w:p w14:paraId="4BA0455E" w14:textId="77777777" w:rsidR="00887400" w:rsidRPr="00152741" w:rsidRDefault="00887400" w:rsidP="00887400">
      <w:pPr>
        <w:spacing w:after="240"/>
        <w:ind w:left="720"/>
        <w:rPr>
          <w:rFonts w:eastAsia="Calibri"/>
        </w:rPr>
      </w:pPr>
      <w:r w:rsidRPr="00152741">
        <w:rPr>
          <w:rFonts w:eastAsia="Calibri"/>
        </w:rPr>
        <w:t>A grantee is not eligible for additional funds if the grantee has received final notification that its grant has been terminated. A grantee is not eligible for additional funds if the grantee has demonstrated fiscal and/or programmatic noncompliance and has received final notification that it will not be offered continued funding.</w:t>
      </w:r>
    </w:p>
    <w:p w14:paraId="5E91F1C7" w14:textId="77777777" w:rsidR="00887400" w:rsidRPr="00152741" w:rsidRDefault="00887400" w:rsidP="00887400">
      <w:pPr>
        <w:spacing w:after="240"/>
        <w:ind w:left="720"/>
        <w:rPr>
          <w:rFonts w:eastAsia="Calibri"/>
        </w:rPr>
      </w:pPr>
      <w:r w:rsidRPr="00152741">
        <w:rPr>
          <w:rFonts w:eastAsia="Calibri"/>
        </w:rPr>
        <w:t>Grantees have no vested right to a subsequent grant. Grantees that have evidenced fiscal or programmatic noncompliance with the provisions of this grant, laws, or regulations shall receive an administrative review to determine whether they will receive an offer for continued funding.</w:t>
      </w:r>
    </w:p>
    <w:p w14:paraId="1FF535D6" w14:textId="77777777" w:rsidR="00887400" w:rsidRPr="00152741" w:rsidRDefault="00887400" w:rsidP="00887400">
      <w:pPr>
        <w:spacing w:after="480"/>
        <w:ind w:left="720"/>
        <w:rPr>
          <w:rFonts w:eastAsia="Calibri"/>
        </w:rPr>
      </w:pPr>
      <w:r w:rsidRPr="00152741">
        <w:rPr>
          <w:rFonts w:eastAsia="Calibri"/>
        </w:rPr>
        <w:t>Grantees that intend to accept the offer to continue services in the subsequent grant period shall respond to a continued funding application request from the CDE in accordance with the instructions and timelines specified in the request. Failure to respond within the timelines specified in the continued funding application request shall constitute notification to the CDE of the grantee’s intent to discontinue services at the end of the current grant period unless the contractor has received a written extension of the original timeline from the CDE.</w:t>
      </w:r>
    </w:p>
    <w:p w14:paraId="1D1F24B7" w14:textId="77777777" w:rsidR="00887400" w:rsidRPr="00152741" w:rsidRDefault="00887400" w:rsidP="00962C66">
      <w:pPr>
        <w:pStyle w:val="Heading3"/>
        <w:numPr>
          <w:ilvl w:val="0"/>
          <w:numId w:val="41"/>
        </w:numPr>
        <w:spacing w:after="240"/>
        <w:rPr>
          <w:rFonts w:eastAsia="Calibri"/>
        </w:rPr>
      </w:pPr>
      <w:bookmarkStart w:id="53" w:name="_Toc164262866"/>
      <w:r w:rsidRPr="00152741">
        <w:rPr>
          <w:rFonts w:eastAsia="Calibri"/>
        </w:rPr>
        <w:lastRenderedPageBreak/>
        <w:t>Internal Control Standards</w:t>
      </w:r>
      <w:bookmarkEnd w:id="53"/>
    </w:p>
    <w:p w14:paraId="4ED04F61" w14:textId="527D0D53" w:rsidR="00887400" w:rsidRPr="00152741" w:rsidRDefault="00887400" w:rsidP="00887400">
      <w:pPr>
        <w:spacing w:after="240"/>
        <w:ind w:left="720"/>
        <w:rPr>
          <w:rFonts w:eastAsia="Calibri"/>
        </w:rPr>
      </w:pPr>
      <w:r w:rsidRPr="00152741">
        <w:rPr>
          <w:rFonts w:eastAsia="Calibri"/>
        </w:rPr>
        <w:t>Organizations must provide safeguards for all grant property, whether cash or other assets and assure that it is used solely for authorized purposes. Control will be enhanced if the duties of the members of the organization are divided so that no one person handles all aspects of a transaction from beginning to end. Although a complete separation of functions may not be feasible for a small organization, some measure of effective control may be obtained by planning the assignment of duties carefully. Many of the most effective techniques for providing internal control are very simple. Some examples are:</w:t>
      </w:r>
    </w:p>
    <w:p w14:paraId="28822058" w14:textId="77777777" w:rsidR="00887400" w:rsidRPr="00152741" w:rsidRDefault="00887400" w:rsidP="00962C66">
      <w:pPr>
        <w:numPr>
          <w:ilvl w:val="0"/>
          <w:numId w:val="66"/>
        </w:numPr>
        <w:spacing w:after="240"/>
        <w:rPr>
          <w:rFonts w:eastAsia="Calibri"/>
        </w:rPr>
      </w:pPr>
      <w:r w:rsidRPr="00152741">
        <w:rPr>
          <w:rFonts w:eastAsia="Calibri"/>
        </w:rPr>
        <w:t>Cash receipts should be recorded immediately and deposited daily.</w:t>
      </w:r>
    </w:p>
    <w:p w14:paraId="231F9D39" w14:textId="77777777" w:rsidR="00887400" w:rsidRPr="00152741" w:rsidRDefault="00887400" w:rsidP="00962C66">
      <w:pPr>
        <w:numPr>
          <w:ilvl w:val="0"/>
          <w:numId w:val="66"/>
        </w:numPr>
        <w:spacing w:after="240"/>
        <w:rPr>
          <w:rFonts w:eastAsia="Calibri"/>
        </w:rPr>
      </w:pPr>
      <w:r w:rsidRPr="00152741">
        <w:rPr>
          <w:rFonts w:eastAsia="Calibri"/>
        </w:rPr>
        <w:t>Bank accounts should be reconciled monthly by someone other than the person who signs the checks.</w:t>
      </w:r>
    </w:p>
    <w:p w14:paraId="0EDF519A" w14:textId="77777777" w:rsidR="00887400" w:rsidRPr="00152741" w:rsidRDefault="00887400" w:rsidP="00962C66">
      <w:pPr>
        <w:numPr>
          <w:ilvl w:val="0"/>
          <w:numId w:val="66"/>
        </w:numPr>
        <w:spacing w:after="240"/>
        <w:rPr>
          <w:rFonts w:eastAsia="Calibri"/>
        </w:rPr>
      </w:pPr>
      <w:r w:rsidRPr="00152741">
        <w:rPr>
          <w:rFonts w:eastAsia="Calibri"/>
        </w:rPr>
        <w:t>If petty cash is used it should be entrusted to a single custodian and used for all payments other than those made by check. Petty cash must be reconciled monthly.</w:t>
      </w:r>
    </w:p>
    <w:p w14:paraId="284A35C6" w14:textId="77777777" w:rsidR="00887400" w:rsidRPr="00152741" w:rsidRDefault="00887400" w:rsidP="00962C66">
      <w:pPr>
        <w:numPr>
          <w:ilvl w:val="0"/>
          <w:numId w:val="66"/>
        </w:numPr>
        <w:spacing w:after="240"/>
        <w:rPr>
          <w:rFonts w:eastAsia="Calibri"/>
        </w:rPr>
      </w:pPr>
      <w:r w:rsidRPr="00152741">
        <w:rPr>
          <w:rFonts w:eastAsia="Calibri"/>
        </w:rPr>
        <w:t>Checks to vendors should be issued only in payment of approved invoices and the supporting documents for those approved invoices.</w:t>
      </w:r>
    </w:p>
    <w:p w14:paraId="41FDA294" w14:textId="5934FB10" w:rsidR="00887400" w:rsidRPr="00152741" w:rsidRDefault="00887400" w:rsidP="00962C66">
      <w:pPr>
        <w:numPr>
          <w:ilvl w:val="0"/>
          <w:numId w:val="66"/>
        </w:numPr>
        <w:spacing w:after="240"/>
        <w:rPr>
          <w:rFonts w:eastAsia="Calibri"/>
        </w:rPr>
      </w:pPr>
      <w:r w:rsidRPr="00152741">
        <w:rPr>
          <w:rFonts w:eastAsia="Calibri"/>
        </w:rPr>
        <w:t xml:space="preserve">The person who is responsible for the physical custody of an asset should </w:t>
      </w:r>
      <w:r w:rsidR="00AF6775" w:rsidRPr="00152741">
        <w:rPr>
          <w:rFonts w:eastAsia="Calibri"/>
        </w:rPr>
        <w:t>also not</w:t>
      </w:r>
      <w:r w:rsidRPr="00152741">
        <w:rPr>
          <w:rFonts w:eastAsia="Calibri"/>
        </w:rPr>
        <w:t xml:space="preserve"> have responsibility for keeping the records related to that asset.</w:t>
      </w:r>
    </w:p>
    <w:p w14:paraId="3A52E3B4" w14:textId="77777777" w:rsidR="00887400" w:rsidRPr="00152741" w:rsidRDefault="00887400" w:rsidP="00962C66">
      <w:pPr>
        <w:numPr>
          <w:ilvl w:val="0"/>
          <w:numId w:val="66"/>
        </w:numPr>
        <w:spacing w:after="240"/>
        <w:rPr>
          <w:rFonts w:eastAsia="Calibri"/>
        </w:rPr>
      </w:pPr>
      <w:r w:rsidRPr="00152741">
        <w:rPr>
          <w:rFonts w:eastAsia="Calibri"/>
        </w:rPr>
        <w:t>The person who has authority for placing employees on the payroll and establishing wage rates should not be the same person who signs the checks.</w:t>
      </w:r>
    </w:p>
    <w:p w14:paraId="18F6455D" w14:textId="77777777" w:rsidR="00887400" w:rsidRPr="00152741" w:rsidRDefault="00887400" w:rsidP="00003C47">
      <w:pPr>
        <w:spacing w:after="240"/>
        <w:ind w:left="720"/>
        <w:rPr>
          <w:rFonts w:eastAsia="Calibri"/>
        </w:rPr>
      </w:pPr>
      <w:r w:rsidRPr="00152741">
        <w:rPr>
          <w:rFonts w:eastAsia="Calibri"/>
        </w:rPr>
        <w:t>Except for external payroll services, grantees shall not use any pre-signed, pre-authorized, or pre-stamped checks without the prior written approval of the CDE.</w:t>
      </w:r>
    </w:p>
    <w:p w14:paraId="3ACFB383" w14:textId="77777777" w:rsidR="00887400" w:rsidRPr="00152741" w:rsidRDefault="00887400" w:rsidP="00003C47">
      <w:pPr>
        <w:spacing w:after="240"/>
        <w:ind w:left="720"/>
        <w:rPr>
          <w:rFonts w:eastAsia="Calibri"/>
        </w:rPr>
      </w:pPr>
      <w:r w:rsidRPr="00152741">
        <w:rPr>
          <w:rFonts w:eastAsia="Calibri"/>
        </w:rPr>
        <w:t>Grantees shall require two authorized signatures on all checks unless:</w:t>
      </w:r>
    </w:p>
    <w:p w14:paraId="4D26814E" w14:textId="77777777" w:rsidR="00887400" w:rsidRPr="00152741" w:rsidRDefault="00887400" w:rsidP="00962C66">
      <w:pPr>
        <w:numPr>
          <w:ilvl w:val="0"/>
          <w:numId w:val="13"/>
        </w:numPr>
        <w:spacing w:after="240"/>
        <w:ind w:left="1800"/>
        <w:rPr>
          <w:rFonts w:eastAsia="Calibri"/>
        </w:rPr>
      </w:pPr>
      <w:r w:rsidRPr="00152741">
        <w:rPr>
          <w:rFonts w:eastAsia="Calibri"/>
        </w:rPr>
        <w:t>The grantee has a policy approved by its governing board requiring dual signatures only on checks above a specified dollar amount.</w:t>
      </w:r>
    </w:p>
    <w:p w14:paraId="593B6992" w14:textId="77777777" w:rsidR="00887400" w:rsidRPr="00152741" w:rsidRDefault="00887400" w:rsidP="00962C66">
      <w:pPr>
        <w:numPr>
          <w:ilvl w:val="0"/>
          <w:numId w:val="13"/>
        </w:numPr>
        <w:spacing w:after="240"/>
        <w:ind w:left="1800"/>
        <w:rPr>
          <w:rFonts w:eastAsia="Calibri"/>
        </w:rPr>
      </w:pPr>
      <w:r w:rsidRPr="00152741">
        <w:rPr>
          <w:rFonts w:eastAsia="Calibri"/>
        </w:rPr>
        <w:t>The annual audit verifies that appropriate internal controls are maintained.</w:t>
      </w:r>
    </w:p>
    <w:p w14:paraId="574DF6E1" w14:textId="3840DC3B" w:rsidR="00887400" w:rsidRPr="00152741" w:rsidRDefault="00887400" w:rsidP="00003C47">
      <w:pPr>
        <w:spacing w:after="240"/>
        <w:ind w:left="720"/>
        <w:rPr>
          <w:rFonts w:eastAsia="Calibri"/>
        </w:rPr>
      </w:pPr>
      <w:r w:rsidRPr="00152741">
        <w:rPr>
          <w:rFonts w:eastAsia="Calibri"/>
        </w:rPr>
        <w:t xml:space="preserve">Grantees shall not loan funds to individuals, corporations, organizations, public agencies, or private agencies. Grantees shall not advance unearned salary to employees. </w:t>
      </w:r>
      <w:r w:rsidR="00AF6775" w:rsidRPr="00152741">
        <w:rPr>
          <w:rFonts w:eastAsia="Calibri"/>
        </w:rPr>
        <w:t>The grantee</w:t>
      </w:r>
      <w:r w:rsidRPr="00152741">
        <w:rPr>
          <w:rFonts w:eastAsia="Calibri"/>
        </w:rPr>
        <w:t xml:space="preserve"> shall not make advance payments to subcontractors and shall compensate subcontractors after services are rendered or goods are </w:t>
      </w:r>
      <w:r w:rsidR="000F71C9" w:rsidRPr="00152741">
        <w:rPr>
          <w:rFonts w:eastAsia="Calibri"/>
        </w:rPr>
        <w:t>received,</w:t>
      </w:r>
      <w:r w:rsidRPr="00152741">
        <w:rPr>
          <w:rFonts w:eastAsia="Calibri"/>
        </w:rPr>
        <w:t xml:space="preserve"> and an invoice has been submitted.</w:t>
      </w:r>
    </w:p>
    <w:p w14:paraId="650504B5" w14:textId="77777777" w:rsidR="00887400" w:rsidRPr="00152741" w:rsidRDefault="00887400" w:rsidP="00003C47">
      <w:pPr>
        <w:spacing w:after="240"/>
        <w:ind w:left="720"/>
        <w:rPr>
          <w:rFonts w:eastAsia="Calibri"/>
        </w:rPr>
      </w:pPr>
      <w:r w:rsidRPr="00152741">
        <w:rPr>
          <w:rFonts w:eastAsia="Calibri"/>
        </w:rPr>
        <w:lastRenderedPageBreak/>
        <w:t>Inventory records must be maintained that include a description of the equipment, serial number or other identification number, the source of the equipment, the acquisition date, the cost of the equipment, the location, use and condition of the equipment, and any ultimate disposition date, including date of disposal and sale price if applicable. A physical inventory of equipment must be taken every year. A control system must be developed to ensure adequate safeguards to prevent loss, damage, or theft (any loss, damage, or theft must be investigated); and adequate maintenance procedures must be developed to keep t</w:t>
      </w:r>
      <w:r w:rsidR="00003C47" w:rsidRPr="00152741">
        <w:rPr>
          <w:rFonts w:eastAsia="Calibri"/>
        </w:rPr>
        <w:t>he equipment in good condition.</w:t>
      </w:r>
    </w:p>
    <w:p w14:paraId="0C926DF9" w14:textId="77777777" w:rsidR="00887400" w:rsidRPr="00152741" w:rsidRDefault="00887400" w:rsidP="00003C47">
      <w:pPr>
        <w:spacing w:after="240"/>
        <w:ind w:left="720"/>
        <w:rPr>
          <w:rFonts w:eastAsia="Calibri"/>
        </w:rPr>
      </w:pPr>
      <w:r w:rsidRPr="00152741">
        <w:rPr>
          <w:rFonts w:eastAsia="Calibri"/>
        </w:rPr>
        <w:t>Depreciation is a cost in the current fiscal year based on acquisition costs, less any estimated residual value, computed on a straight-line method from the original date of acquisition (based on the normal, estimated useful life expectancy of the asset). When depreciation is applied to assets acquired in prior years, the annual charges shall not exceed the amounts that would have resulted had depreciation been claime</w:t>
      </w:r>
      <w:r w:rsidR="00003C47" w:rsidRPr="00152741">
        <w:rPr>
          <w:rFonts w:eastAsia="Calibri"/>
        </w:rPr>
        <w:t>d from the date of acquisition.</w:t>
      </w:r>
    </w:p>
    <w:p w14:paraId="6891913E" w14:textId="77777777" w:rsidR="00887400" w:rsidRPr="00152741" w:rsidRDefault="00887400" w:rsidP="00E44E65">
      <w:pPr>
        <w:spacing w:after="240"/>
        <w:ind w:left="720"/>
        <w:rPr>
          <w:rFonts w:eastAsia="Calibri"/>
        </w:rPr>
      </w:pPr>
      <w:r w:rsidRPr="00152741">
        <w:rPr>
          <w:rFonts w:eastAsia="Calibri"/>
        </w:rPr>
        <w:t>When equipment is purchased with state funds, the equipment shall vest with the grantee only for such period of time as the grantee has a grant with the CDE. The CDE may provide written authorization for the grantee to retain the equipment for the grantee’s own use if a fair compensation is paid to the state for the state’s share of the cost of the equipment. Fair compensation shall be determined by the state using the state’s share of original acquisition cost, less depreciation, computed on a straight-line method over the estimated useful li</w:t>
      </w:r>
      <w:r w:rsidR="00003C47" w:rsidRPr="00152741">
        <w:rPr>
          <w:rFonts w:eastAsia="Calibri"/>
        </w:rPr>
        <w:t>fe expectancy of the equipment.</w:t>
      </w:r>
    </w:p>
    <w:p w14:paraId="337DE2AC" w14:textId="77777777" w:rsidR="00887400" w:rsidRPr="00152741" w:rsidRDefault="00887400" w:rsidP="00003C47">
      <w:pPr>
        <w:spacing w:after="240"/>
        <w:ind w:left="720"/>
        <w:rPr>
          <w:rFonts w:eastAsia="Calibri"/>
        </w:rPr>
      </w:pPr>
      <w:r w:rsidRPr="00152741">
        <w:rPr>
          <w:rFonts w:eastAsia="Calibri"/>
        </w:rPr>
        <w:t>When equipment is purchased in whole or in part with state funds, the grantee shall use the equipment exclusively in the program(s) from which funds were used to purchase the equipment. If the grantee wishes to share the use of the equipment between/among two or more programs, the cost of such equipment shall be prora</w:t>
      </w:r>
      <w:r w:rsidR="00003C47" w:rsidRPr="00152741">
        <w:rPr>
          <w:rFonts w:eastAsia="Calibri"/>
        </w:rPr>
        <w:t>ted between/among the programs.</w:t>
      </w:r>
    </w:p>
    <w:p w14:paraId="7F6DB094" w14:textId="77777777" w:rsidR="00887400" w:rsidRPr="00152741" w:rsidRDefault="00887400" w:rsidP="00003C47">
      <w:pPr>
        <w:spacing w:after="480"/>
        <w:ind w:left="720"/>
        <w:rPr>
          <w:rFonts w:eastAsia="Calibri"/>
        </w:rPr>
      </w:pPr>
      <w:r w:rsidRPr="00152741">
        <w:rPr>
          <w:rFonts w:eastAsia="Calibri"/>
        </w:rPr>
        <w:t>The grantee may dispose of obsolete equipment and remove the asset at its recorded value. If the sale of equipment originally purchased with state funds occurs, the proceeds from the sale of the equipment must be returned to the program. If the grantee no longer has a grant with the CDE, the grantee shall dispose of the equipment in accordance with written directions from the CDE.</w:t>
      </w:r>
    </w:p>
    <w:p w14:paraId="2E1C24A3" w14:textId="77777777" w:rsidR="00003C47" w:rsidRPr="00152741" w:rsidRDefault="00003C47" w:rsidP="00962C66">
      <w:pPr>
        <w:pStyle w:val="Heading3"/>
        <w:numPr>
          <w:ilvl w:val="0"/>
          <w:numId w:val="41"/>
        </w:numPr>
        <w:tabs>
          <w:tab w:val="clear" w:pos="960"/>
          <w:tab w:val="clear" w:pos="1440"/>
          <w:tab w:val="clear" w:pos="1800"/>
          <w:tab w:val="clear" w:pos="2160"/>
        </w:tabs>
        <w:spacing w:after="240"/>
        <w:rPr>
          <w:rFonts w:eastAsia="Calibri"/>
        </w:rPr>
      </w:pPr>
      <w:bookmarkStart w:id="54" w:name="_Toc164262867"/>
      <w:r w:rsidRPr="00152741">
        <w:rPr>
          <w:rFonts w:eastAsia="Calibri"/>
        </w:rPr>
        <w:t>Audit Standards</w:t>
      </w:r>
      <w:bookmarkEnd w:id="54"/>
    </w:p>
    <w:p w14:paraId="157CC6A8" w14:textId="77777777" w:rsidR="0091214F" w:rsidRPr="0091214F" w:rsidRDefault="0091214F" w:rsidP="000F71C9">
      <w:pPr>
        <w:pStyle w:val="ListParagraph"/>
        <w:autoSpaceDE w:val="0"/>
        <w:autoSpaceDN w:val="0"/>
        <w:adjustRightInd w:val="0"/>
        <w:spacing w:after="240"/>
        <w:ind w:right="-187"/>
        <w:rPr>
          <w:b/>
          <w:color w:val="000000"/>
          <w:szCs w:val="24"/>
        </w:rPr>
      </w:pPr>
      <w:r w:rsidRPr="00F83B8D">
        <w:t xml:space="preserve">Grantees are expected to maintain a state of audit readiness. This means that records pertinent to the financial </w:t>
      </w:r>
      <w:r w:rsidRPr="0091214F">
        <w:rPr>
          <w:bCs w:val="0"/>
          <w:color w:val="000000"/>
          <w:szCs w:val="24"/>
        </w:rPr>
        <w:t xml:space="preserve">and programmatic aspects of their grants must be readily accessible for audit or program and fiscal review by CDE staff. Failure to provide the auditor or CDE staff with reliable documentation could lead to questioned costs and possibly result in cost disallowances requiring repayment of funds to the CDE. The Federal Single Audit, the definitive federal regulation </w:t>
      </w:r>
      <w:r w:rsidRPr="0091214F">
        <w:rPr>
          <w:bCs w:val="0"/>
          <w:color w:val="000000"/>
          <w:szCs w:val="24"/>
        </w:rPr>
        <w:lastRenderedPageBreak/>
        <w:t>concerning audits of nonprofit organizations, bases the requirements for audit on specific dollar amounts and should be reviewed to assure proper implementation.</w:t>
      </w:r>
    </w:p>
    <w:p w14:paraId="5E426E01" w14:textId="77777777" w:rsidR="00003C47" w:rsidRPr="00152741" w:rsidRDefault="00003C47" w:rsidP="00962C66">
      <w:pPr>
        <w:pStyle w:val="Heading3"/>
        <w:numPr>
          <w:ilvl w:val="0"/>
          <w:numId w:val="41"/>
        </w:numPr>
        <w:tabs>
          <w:tab w:val="clear" w:pos="960"/>
          <w:tab w:val="clear" w:pos="1440"/>
          <w:tab w:val="clear" w:pos="1800"/>
          <w:tab w:val="clear" w:pos="2160"/>
        </w:tabs>
        <w:spacing w:after="240"/>
        <w:rPr>
          <w:rFonts w:eastAsia="Calibri"/>
        </w:rPr>
      </w:pPr>
      <w:bookmarkStart w:id="55" w:name="_Toc164262868"/>
      <w:r w:rsidRPr="00152741">
        <w:rPr>
          <w:rFonts w:eastAsia="Calibri"/>
        </w:rPr>
        <w:t>References</w:t>
      </w:r>
      <w:bookmarkEnd w:id="55"/>
    </w:p>
    <w:p w14:paraId="35831646" w14:textId="7EA84ADE" w:rsidR="00003C47" w:rsidRPr="00152741" w:rsidRDefault="003F0729" w:rsidP="00003C47">
      <w:pPr>
        <w:spacing w:after="480"/>
        <w:ind w:left="720"/>
        <w:rPr>
          <w:bCs w:val="0"/>
          <w:szCs w:val="24"/>
        </w:rPr>
      </w:pPr>
      <w:r>
        <w:rPr>
          <w:rFonts w:eastAsia="Calibri"/>
        </w:rPr>
        <w:t xml:space="preserve">Information about financial grants management can be found at the Office of Federal Financial Management </w:t>
      </w:r>
      <w:r w:rsidR="0035438F">
        <w:rPr>
          <w:rFonts w:eastAsia="Calibri"/>
        </w:rPr>
        <w:t>W</w:t>
      </w:r>
      <w:r>
        <w:rPr>
          <w:rFonts w:eastAsia="Calibri"/>
        </w:rPr>
        <w:t>eb</w:t>
      </w:r>
      <w:r w:rsidR="0035438F">
        <w:rPr>
          <w:rFonts w:eastAsia="Calibri"/>
        </w:rPr>
        <w:t xml:space="preserve"> </w:t>
      </w:r>
      <w:r>
        <w:rPr>
          <w:rFonts w:eastAsia="Calibri"/>
        </w:rPr>
        <w:t xml:space="preserve">site, </w:t>
      </w:r>
      <w:hyperlink r:id="rId19" w:tooltip="Office of Federal Financial Management Web page" w:history="1">
        <w:r w:rsidR="0035438F" w:rsidRPr="00A6041E">
          <w:rPr>
            <w:rStyle w:val="Hyperlink"/>
          </w:rPr>
          <w:t>https://www.whitehouse.gov/omb/office-federal-financial-management/</w:t>
        </w:r>
      </w:hyperlink>
      <w:r>
        <w:rPr>
          <w:rFonts w:eastAsia="Calibri"/>
        </w:rPr>
        <w:t xml:space="preserve">, where information about </w:t>
      </w:r>
      <w:r w:rsidR="00003C47" w:rsidRPr="00152741">
        <w:rPr>
          <w:bCs w:val="0"/>
          <w:szCs w:val="24"/>
        </w:rPr>
        <w:t>cost allocation and other rules related to government grants and contracts, removing some areas of confusion and inconsistency while treating more of a nonprofit’s expenses as direct (reimbursable) costs</w:t>
      </w:r>
      <w:r>
        <w:rPr>
          <w:bCs w:val="0"/>
          <w:szCs w:val="24"/>
        </w:rPr>
        <w:t xml:space="preserve"> can be found</w:t>
      </w:r>
      <w:r w:rsidR="00003C47" w:rsidRPr="00152741">
        <w:rPr>
          <w:bCs w:val="0"/>
          <w:szCs w:val="24"/>
        </w:rPr>
        <w:t>.</w:t>
      </w:r>
    </w:p>
    <w:p w14:paraId="00FA4337" w14:textId="77777777" w:rsidR="00003C47" w:rsidRPr="00152741" w:rsidRDefault="00003C47" w:rsidP="00962C66">
      <w:pPr>
        <w:pStyle w:val="Heading3"/>
        <w:numPr>
          <w:ilvl w:val="0"/>
          <w:numId w:val="41"/>
        </w:numPr>
        <w:spacing w:after="240"/>
        <w:rPr>
          <w:rFonts w:eastAsia="Calibri"/>
        </w:rPr>
      </w:pPr>
      <w:bookmarkStart w:id="56" w:name="_Toc164262869"/>
      <w:r w:rsidRPr="00152741">
        <w:rPr>
          <w:rFonts w:eastAsia="Calibri"/>
        </w:rPr>
        <w:t>Application Budget Revisions</w:t>
      </w:r>
      <w:bookmarkEnd w:id="56"/>
    </w:p>
    <w:p w14:paraId="1BF148E9" w14:textId="4819E35A" w:rsidR="00003C47" w:rsidRPr="00152741" w:rsidRDefault="003F0A70" w:rsidP="00003C47">
      <w:pPr>
        <w:spacing w:after="240"/>
        <w:ind w:left="720"/>
        <w:rPr>
          <w:bCs w:val="0"/>
          <w:szCs w:val="24"/>
        </w:rPr>
      </w:pPr>
      <w:bookmarkStart w:id="57" w:name="_Hlk109124577"/>
      <w:r w:rsidRPr="00152741">
        <w:rPr>
          <w:color w:val="000000"/>
          <w:szCs w:val="24"/>
        </w:rPr>
        <w:t xml:space="preserve">Project budget revisions of more than 10 percent of any line item shall be approved in writing by the CDE prior to implementation. Expenditures for any grant, activity, or type of equipment not listed in the application budget or approved revision must be approved in advance by CDE. If the Grantee wishes to revise an approved Budget, a Budget Change Request must be submitted to </w:t>
      </w:r>
      <w:r w:rsidR="0035438F">
        <w:rPr>
          <w:color w:val="000000"/>
          <w:szCs w:val="24"/>
        </w:rPr>
        <w:t>Cindy Rodriguez by email at</w:t>
      </w:r>
      <w:r w:rsidR="00243043">
        <w:rPr>
          <w:color w:val="000000"/>
          <w:szCs w:val="24"/>
        </w:rPr>
        <w:t xml:space="preserve"> </w:t>
      </w:r>
      <w:hyperlink r:id="rId20" w:history="1">
        <w:r w:rsidR="00243043" w:rsidRPr="00FB179E">
          <w:rPr>
            <w:rStyle w:val="Hyperlink"/>
            <w:szCs w:val="24"/>
          </w:rPr>
          <w:t>cirodriguez@cde.ca.gov</w:t>
        </w:r>
      </w:hyperlink>
      <w:r w:rsidRPr="00152741">
        <w:rPr>
          <w:color w:val="000000"/>
          <w:szCs w:val="24"/>
        </w:rPr>
        <w:t>.</w:t>
      </w:r>
      <w:bookmarkEnd w:id="57"/>
      <w:r w:rsidR="00BA55E9" w:rsidRPr="00152741">
        <w:rPr>
          <w:color w:val="000000"/>
          <w:szCs w:val="24"/>
        </w:rPr>
        <w:t xml:space="preserve"> Budget Change Requests must be submitted prior to </w:t>
      </w:r>
      <w:r w:rsidR="005F536D" w:rsidRPr="00152741">
        <w:rPr>
          <w:color w:val="000000"/>
          <w:szCs w:val="24"/>
        </w:rPr>
        <w:t>August 15 of the grant period.</w:t>
      </w:r>
    </w:p>
    <w:p w14:paraId="1286C167" w14:textId="77777777" w:rsidR="00003C47" w:rsidRPr="00152741" w:rsidRDefault="00003C47" w:rsidP="00003C47">
      <w:pPr>
        <w:spacing w:after="240"/>
        <w:ind w:left="720"/>
        <w:rPr>
          <w:bCs w:val="0"/>
          <w:szCs w:val="24"/>
        </w:rPr>
      </w:pPr>
      <w:r w:rsidRPr="00152741">
        <w:rPr>
          <w:bCs w:val="0"/>
          <w:szCs w:val="24"/>
        </w:rPr>
        <w:t>Revisions to an approved application may be submitted any time during the annual grant period as long as the revision is approved prior to the implementation of the revision.</w:t>
      </w:r>
    </w:p>
    <w:p w14:paraId="56B65895" w14:textId="77777777" w:rsidR="00887400" w:rsidRPr="00152741" w:rsidRDefault="00003C47" w:rsidP="00B77128">
      <w:pPr>
        <w:spacing w:after="480"/>
        <w:ind w:left="720"/>
        <w:rPr>
          <w:rFonts w:eastAsia="Times"/>
          <w:bCs w:val="0"/>
          <w:kern w:val="24"/>
          <w:szCs w:val="24"/>
        </w:rPr>
      </w:pPr>
      <w:r w:rsidRPr="00152741">
        <w:rPr>
          <w:rFonts w:eastAsia="Times"/>
          <w:bCs w:val="0"/>
          <w:kern w:val="24"/>
          <w:szCs w:val="24"/>
        </w:rPr>
        <w:t xml:space="preserve">Requests for budget revisions in excess of 10 percent of a line item will not automatically be approved. As previously stated, budgets constitute an intricate and important part of the grantee’s program description. Any request for budget revisions of more than 10 percent of a line item will be evaluated with that understanding. Thus, grantees should not expect approval for budget revisions which are not justified by actual and sound program revisions. Additionally, please note that 5 </w:t>
      </w:r>
      <w:r w:rsidRPr="00152741">
        <w:rPr>
          <w:rFonts w:eastAsia="Times"/>
          <w:bCs w:val="0"/>
          <w:i/>
          <w:kern w:val="24"/>
          <w:szCs w:val="24"/>
        </w:rPr>
        <w:t>CCR</w:t>
      </w:r>
      <w:r w:rsidRPr="00152741">
        <w:rPr>
          <w:rFonts w:eastAsia="Times"/>
          <w:bCs w:val="0"/>
          <w:kern w:val="24"/>
          <w:szCs w:val="24"/>
        </w:rPr>
        <w:t xml:space="preserve">, Section 11996.11(a) requires written approval for </w:t>
      </w:r>
      <w:r w:rsidRPr="00152741">
        <w:rPr>
          <w:bCs w:val="0"/>
          <w:color w:val="000000"/>
          <w:kern w:val="24"/>
          <w:szCs w:val="24"/>
        </w:rPr>
        <w:t>revisions of more than 10 percent of the line item</w:t>
      </w:r>
      <w:r w:rsidRPr="00152741">
        <w:rPr>
          <w:rFonts w:eastAsia="Times"/>
          <w:bCs w:val="0"/>
          <w:kern w:val="24"/>
          <w:szCs w:val="24"/>
        </w:rPr>
        <w:t xml:space="preserve"> prior to any expenditures based on such revision. The CDE will not approve requests for budget revisions after any expenditure made in reliance on a requested revision that was not approved in advance by the CDE. </w:t>
      </w:r>
      <w:r w:rsidR="00CD1F37" w:rsidRPr="00152741">
        <w:rPr>
          <w:rFonts w:eastAsia="Times"/>
          <w:bCs w:val="0"/>
          <w:kern w:val="24"/>
          <w:szCs w:val="24"/>
        </w:rPr>
        <w:t>Budget revisions of more than $3</w:t>
      </w:r>
      <w:r w:rsidRPr="00152741">
        <w:rPr>
          <w:rFonts w:eastAsia="Times"/>
          <w:bCs w:val="0"/>
          <w:kern w:val="24"/>
          <w:szCs w:val="24"/>
        </w:rPr>
        <w:t>,000 will not be considered after June 30.</w:t>
      </w:r>
    </w:p>
    <w:p w14:paraId="2C712B40" w14:textId="77777777" w:rsidR="00B77128" w:rsidRPr="00152741" w:rsidRDefault="00B77128" w:rsidP="00962C66">
      <w:pPr>
        <w:pStyle w:val="Heading3"/>
        <w:numPr>
          <w:ilvl w:val="0"/>
          <w:numId w:val="41"/>
        </w:numPr>
        <w:spacing w:after="240"/>
        <w:rPr>
          <w:rFonts w:eastAsia="Calibri"/>
        </w:rPr>
      </w:pPr>
      <w:bookmarkStart w:id="58" w:name="_Toc164262870"/>
      <w:r w:rsidRPr="00152741">
        <w:rPr>
          <w:rFonts w:eastAsia="Calibri"/>
        </w:rPr>
        <w:t>Reporting Requirements</w:t>
      </w:r>
      <w:bookmarkEnd w:id="58"/>
    </w:p>
    <w:p w14:paraId="0C95139D" w14:textId="77777777" w:rsidR="00B77128" w:rsidRPr="00152741" w:rsidRDefault="00B77128" w:rsidP="00B77128">
      <w:pPr>
        <w:spacing w:after="480"/>
        <w:ind w:left="720"/>
        <w:rPr>
          <w:rFonts w:eastAsia="Calibri"/>
        </w:rPr>
      </w:pPr>
      <w:r w:rsidRPr="00152741">
        <w:rPr>
          <w:rFonts w:eastAsia="Calibri"/>
        </w:rPr>
        <w:t xml:space="preserve">Each grant recipient shall provide programmatic and fiscal reports (5 </w:t>
      </w:r>
      <w:r w:rsidRPr="00152741">
        <w:rPr>
          <w:rFonts w:eastAsia="Calibri"/>
          <w:i/>
        </w:rPr>
        <w:t>CCR</w:t>
      </w:r>
      <w:r w:rsidRPr="00152741">
        <w:rPr>
          <w:rFonts w:eastAsia="Calibri"/>
        </w:rPr>
        <w:t>, Section 11996.7). Forms shall be provided by the CDE.</w:t>
      </w:r>
    </w:p>
    <w:p w14:paraId="4E1E2DF3" w14:textId="77777777" w:rsidR="00B77128" w:rsidRPr="00152741" w:rsidRDefault="00B77128" w:rsidP="00962C66">
      <w:pPr>
        <w:pStyle w:val="Heading3"/>
        <w:numPr>
          <w:ilvl w:val="0"/>
          <w:numId w:val="41"/>
        </w:numPr>
        <w:spacing w:after="240"/>
        <w:rPr>
          <w:rFonts w:eastAsia="Calibri"/>
        </w:rPr>
      </w:pPr>
      <w:bookmarkStart w:id="59" w:name="_Toc164262871"/>
      <w:r w:rsidRPr="00152741">
        <w:rPr>
          <w:rFonts w:eastAsia="Calibri"/>
        </w:rPr>
        <w:lastRenderedPageBreak/>
        <w:t>Programmatic Reporting</w:t>
      </w:r>
      <w:bookmarkEnd w:id="59"/>
    </w:p>
    <w:p w14:paraId="76D59ACA" w14:textId="77777777" w:rsidR="00B77128" w:rsidRPr="00152741" w:rsidRDefault="00B77128" w:rsidP="00B77128">
      <w:pPr>
        <w:spacing w:after="240"/>
        <w:ind w:left="720"/>
        <w:rPr>
          <w:rFonts w:eastAsia="Calibri"/>
        </w:rPr>
      </w:pPr>
      <w:r w:rsidRPr="00152741">
        <w:rPr>
          <w:rFonts w:eastAsia="Calibri"/>
        </w:rPr>
        <w:t>Each funded agency will provide a six-month programmatic report and a final programmatic report.</w:t>
      </w:r>
    </w:p>
    <w:p w14:paraId="7BA03D93" w14:textId="77777777" w:rsidR="00B77128" w:rsidRPr="00152741" w:rsidRDefault="00B77128" w:rsidP="00B77128">
      <w:pPr>
        <w:spacing w:after="240"/>
        <w:ind w:left="720"/>
        <w:rPr>
          <w:rFonts w:eastAsia="Calibri"/>
        </w:rPr>
      </w:pPr>
      <w:r w:rsidRPr="00152741">
        <w:rPr>
          <w:rFonts w:eastAsia="Calibri"/>
        </w:rPr>
        <w:t>The six-month prog</w:t>
      </w:r>
      <w:r w:rsidR="00B3659A" w:rsidRPr="00152741">
        <w:rPr>
          <w:rFonts w:eastAsia="Calibri"/>
        </w:rPr>
        <w:t>rammatic report shall be due April</w:t>
      </w:r>
      <w:r w:rsidRPr="00152741">
        <w:rPr>
          <w:rFonts w:eastAsia="Calibri"/>
        </w:rPr>
        <w:t> 30. This document will report on the implementation of the approved application activities. This report will also include a budget implementation narrative section.</w:t>
      </w:r>
    </w:p>
    <w:p w14:paraId="4D673CE4" w14:textId="77777777" w:rsidR="00B77128" w:rsidRPr="00152741" w:rsidRDefault="00B77128" w:rsidP="00B77128">
      <w:pPr>
        <w:spacing w:after="240"/>
        <w:ind w:left="720"/>
        <w:rPr>
          <w:rFonts w:eastAsia="Calibri"/>
        </w:rPr>
      </w:pPr>
      <w:r w:rsidRPr="00152741">
        <w:rPr>
          <w:rFonts w:eastAsia="Calibri"/>
        </w:rPr>
        <w:t>The final programmatic report shall be submitted annua</w:t>
      </w:r>
      <w:r w:rsidR="00604AED" w:rsidRPr="00152741">
        <w:rPr>
          <w:rFonts w:eastAsia="Calibri"/>
        </w:rPr>
        <w:t>lly and shall be due November 30 (6</w:t>
      </w:r>
      <w:r w:rsidRPr="00152741">
        <w:rPr>
          <w:rFonts w:eastAsia="Calibri"/>
        </w:rPr>
        <w:t>0 days from the end of the grant period), and shall contain the following information:</w:t>
      </w:r>
    </w:p>
    <w:p w14:paraId="0C97E6D9" w14:textId="77777777" w:rsidR="00B77128" w:rsidRPr="00152741" w:rsidRDefault="00B77128" w:rsidP="00962C66">
      <w:pPr>
        <w:numPr>
          <w:ilvl w:val="0"/>
          <w:numId w:val="14"/>
        </w:numPr>
        <w:spacing w:after="240"/>
        <w:rPr>
          <w:rFonts w:eastAsia="Calibri"/>
        </w:rPr>
      </w:pPr>
      <w:r w:rsidRPr="00152741">
        <w:rPr>
          <w:rFonts w:eastAsia="Calibri"/>
        </w:rPr>
        <w:t>Number of students enrolled, by grade level or age</w:t>
      </w:r>
      <w:r w:rsidR="00E44E65" w:rsidRPr="00152741">
        <w:rPr>
          <w:rFonts w:eastAsia="Calibri"/>
        </w:rPr>
        <w:t>.</w:t>
      </w:r>
    </w:p>
    <w:p w14:paraId="3A7FDB83" w14:textId="77777777" w:rsidR="00B77128" w:rsidRPr="00152741" w:rsidRDefault="00B77128" w:rsidP="00962C66">
      <w:pPr>
        <w:numPr>
          <w:ilvl w:val="0"/>
          <w:numId w:val="14"/>
        </w:numPr>
        <w:spacing w:after="240"/>
        <w:rPr>
          <w:rFonts w:eastAsia="Calibri"/>
        </w:rPr>
      </w:pPr>
      <w:r w:rsidRPr="00152741">
        <w:rPr>
          <w:rFonts w:eastAsia="Calibri"/>
        </w:rPr>
        <w:t>Number of students served, by grade level or age, and by service type and frequency</w:t>
      </w:r>
      <w:r w:rsidR="00E44E65" w:rsidRPr="00152741">
        <w:rPr>
          <w:rFonts w:eastAsia="Calibri"/>
        </w:rPr>
        <w:t>.</w:t>
      </w:r>
    </w:p>
    <w:p w14:paraId="561511C5" w14:textId="77777777" w:rsidR="00B77128" w:rsidRPr="00152741" w:rsidRDefault="00B77128" w:rsidP="00962C66">
      <w:pPr>
        <w:numPr>
          <w:ilvl w:val="0"/>
          <w:numId w:val="14"/>
        </w:numPr>
        <w:spacing w:after="240"/>
        <w:rPr>
          <w:rFonts w:eastAsia="Calibri"/>
        </w:rPr>
      </w:pPr>
      <w:r w:rsidRPr="00152741">
        <w:rPr>
          <w:rFonts w:eastAsia="Calibri"/>
        </w:rPr>
        <w:t xml:space="preserve">Description of how the AIEC </w:t>
      </w:r>
      <w:r w:rsidR="007232DB" w:rsidRPr="00152741">
        <w:rPr>
          <w:rFonts w:eastAsia="Calibri"/>
        </w:rPr>
        <w:t xml:space="preserve">Program </w:t>
      </w:r>
      <w:r w:rsidRPr="00152741">
        <w:rPr>
          <w:rFonts w:eastAsia="Calibri"/>
        </w:rPr>
        <w:t>meets the continuing educational and cultural needs of the community it serves</w:t>
      </w:r>
      <w:r w:rsidR="00E44E65" w:rsidRPr="00152741">
        <w:rPr>
          <w:rFonts w:eastAsia="Calibri"/>
        </w:rPr>
        <w:t>.</w:t>
      </w:r>
    </w:p>
    <w:p w14:paraId="0157A2F7" w14:textId="77777777" w:rsidR="00B77128" w:rsidRPr="00152741" w:rsidRDefault="00B77128" w:rsidP="00962C66">
      <w:pPr>
        <w:numPr>
          <w:ilvl w:val="0"/>
          <w:numId w:val="14"/>
        </w:numPr>
        <w:spacing w:after="240"/>
        <w:rPr>
          <w:rFonts w:eastAsia="Calibri"/>
        </w:rPr>
      </w:pPr>
      <w:r w:rsidRPr="00152741">
        <w:rPr>
          <w:rFonts w:eastAsia="Calibri"/>
        </w:rPr>
        <w:t>Description of the collaborative activities conducted during the year</w:t>
      </w:r>
      <w:r w:rsidR="00E44E65" w:rsidRPr="00152741">
        <w:rPr>
          <w:rFonts w:eastAsia="Calibri"/>
        </w:rPr>
        <w:t>.</w:t>
      </w:r>
    </w:p>
    <w:p w14:paraId="1A137C87" w14:textId="77777777" w:rsidR="00B77128" w:rsidRPr="00152741" w:rsidRDefault="00B77128" w:rsidP="00962C66">
      <w:pPr>
        <w:numPr>
          <w:ilvl w:val="0"/>
          <w:numId w:val="14"/>
        </w:numPr>
        <w:spacing w:after="240"/>
        <w:rPr>
          <w:rFonts w:eastAsia="Calibri"/>
        </w:rPr>
      </w:pPr>
      <w:r w:rsidRPr="00152741">
        <w:rPr>
          <w:rFonts w:eastAsia="Calibri"/>
        </w:rPr>
        <w:t>Progress made in meeting the AIEC</w:t>
      </w:r>
      <w:r w:rsidR="007232DB" w:rsidRPr="00152741">
        <w:rPr>
          <w:rFonts w:eastAsia="Calibri"/>
        </w:rPr>
        <w:t xml:space="preserve"> Program</w:t>
      </w:r>
      <w:r w:rsidRPr="00152741">
        <w:rPr>
          <w:rFonts w:eastAsia="Calibri"/>
        </w:rPr>
        <w:t xml:space="preserve">’s stated objectives, including applicable program objectives as stated in </w:t>
      </w:r>
      <w:r w:rsidRPr="00152741">
        <w:rPr>
          <w:rFonts w:eastAsia="Calibri"/>
          <w:i/>
        </w:rPr>
        <w:t>EC</w:t>
      </w:r>
      <w:r w:rsidRPr="00152741">
        <w:rPr>
          <w:rFonts w:eastAsia="Calibri"/>
        </w:rPr>
        <w:t xml:space="preserve"> Section 33381</w:t>
      </w:r>
      <w:r w:rsidR="00E44E65" w:rsidRPr="00152741">
        <w:rPr>
          <w:rFonts w:eastAsia="Calibri"/>
        </w:rPr>
        <w:t>.</w:t>
      </w:r>
    </w:p>
    <w:p w14:paraId="789D139E" w14:textId="77777777" w:rsidR="00B77128" w:rsidRPr="00152741" w:rsidRDefault="00B77128" w:rsidP="00962C66">
      <w:pPr>
        <w:numPr>
          <w:ilvl w:val="0"/>
          <w:numId w:val="14"/>
        </w:numPr>
        <w:spacing w:after="240"/>
        <w:rPr>
          <w:rFonts w:eastAsia="Calibri"/>
        </w:rPr>
      </w:pPr>
      <w:r w:rsidRPr="00152741">
        <w:rPr>
          <w:rFonts w:eastAsia="Calibri"/>
        </w:rPr>
        <w:t>Aggregated data on AIEC Program-enrolled students’ performance on state academic assessment measures</w:t>
      </w:r>
      <w:r w:rsidR="00E44E65" w:rsidRPr="00152741">
        <w:rPr>
          <w:rFonts w:eastAsia="Calibri"/>
        </w:rPr>
        <w:t>.</w:t>
      </w:r>
    </w:p>
    <w:p w14:paraId="3D06922B" w14:textId="77777777" w:rsidR="00B77128" w:rsidRPr="00152741" w:rsidRDefault="00B77128" w:rsidP="00962C66">
      <w:pPr>
        <w:numPr>
          <w:ilvl w:val="0"/>
          <w:numId w:val="14"/>
        </w:numPr>
        <w:spacing w:after="240"/>
        <w:rPr>
          <w:rFonts w:eastAsia="Calibri"/>
        </w:rPr>
      </w:pPr>
      <w:r w:rsidRPr="00152741">
        <w:rPr>
          <w:rFonts w:eastAsia="Calibri"/>
        </w:rPr>
        <w:t>Recommendations for revisions to the project and its budget on the basis of an analysis carried out by the grant recipient</w:t>
      </w:r>
      <w:r w:rsidR="00E44E65" w:rsidRPr="00152741">
        <w:rPr>
          <w:rFonts w:eastAsia="Calibri"/>
        </w:rPr>
        <w:t>.</w:t>
      </w:r>
    </w:p>
    <w:p w14:paraId="40223DEF" w14:textId="77777777" w:rsidR="00B77128" w:rsidRPr="00152741" w:rsidRDefault="00B77128" w:rsidP="00B77128">
      <w:pPr>
        <w:spacing w:after="240"/>
        <w:ind w:left="720"/>
        <w:rPr>
          <w:rFonts w:eastAsia="Calibri"/>
        </w:rPr>
      </w:pPr>
      <w:r w:rsidRPr="00152741">
        <w:rPr>
          <w:rFonts w:eastAsia="Calibri"/>
        </w:rPr>
        <w:t>Grantees shall submit statistical, cost, and program data as requested by the CDE in order for the CDE to prepare various legislatively mandated reports, to meet state and federal reporting requirements, and for the effective administration of the AIEC Program.</w:t>
      </w:r>
    </w:p>
    <w:p w14:paraId="7CAECA25" w14:textId="77777777" w:rsidR="00B77128" w:rsidRPr="00152741" w:rsidRDefault="00B77128" w:rsidP="00B77128">
      <w:pPr>
        <w:spacing w:after="240"/>
        <w:ind w:left="720"/>
        <w:rPr>
          <w:rFonts w:eastAsia="Calibri"/>
        </w:rPr>
      </w:pPr>
      <w:r w:rsidRPr="00152741">
        <w:rPr>
          <w:rFonts w:eastAsia="Calibri"/>
        </w:rPr>
        <w:t>Grantees submitting data to the CDE will include a certification that the data are correct and complete, and the signature of the person authorized by the grantee to certify the data.</w:t>
      </w:r>
    </w:p>
    <w:p w14:paraId="588DE2DA" w14:textId="77777777" w:rsidR="00B77128" w:rsidRPr="00152741" w:rsidRDefault="00B77128" w:rsidP="00B77128">
      <w:pPr>
        <w:spacing w:after="480"/>
        <w:ind w:left="720"/>
        <w:rPr>
          <w:rFonts w:eastAsia="Calibri"/>
        </w:rPr>
      </w:pPr>
      <w:r w:rsidRPr="00152741">
        <w:rPr>
          <w:rFonts w:eastAsia="Calibri"/>
        </w:rPr>
        <w:t xml:space="preserve">Grantees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in 5 </w:t>
      </w:r>
      <w:r w:rsidRPr="00152741">
        <w:rPr>
          <w:rFonts w:eastAsia="Calibri"/>
          <w:i/>
        </w:rPr>
        <w:t>CCR</w:t>
      </w:r>
      <w:r w:rsidRPr="00152741">
        <w:rPr>
          <w:rFonts w:eastAsia="Calibri"/>
        </w:rPr>
        <w:t>, Section 11996.7(d).</w:t>
      </w:r>
      <w:r w:rsidR="00B3659A" w:rsidRPr="00152741">
        <w:rPr>
          <w:rFonts w:eastAsia="Calibri"/>
        </w:rPr>
        <w:t xml:space="preserve"> The AIEC must use the forms provided by the CDE for the End-Of-Year Report.</w:t>
      </w:r>
    </w:p>
    <w:p w14:paraId="5644B74F" w14:textId="77777777" w:rsidR="00B77128" w:rsidRPr="00152741" w:rsidRDefault="00B77128" w:rsidP="00962C66">
      <w:pPr>
        <w:pStyle w:val="Heading3"/>
        <w:numPr>
          <w:ilvl w:val="0"/>
          <w:numId w:val="41"/>
        </w:numPr>
        <w:spacing w:after="240"/>
        <w:rPr>
          <w:rFonts w:eastAsia="Calibri"/>
        </w:rPr>
      </w:pPr>
      <w:bookmarkStart w:id="60" w:name="_Toc164262872"/>
      <w:r w:rsidRPr="00152741">
        <w:rPr>
          <w:rFonts w:eastAsia="Calibri"/>
        </w:rPr>
        <w:lastRenderedPageBreak/>
        <w:t>Fiscal Reporting</w:t>
      </w:r>
      <w:bookmarkEnd w:id="60"/>
    </w:p>
    <w:p w14:paraId="2539440B" w14:textId="77777777" w:rsidR="004C5846" w:rsidRPr="00152741" w:rsidRDefault="004C5846" w:rsidP="00B77128">
      <w:pPr>
        <w:spacing w:after="240"/>
        <w:ind w:left="720"/>
        <w:rPr>
          <w:rFonts w:eastAsia="Calibri"/>
          <w:b/>
        </w:rPr>
      </w:pPr>
      <w:r w:rsidRPr="00152741">
        <w:rPr>
          <w:rFonts w:eastAsia="Calibri"/>
          <w:b/>
        </w:rPr>
        <w:t>Quarterly Expense Reporting</w:t>
      </w:r>
    </w:p>
    <w:p w14:paraId="20F41484" w14:textId="77777777" w:rsidR="002F5B2A" w:rsidRPr="00152741" w:rsidRDefault="00B77128" w:rsidP="00B77128">
      <w:pPr>
        <w:spacing w:after="240"/>
        <w:ind w:left="720"/>
        <w:rPr>
          <w:rFonts w:eastAsia="Calibri"/>
        </w:rPr>
      </w:pPr>
      <w:r w:rsidRPr="00152741">
        <w:rPr>
          <w:rFonts w:eastAsia="Calibri"/>
        </w:rPr>
        <w:t>The fiscal reporting shall be submitted quarterly. Fiscal expenditure reports are due as follows:</w:t>
      </w:r>
    </w:p>
    <w:tbl>
      <w:tblPr>
        <w:tblStyle w:val="TableGrid"/>
        <w:tblW w:w="5000" w:type="pct"/>
        <w:jc w:val="center"/>
        <w:tblLayout w:type="fixed"/>
        <w:tblLook w:val="04A0" w:firstRow="1" w:lastRow="0" w:firstColumn="1" w:lastColumn="0" w:noHBand="0" w:noVBand="1"/>
        <w:tblDescription w:val="This table lists the expenditure report due dates and submission dates for the grant."/>
      </w:tblPr>
      <w:tblGrid>
        <w:gridCol w:w="2785"/>
        <w:gridCol w:w="3448"/>
        <w:gridCol w:w="3117"/>
      </w:tblGrid>
      <w:tr w:rsidR="003F0A70" w:rsidRPr="00152741" w14:paraId="22387A07" w14:textId="77777777" w:rsidTr="0056204B">
        <w:trPr>
          <w:cantSplit/>
          <w:trHeight w:val="300"/>
          <w:tblHeader/>
          <w:jc w:val="center"/>
        </w:trPr>
        <w:tc>
          <w:tcPr>
            <w:tcW w:w="1489" w:type="pct"/>
            <w:vAlign w:val="center"/>
          </w:tcPr>
          <w:p w14:paraId="4DB17794" w14:textId="6C351FB2" w:rsidR="006C47D6" w:rsidRPr="00152741" w:rsidRDefault="003F0A70" w:rsidP="003F0A70">
            <w:pPr>
              <w:jc w:val="center"/>
              <w:rPr>
                <w:b/>
                <w:bCs w:val="0"/>
                <w:color w:val="000000"/>
                <w:szCs w:val="24"/>
              </w:rPr>
            </w:pPr>
            <w:r w:rsidRPr="00152741">
              <w:rPr>
                <w:b/>
                <w:bCs w:val="0"/>
                <w:color w:val="000000"/>
                <w:szCs w:val="24"/>
              </w:rPr>
              <w:t>Expenditure Report</w:t>
            </w:r>
          </w:p>
        </w:tc>
        <w:tc>
          <w:tcPr>
            <w:tcW w:w="1844" w:type="pct"/>
            <w:noWrap/>
            <w:vAlign w:val="center"/>
            <w:hideMark/>
          </w:tcPr>
          <w:p w14:paraId="4EC3E079" w14:textId="454DF23F" w:rsidR="006C47D6" w:rsidRPr="00152741" w:rsidRDefault="003F0A70" w:rsidP="003F0A70">
            <w:pPr>
              <w:jc w:val="center"/>
              <w:rPr>
                <w:b/>
                <w:bCs w:val="0"/>
                <w:color w:val="000000"/>
                <w:szCs w:val="24"/>
              </w:rPr>
            </w:pPr>
            <w:r w:rsidRPr="00152741">
              <w:rPr>
                <w:b/>
                <w:bCs w:val="0"/>
                <w:color w:val="000000"/>
                <w:szCs w:val="24"/>
              </w:rPr>
              <w:t>Reporting Period</w:t>
            </w:r>
          </w:p>
        </w:tc>
        <w:tc>
          <w:tcPr>
            <w:tcW w:w="1667" w:type="pct"/>
            <w:noWrap/>
            <w:vAlign w:val="center"/>
            <w:hideMark/>
          </w:tcPr>
          <w:p w14:paraId="4B87579A" w14:textId="5A5337A6" w:rsidR="006C47D6" w:rsidRPr="00152741" w:rsidRDefault="003F0A70" w:rsidP="003F0A70">
            <w:pPr>
              <w:jc w:val="center"/>
              <w:rPr>
                <w:b/>
                <w:bCs w:val="0"/>
                <w:color w:val="000000"/>
                <w:szCs w:val="24"/>
              </w:rPr>
            </w:pPr>
            <w:r w:rsidRPr="00152741">
              <w:rPr>
                <w:b/>
                <w:bCs w:val="0"/>
                <w:color w:val="000000"/>
                <w:szCs w:val="24"/>
              </w:rPr>
              <w:t>Submission Deadline</w:t>
            </w:r>
          </w:p>
        </w:tc>
      </w:tr>
      <w:tr w:rsidR="003F0A70" w:rsidRPr="00152741" w14:paraId="4C163795" w14:textId="77777777" w:rsidTr="0056204B">
        <w:trPr>
          <w:cantSplit/>
          <w:trHeight w:val="300"/>
          <w:jc w:val="center"/>
        </w:trPr>
        <w:tc>
          <w:tcPr>
            <w:tcW w:w="1489" w:type="pct"/>
            <w:vAlign w:val="center"/>
          </w:tcPr>
          <w:p w14:paraId="77AEAAC3" w14:textId="57F6A8BD" w:rsidR="003F0A70" w:rsidRPr="00152741" w:rsidRDefault="003F0A70" w:rsidP="003F0A70">
            <w:pPr>
              <w:jc w:val="center"/>
              <w:rPr>
                <w:bCs w:val="0"/>
                <w:color w:val="000000"/>
                <w:szCs w:val="24"/>
              </w:rPr>
            </w:pPr>
            <w:r w:rsidRPr="00152741">
              <w:rPr>
                <w:bCs w:val="0"/>
                <w:color w:val="000000"/>
                <w:szCs w:val="24"/>
              </w:rPr>
              <w:t>1</w:t>
            </w:r>
          </w:p>
        </w:tc>
        <w:tc>
          <w:tcPr>
            <w:tcW w:w="1844" w:type="pct"/>
            <w:noWrap/>
            <w:vAlign w:val="center"/>
          </w:tcPr>
          <w:p w14:paraId="6BAE122B" w14:textId="458AB033" w:rsidR="003F0A70" w:rsidRPr="00152741" w:rsidRDefault="003F0A70" w:rsidP="003F0A70">
            <w:pPr>
              <w:jc w:val="center"/>
              <w:rPr>
                <w:bCs w:val="0"/>
                <w:color w:val="000000"/>
                <w:szCs w:val="24"/>
              </w:rPr>
            </w:pPr>
            <w:r w:rsidRPr="00152741">
              <w:rPr>
                <w:bCs w:val="0"/>
                <w:color w:val="000000"/>
                <w:szCs w:val="24"/>
              </w:rPr>
              <w:t>Oct 1, 2024 – Dec 31, 2024</w:t>
            </w:r>
          </w:p>
        </w:tc>
        <w:tc>
          <w:tcPr>
            <w:tcW w:w="1667" w:type="pct"/>
            <w:noWrap/>
            <w:vAlign w:val="center"/>
          </w:tcPr>
          <w:p w14:paraId="0FFBDB3C" w14:textId="2F1F6E6C" w:rsidR="003F0A70" w:rsidRPr="00152741" w:rsidRDefault="003F0A70" w:rsidP="003F0A70">
            <w:pPr>
              <w:jc w:val="center"/>
              <w:rPr>
                <w:bCs w:val="0"/>
                <w:color w:val="000000"/>
                <w:szCs w:val="24"/>
              </w:rPr>
            </w:pPr>
            <w:r w:rsidRPr="00152741">
              <w:rPr>
                <w:bCs w:val="0"/>
                <w:color w:val="000000"/>
                <w:szCs w:val="24"/>
              </w:rPr>
              <w:t>February 14, 2025</w:t>
            </w:r>
          </w:p>
        </w:tc>
      </w:tr>
      <w:tr w:rsidR="003F0A70" w:rsidRPr="00152741" w14:paraId="77F0D571" w14:textId="77777777" w:rsidTr="0056204B">
        <w:trPr>
          <w:cantSplit/>
          <w:trHeight w:val="300"/>
          <w:jc w:val="center"/>
        </w:trPr>
        <w:tc>
          <w:tcPr>
            <w:tcW w:w="1489" w:type="pct"/>
            <w:vAlign w:val="center"/>
          </w:tcPr>
          <w:p w14:paraId="7F4A091F" w14:textId="2CB43ACB" w:rsidR="003F0A70" w:rsidRPr="00152741" w:rsidRDefault="003F0A70" w:rsidP="003F0A70">
            <w:pPr>
              <w:jc w:val="center"/>
              <w:rPr>
                <w:bCs w:val="0"/>
                <w:color w:val="000000"/>
                <w:szCs w:val="24"/>
              </w:rPr>
            </w:pPr>
            <w:r w:rsidRPr="00152741">
              <w:rPr>
                <w:bCs w:val="0"/>
                <w:color w:val="000000"/>
                <w:szCs w:val="24"/>
              </w:rPr>
              <w:t>2</w:t>
            </w:r>
          </w:p>
        </w:tc>
        <w:tc>
          <w:tcPr>
            <w:tcW w:w="1844" w:type="pct"/>
            <w:noWrap/>
            <w:vAlign w:val="center"/>
          </w:tcPr>
          <w:p w14:paraId="0B5F1E1B" w14:textId="63DBFE52" w:rsidR="003F0A70" w:rsidRPr="00152741" w:rsidRDefault="003F0A70" w:rsidP="003F0A70">
            <w:pPr>
              <w:jc w:val="center"/>
              <w:rPr>
                <w:bCs w:val="0"/>
                <w:color w:val="000000"/>
                <w:szCs w:val="24"/>
              </w:rPr>
            </w:pPr>
            <w:r w:rsidRPr="00152741">
              <w:rPr>
                <w:bCs w:val="0"/>
                <w:color w:val="000000"/>
                <w:szCs w:val="24"/>
              </w:rPr>
              <w:t>Jan 1 – Mar 31, 2025</w:t>
            </w:r>
          </w:p>
        </w:tc>
        <w:tc>
          <w:tcPr>
            <w:tcW w:w="1667" w:type="pct"/>
            <w:noWrap/>
            <w:vAlign w:val="center"/>
          </w:tcPr>
          <w:p w14:paraId="5B12B684" w14:textId="1C27C886" w:rsidR="003F0A70" w:rsidRPr="00152741" w:rsidRDefault="003F0A70" w:rsidP="003F0A70">
            <w:pPr>
              <w:jc w:val="center"/>
              <w:rPr>
                <w:bCs w:val="0"/>
                <w:color w:val="000000"/>
                <w:szCs w:val="24"/>
              </w:rPr>
            </w:pPr>
            <w:r w:rsidRPr="00152741">
              <w:rPr>
                <w:bCs w:val="0"/>
                <w:color w:val="000000"/>
                <w:szCs w:val="24"/>
              </w:rPr>
              <w:t>May 9, 2025</w:t>
            </w:r>
          </w:p>
        </w:tc>
      </w:tr>
      <w:tr w:rsidR="003F0A70" w:rsidRPr="00152741" w14:paraId="1531FD1D" w14:textId="77777777" w:rsidTr="0056204B">
        <w:trPr>
          <w:cantSplit/>
          <w:trHeight w:val="300"/>
          <w:jc w:val="center"/>
        </w:trPr>
        <w:tc>
          <w:tcPr>
            <w:tcW w:w="1489" w:type="pct"/>
            <w:vAlign w:val="center"/>
          </w:tcPr>
          <w:p w14:paraId="5FF6DE0A" w14:textId="19405950" w:rsidR="003F0A70" w:rsidRPr="00152741" w:rsidRDefault="003F0A70" w:rsidP="003F0A70">
            <w:pPr>
              <w:jc w:val="center"/>
              <w:rPr>
                <w:bCs w:val="0"/>
                <w:color w:val="000000"/>
                <w:szCs w:val="24"/>
              </w:rPr>
            </w:pPr>
            <w:r w:rsidRPr="00152741">
              <w:rPr>
                <w:bCs w:val="0"/>
                <w:color w:val="000000"/>
                <w:szCs w:val="24"/>
              </w:rPr>
              <w:t>3</w:t>
            </w:r>
          </w:p>
        </w:tc>
        <w:tc>
          <w:tcPr>
            <w:tcW w:w="1844" w:type="pct"/>
            <w:noWrap/>
            <w:vAlign w:val="center"/>
          </w:tcPr>
          <w:p w14:paraId="6D395B0A" w14:textId="61983D65" w:rsidR="003F0A70" w:rsidRPr="00152741" w:rsidRDefault="003F0A70" w:rsidP="003F0A70">
            <w:pPr>
              <w:jc w:val="center"/>
              <w:rPr>
                <w:bCs w:val="0"/>
                <w:color w:val="000000"/>
                <w:szCs w:val="24"/>
              </w:rPr>
            </w:pPr>
            <w:r w:rsidRPr="00152741">
              <w:rPr>
                <w:bCs w:val="0"/>
                <w:color w:val="000000"/>
                <w:szCs w:val="24"/>
              </w:rPr>
              <w:t>Apr 1 – Jun 30, 2025</w:t>
            </w:r>
          </w:p>
        </w:tc>
        <w:tc>
          <w:tcPr>
            <w:tcW w:w="1667" w:type="pct"/>
            <w:noWrap/>
            <w:vAlign w:val="center"/>
          </w:tcPr>
          <w:p w14:paraId="4C668CBD" w14:textId="7278194D" w:rsidR="003F0A70" w:rsidRPr="00152741" w:rsidRDefault="003F0A70" w:rsidP="003F0A70">
            <w:pPr>
              <w:jc w:val="center"/>
              <w:rPr>
                <w:bCs w:val="0"/>
                <w:color w:val="000000"/>
                <w:szCs w:val="24"/>
              </w:rPr>
            </w:pPr>
            <w:r w:rsidRPr="00152741">
              <w:rPr>
                <w:bCs w:val="0"/>
                <w:color w:val="000000"/>
                <w:szCs w:val="24"/>
              </w:rPr>
              <w:t>August 15, 2025</w:t>
            </w:r>
          </w:p>
        </w:tc>
      </w:tr>
      <w:tr w:rsidR="003F0A70" w:rsidRPr="00152741" w14:paraId="62FBC747" w14:textId="77777777" w:rsidTr="0056204B">
        <w:trPr>
          <w:cantSplit/>
          <w:trHeight w:val="300"/>
          <w:jc w:val="center"/>
        </w:trPr>
        <w:tc>
          <w:tcPr>
            <w:tcW w:w="1489" w:type="pct"/>
            <w:vAlign w:val="center"/>
          </w:tcPr>
          <w:p w14:paraId="4F1FE14A" w14:textId="54AF0430" w:rsidR="003F0A70" w:rsidRPr="00152741" w:rsidRDefault="003F0A70" w:rsidP="003F0A70">
            <w:pPr>
              <w:jc w:val="center"/>
              <w:rPr>
                <w:bCs w:val="0"/>
                <w:color w:val="000000"/>
                <w:szCs w:val="24"/>
              </w:rPr>
            </w:pPr>
            <w:r w:rsidRPr="00152741">
              <w:rPr>
                <w:bCs w:val="0"/>
                <w:color w:val="000000"/>
                <w:szCs w:val="24"/>
              </w:rPr>
              <w:t>4</w:t>
            </w:r>
          </w:p>
        </w:tc>
        <w:tc>
          <w:tcPr>
            <w:tcW w:w="1844" w:type="pct"/>
            <w:noWrap/>
            <w:vAlign w:val="center"/>
          </w:tcPr>
          <w:p w14:paraId="39C7FBD4" w14:textId="63D357B7" w:rsidR="003F0A70" w:rsidRPr="00152741" w:rsidRDefault="003F0A70" w:rsidP="003F0A70">
            <w:pPr>
              <w:jc w:val="center"/>
              <w:rPr>
                <w:bCs w:val="0"/>
                <w:color w:val="000000"/>
                <w:szCs w:val="24"/>
              </w:rPr>
            </w:pPr>
            <w:r w:rsidRPr="00152741">
              <w:rPr>
                <w:bCs w:val="0"/>
                <w:color w:val="000000"/>
                <w:szCs w:val="24"/>
              </w:rPr>
              <w:t>Oct 1 – Sep 30, 2025</w:t>
            </w:r>
          </w:p>
        </w:tc>
        <w:tc>
          <w:tcPr>
            <w:tcW w:w="1667" w:type="pct"/>
            <w:noWrap/>
            <w:vAlign w:val="center"/>
          </w:tcPr>
          <w:p w14:paraId="4814D9FE" w14:textId="52E05D3E" w:rsidR="003F0A70" w:rsidRPr="00152741" w:rsidRDefault="003F0A70" w:rsidP="003F0A70">
            <w:pPr>
              <w:jc w:val="center"/>
              <w:rPr>
                <w:bCs w:val="0"/>
                <w:color w:val="000000"/>
                <w:szCs w:val="24"/>
              </w:rPr>
            </w:pPr>
            <w:r w:rsidRPr="00152741">
              <w:rPr>
                <w:bCs w:val="0"/>
                <w:color w:val="000000"/>
                <w:szCs w:val="24"/>
              </w:rPr>
              <w:t>November 14, 2025</w:t>
            </w:r>
          </w:p>
        </w:tc>
      </w:tr>
    </w:tbl>
    <w:p w14:paraId="7018DF1C" w14:textId="77777777" w:rsidR="002F5B2A" w:rsidRPr="00152741" w:rsidRDefault="002F5B2A" w:rsidP="00CA7282">
      <w:pPr>
        <w:tabs>
          <w:tab w:val="left" w:pos="360"/>
        </w:tabs>
      </w:pPr>
    </w:p>
    <w:p w14:paraId="053419BB" w14:textId="0465FD53" w:rsidR="002F5B2A" w:rsidRPr="00152741" w:rsidRDefault="002F5B2A" w:rsidP="00877898">
      <w:pPr>
        <w:tabs>
          <w:tab w:val="left" w:pos="360"/>
        </w:tabs>
        <w:spacing w:after="240"/>
        <w:ind w:left="720"/>
        <w:rPr>
          <w:szCs w:val="24"/>
        </w:rPr>
      </w:pPr>
      <w:r w:rsidRPr="00152741">
        <w:t xml:space="preserve">The reports shall be signed by the AIEC </w:t>
      </w:r>
      <w:r w:rsidR="00E37AFC" w:rsidRPr="00152741">
        <w:t xml:space="preserve">Program </w:t>
      </w:r>
      <w:r w:rsidRPr="00152741">
        <w:t xml:space="preserve">Board Chair/Fiscal Accounting Officer and will have </w:t>
      </w:r>
      <w:r w:rsidR="003F0A70" w:rsidRPr="00152741">
        <w:t xml:space="preserve">three </w:t>
      </w:r>
      <w:r w:rsidRPr="00152741">
        <w:rPr>
          <w:szCs w:val="24"/>
        </w:rPr>
        <w:t>components:</w:t>
      </w:r>
    </w:p>
    <w:p w14:paraId="3ACBC56B" w14:textId="013DC190" w:rsidR="002F5B2A" w:rsidRPr="00152741" w:rsidRDefault="002F5B2A" w:rsidP="00962C66">
      <w:pPr>
        <w:numPr>
          <w:ilvl w:val="0"/>
          <w:numId w:val="15"/>
        </w:numPr>
        <w:tabs>
          <w:tab w:val="left" w:pos="360"/>
        </w:tabs>
        <w:spacing w:after="240"/>
        <w:ind w:left="1440"/>
        <w:rPr>
          <w:szCs w:val="24"/>
        </w:rPr>
      </w:pPr>
      <w:r w:rsidRPr="00152741">
        <w:rPr>
          <w:szCs w:val="24"/>
        </w:rPr>
        <w:t>An Expenditure Report</w:t>
      </w:r>
    </w:p>
    <w:p w14:paraId="39376F94" w14:textId="71716281" w:rsidR="003F0A70" w:rsidRPr="00152741" w:rsidRDefault="003F0A70" w:rsidP="00962C66">
      <w:pPr>
        <w:numPr>
          <w:ilvl w:val="0"/>
          <w:numId w:val="15"/>
        </w:numPr>
        <w:tabs>
          <w:tab w:val="left" w:pos="360"/>
        </w:tabs>
        <w:spacing w:after="240"/>
        <w:ind w:left="1440"/>
        <w:rPr>
          <w:szCs w:val="24"/>
        </w:rPr>
      </w:pPr>
      <w:r w:rsidRPr="00152741">
        <w:rPr>
          <w:szCs w:val="24"/>
        </w:rPr>
        <w:t>An Expenditure Report Signature Form</w:t>
      </w:r>
    </w:p>
    <w:p w14:paraId="36617356" w14:textId="77777777" w:rsidR="002F5B2A" w:rsidRPr="00152741" w:rsidRDefault="002F5B2A" w:rsidP="00962C66">
      <w:pPr>
        <w:numPr>
          <w:ilvl w:val="0"/>
          <w:numId w:val="15"/>
        </w:numPr>
        <w:tabs>
          <w:tab w:val="left" w:pos="360"/>
        </w:tabs>
        <w:spacing w:after="240"/>
        <w:ind w:left="1440"/>
        <w:rPr>
          <w:szCs w:val="24"/>
        </w:rPr>
      </w:pPr>
      <w:r w:rsidRPr="00152741">
        <w:rPr>
          <w:szCs w:val="24"/>
        </w:rPr>
        <w:t>A general ledger that shows each employee’s name and the expenditures in detail</w:t>
      </w:r>
    </w:p>
    <w:p w14:paraId="53927F6F" w14:textId="77777777" w:rsidR="002F5B2A" w:rsidRPr="00152741" w:rsidRDefault="002F5B2A" w:rsidP="00962C66">
      <w:pPr>
        <w:numPr>
          <w:ilvl w:val="0"/>
          <w:numId w:val="54"/>
        </w:numPr>
        <w:tabs>
          <w:tab w:val="left" w:pos="360"/>
        </w:tabs>
        <w:spacing w:after="240"/>
        <w:ind w:left="2160"/>
        <w:rPr>
          <w:szCs w:val="24"/>
        </w:rPr>
      </w:pPr>
      <w:r w:rsidRPr="00152741">
        <w:rPr>
          <w:szCs w:val="24"/>
        </w:rPr>
        <w:t>The general ledger is due quarterly and is not to be included with the application. The amounts on the general ledger must match the amounts reported on the Expenditure Report.</w:t>
      </w:r>
    </w:p>
    <w:p w14:paraId="40CF6AE4" w14:textId="7445F010" w:rsidR="003F0A70" w:rsidRPr="00152741" w:rsidRDefault="003F0A70" w:rsidP="003F0729">
      <w:pPr>
        <w:spacing w:after="240"/>
        <w:ind w:left="720"/>
        <w:rPr>
          <w:szCs w:val="24"/>
        </w:rPr>
      </w:pPr>
      <w:r w:rsidRPr="00152741">
        <w:rPr>
          <w:szCs w:val="24"/>
        </w:rPr>
        <w:t>Additionally, late reports will require a Justification for Late Expenditure Report form to be completed and submitted with your Expenditure Report.</w:t>
      </w:r>
    </w:p>
    <w:p w14:paraId="362FB352" w14:textId="6FA8FBC3" w:rsidR="002F5B2A" w:rsidRPr="00152741" w:rsidRDefault="002F5B2A" w:rsidP="003F0729">
      <w:pPr>
        <w:spacing w:after="240"/>
        <w:ind w:left="720"/>
        <w:rPr>
          <w:szCs w:val="24"/>
        </w:rPr>
      </w:pPr>
      <w:r w:rsidRPr="00152741">
        <w:rPr>
          <w:szCs w:val="24"/>
        </w:rPr>
        <w:t>Once an Expenditu</w:t>
      </w:r>
      <w:r w:rsidR="00E37AFC" w:rsidRPr="00152741">
        <w:rPr>
          <w:szCs w:val="24"/>
        </w:rPr>
        <w:t>re Report has been</w:t>
      </w:r>
      <w:r w:rsidRPr="00152741">
        <w:rPr>
          <w:szCs w:val="24"/>
        </w:rPr>
        <w:t xml:space="preserve"> approved by the CDE, no changes are allowed without justification as to why the changes are being made. The AIEC must receive prior approval by the CDE</w:t>
      </w:r>
      <w:r w:rsidR="00E37AFC" w:rsidRPr="00152741">
        <w:rPr>
          <w:szCs w:val="24"/>
        </w:rPr>
        <w:t xml:space="preserve"> before a change is made</w:t>
      </w:r>
      <w:r w:rsidRPr="00152741">
        <w:rPr>
          <w:szCs w:val="24"/>
        </w:rPr>
        <w:t>.</w:t>
      </w:r>
    </w:p>
    <w:p w14:paraId="5EFF1D24" w14:textId="77777777" w:rsidR="004C5846" w:rsidRPr="003F0729" w:rsidRDefault="004C5846" w:rsidP="00962C66">
      <w:pPr>
        <w:pStyle w:val="ListParagraph"/>
        <w:numPr>
          <w:ilvl w:val="0"/>
          <w:numId w:val="55"/>
        </w:numPr>
        <w:tabs>
          <w:tab w:val="left" w:pos="360"/>
        </w:tabs>
        <w:spacing w:after="240"/>
        <w:rPr>
          <w:b/>
          <w:szCs w:val="24"/>
        </w:rPr>
      </w:pPr>
      <w:r w:rsidRPr="003F0729">
        <w:rPr>
          <w:b/>
          <w:szCs w:val="24"/>
        </w:rPr>
        <w:t xml:space="preserve">Audited Final Revenue and Expenditure Report </w:t>
      </w:r>
    </w:p>
    <w:p w14:paraId="7C0DCB6F" w14:textId="28599576" w:rsidR="00FE11B9" w:rsidRPr="00152741" w:rsidRDefault="00FE11B9" w:rsidP="003F0729">
      <w:pPr>
        <w:spacing w:after="240"/>
        <w:ind w:left="720"/>
        <w:rPr>
          <w:szCs w:val="24"/>
        </w:rPr>
      </w:pPr>
      <w:r w:rsidRPr="00152741">
        <w:rPr>
          <w:szCs w:val="24"/>
        </w:rPr>
        <w:t xml:space="preserve">Each grant recipient shall submit </w:t>
      </w:r>
      <w:r w:rsidR="00AF6775" w:rsidRPr="00152741">
        <w:rPr>
          <w:szCs w:val="24"/>
        </w:rPr>
        <w:t>annually</w:t>
      </w:r>
      <w:r w:rsidRPr="00152741">
        <w:rPr>
          <w:szCs w:val="24"/>
        </w:rPr>
        <w:t xml:space="preserve"> a fiscal audit of expenditures titled Audited Final Revenue and Expenditure Report (form must be used provided by the CDE). This report is due annually on April 30. A one-time, </w:t>
      </w:r>
      <w:r w:rsidRPr="00152741">
        <w:rPr>
          <w:bCs w:val="0"/>
          <w:szCs w:val="24"/>
        </w:rPr>
        <w:t>6</w:t>
      </w:r>
      <w:r w:rsidRPr="00152741">
        <w:rPr>
          <w:szCs w:val="24"/>
        </w:rPr>
        <w:t>0-day extension shall be granted if a request for the extension is made prior to April 30 and demonstrates good cause for such an extension. Grant funds may be used to pay for the preparation of this report.</w:t>
      </w:r>
    </w:p>
    <w:p w14:paraId="38426DF7" w14:textId="77777777" w:rsidR="00FE11B9" w:rsidRPr="00152741" w:rsidRDefault="00FE11B9" w:rsidP="003F0729">
      <w:pPr>
        <w:pStyle w:val="ListParagraph"/>
        <w:spacing w:after="240"/>
        <w:rPr>
          <w:szCs w:val="24"/>
        </w:rPr>
      </w:pPr>
      <w:r w:rsidRPr="00152741">
        <w:rPr>
          <w:color w:val="000000"/>
          <w:szCs w:val="24"/>
        </w:rPr>
        <w:t xml:space="preserve">Failure to submit the Annual Program Report, Quarterly Fiscal Reports, or results of the Audited Final Revenue and Expenditure Report by the due dates will result in a delay of the second payment for the current year and all payments for </w:t>
      </w:r>
      <w:r w:rsidRPr="00152741">
        <w:rPr>
          <w:color w:val="000000"/>
          <w:szCs w:val="24"/>
        </w:rPr>
        <w:lastRenderedPageBreak/>
        <w:t xml:space="preserve">subsequent grant years until the reports are submitted (5 </w:t>
      </w:r>
      <w:r w:rsidRPr="00152741">
        <w:rPr>
          <w:i/>
          <w:color w:val="000000"/>
          <w:szCs w:val="24"/>
        </w:rPr>
        <w:t>CCR</w:t>
      </w:r>
      <w:r w:rsidRPr="00152741">
        <w:rPr>
          <w:color w:val="000000"/>
          <w:szCs w:val="24"/>
        </w:rPr>
        <w:t>, Section 11996.7[d]).</w:t>
      </w:r>
    </w:p>
    <w:p w14:paraId="67817452" w14:textId="77777777" w:rsidR="002F5B2A" w:rsidRPr="00152741" w:rsidRDefault="002F5B2A" w:rsidP="003F0729">
      <w:pPr>
        <w:autoSpaceDE w:val="0"/>
        <w:autoSpaceDN w:val="0"/>
        <w:adjustRightInd w:val="0"/>
        <w:spacing w:after="240"/>
        <w:ind w:left="720" w:right="-187"/>
        <w:rPr>
          <w:color w:val="000000"/>
          <w:szCs w:val="24"/>
        </w:rPr>
      </w:pPr>
      <w:r w:rsidRPr="00152741">
        <w:rPr>
          <w:color w:val="000000"/>
          <w:szCs w:val="24"/>
        </w:rPr>
        <w:t>The CDE shall reduce, withhold, or cancel any scheduled payment when one or more of the following conditions exist:</w:t>
      </w:r>
    </w:p>
    <w:p w14:paraId="6C585497" w14:textId="77777777" w:rsidR="002F5B2A" w:rsidRPr="00152741" w:rsidRDefault="002F5B2A" w:rsidP="00962C66">
      <w:pPr>
        <w:numPr>
          <w:ilvl w:val="0"/>
          <w:numId w:val="16"/>
        </w:numPr>
        <w:autoSpaceDE w:val="0"/>
        <w:autoSpaceDN w:val="0"/>
        <w:adjustRightInd w:val="0"/>
        <w:spacing w:after="240"/>
        <w:ind w:left="1440" w:right="-187"/>
        <w:rPr>
          <w:color w:val="000000"/>
          <w:szCs w:val="24"/>
        </w:rPr>
      </w:pPr>
      <w:r w:rsidRPr="00152741">
        <w:rPr>
          <w:color w:val="000000"/>
          <w:szCs w:val="24"/>
        </w:rPr>
        <w:t>The grantee has not submitted an acceptable audit for any prior year of operation on or before the date due.</w:t>
      </w:r>
    </w:p>
    <w:p w14:paraId="13B206CA" w14:textId="77777777" w:rsidR="002F5B2A" w:rsidRPr="00152741" w:rsidRDefault="002F5B2A" w:rsidP="00962C66">
      <w:pPr>
        <w:numPr>
          <w:ilvl w:val="0"/>
          <w:numId w:val="16"/>
        </w:numPr>
        <w:autoSpaceDE w:val="0"/>
        <w:autoSpaceDN w:val="0"/>
        <w:adjustRightInd w:val="0"/>
        <w:spacing w:after="240"/>
        <w:ind w:left="1440" w:right="-187"/>
        <w:rPr>
          <w:color w:val="000000"/>
          <w:szCs w:val="24"/>
        </w:rPr>
      </w:pPr>
      <w:r w:rsidRPr="00152741">
        <w:rPr>
          <w:color w:val="000000"/>
          <w:szCs w:val="24"/>
        </w:rPr>
        <w:t>The grantee has not submitted any reports required before the date due.</w:t>
      </w:r>
    </w:p>
    <w:p w14:paraId="2FBB3672" w14:textId="77777777" w:rsidR="002F5B2A" w:rsidRPr="00152741" w:rsidRDefault="002F5B2A" w:rsidP="00962C66">
      <w:pPr>
        <w:numPr>
          <w:ilvl w:val="0"/>
          <w:numId w:val="16"/>
        </w:numPr>
        <w:autoSpaceDE w:val="0"/>
        <w:autoSpaceDN w:val="0"/>
        <w:adjustRightInd w:val="0"/>
        <w:spacing w:after="240"/>
        <w:ind w:left="1440" w:right="-187"/>
        <w:rPr>
          <w:color w:val="000000"/>
          <w:szCs w:val="24"/>
        </w:rPr>
      </w:pPr>
      <w:r w:rsidRPr="00152741">
        <w:rPr>
          <w:color w:val="000000"/>
          <w:szCs w:val="24"/>
        </w:rPr>
        <w:t>Any past due reports are not approved.</w:t>
      </w:r>
    </w:p>
    <w:p w14:paraId="3C247CB2" w14:textId="77777777" w:rsidR="002F5B2A" w:rsidRPr="00152741" w:rsidRDefault="002F5B2A" w:rsidP="00962C66">
      <w:pPr>
        <w:numPr>
          <w:ilvl w:val="0"/>
          <w:numId w:val="16"/>
        </w:numPr>
        <w:autoSpaceDE w:val="0"/>
        <w:autoSpaceDN w:val="0"/>
        <w:adjustRightInd w:val="0"/>
        <w:spacing w:after="240"/>
        <w:ind w:left="1440" w:right="-187"/>
        <w:rPr>
          <w:color w:val="000000"/>
          <w:szCs w:val="24"/>
        </w:rPr>
      </w:pPr>
      <w:r w:rsidRPr="00152741">
        <w:rPr>
          <w:color w:val="000000"/>
          <w:szCs w:val="24"/>
        </w:rPr>
        <w:t>The grantee will not earn the full grant amount based on the current year net reimbursable program costs as determined by the CDE.</w:t>
      </w:r>
    </w:p>
    <w:p w14:paraId="5ED084DD" w14:textId="77777777" w:rsidR="002F5B2A" w:rsidRPr="00152741" w:rsidRDefault="002F5B2A" w:rsidP="00962C66">
      <w:pPr>
        <w:numPr>
          <w:ilvl w:val="0"/>
          <w:numId w:val="16"/>
        </w:numPr>
        <w:autoSpaceDE w:val="0"/>
        <w:autoSpaceDN w:val="0"/>
        <w:adjustRightInd w:val="0"/>
        <w:spacing w:after="240"/>
        <w:ind w:left="1440" w:right="-187"/>
        <w:rPr>
          <w:color w:val="000000"/>
          <w:szCs w:val="24"/>
        </w:rPr>
      </w:pPr>
      <w:r w:rsidRPr="00152741">
        <w:rPr>
          <w:color w:val="000000"/>
          <w:szCs w:val="24"/>
        </w:rPr>
        <w:t>A creditor of the grantee has placed a lien on the grantee’s scheduled payments.</w:t>
      </w:r>
    </w:p>
    <w:p w14:paraId="00860814" w14:textId="77777777" w:rsidR="002F5B2A" w:rsidRPr="00152741" w:rsidRDefault="002F5B2A" w:rsidP="00962C66">
      <w:pPr>
        <w:numPr>
          <w:ilvl w:val="0"/>
          <w:numId w:val="16"/>
        </w:numPr>
        <w:autoSpaceDE w:val="0"/>
        <w:autoSpaceDN w:val="0"/>
        <w:adjustRightInd w:val="0"/>
        <w:spacing w:after="240"/>
        <w:ind w:left="1440" w:right="-187"/>
        <w:rPr>
          <w:color w:val="000000"/>
          <w:szCs w:val="24"/>
        </w:rPr>
      </w:pPr>
      <w:r w:rsidRPr="00152741">
        <w:rPr>
          <w:color w:val="000000"/>
          <w:szCs w:val="24"/>
        </w:rPr>
        <w:t>The grantee has accounts payable which are:</w:t>
      </w:r>
    </w:p>
    <w:p w14:paraId="30F0890F" w14:textId="77777777" w:rsidR="002F5B2A" w:rsidRPr="00152741" w:rsidRDefault="002F5B2A" w:rsidP="00962C66">
      <w:pPr>
        <w:numPr>
          <w:ilvl w:val="0"/>
          <w:numId w:val="17"/>
        </w:numPr>
        <w:autoSpaceDE w:val="0"/>
        <w:autoSpaceDN w:val="0"/>
        <w:adjustRightInd w:val="0"/>
        <w:ind w:right="-180"/>
        <w:rPr>
          <w:color w:val="000000"/>
          <w:szCs w:val="24"/>
        </w:rPr>
      </w:pPr>
      <w:r w:rsidRPr="00152741">
        <w:rPr>
          <w:color w:val="000000"/>
          <w:szCs w:val="24"/>
        </w:rPr>
        <w:t>More than 90 days delinquent to the CDE</w:t>
      </w:r>
      <w:r w:rsidR="004A5B56" w:rsidRPr="00152741">
        <w:rPr>
          <w:color w:val="000000"/>
          <w:szCs w:val="24"/>
        </w:rPr>
        <w:t>.</w:t>
      </w:r>
    </w:p>
    <w:p w14:paraId="16C6DB38" w14:textId="77777777" w:rsidR="002F5B2A" w:rsidRPr="00152741" w:rsidRDefault="002F5B2A" w:rsidP="00962C66">
      <w:pPr>
        <w:numPr>
          <w:ilvl w:val="0"/>
          <w:numId w:val="17"/>
        </w:numPr>
        <w:autoSpaceDE w:val="0"/>
        <w:autoSpaceDN w:val="0"/>
        <w:adjustRightInd w:val="0"/>
        <w:spacing w:after="240"/>
        <w:ind w:right="-187"/>
        <w:rPr>
          <w:color w:val="000000"/>
          <w:szCs w:val="24"/>
        </w:rPr>
      </w:pPr>
      <w:r w:rsidRPr="00152741">
        <w:rPr>
          <w:color w:val="000000"/>
          <w:szCs w:val="24"/>
        </w:rPr>
        <w:t>Not under appeal</w:t>
      </w:r>
      <w:r w:rsidR="004A5B56" w:rsidRPr="00152741">
        <w:rPr>
          <w:color w:val="000000"/>
          <w:szCs w:val="24"/>
        </w:rPr>
        <w:t>.</w:t>
      </w:r>
    </w:p>
    <w:p w14:paraId="65D4BF5B" w14:textId="77777777" w:rsidR="002F5B2A" w:rsidRPr="007A7018" w:rsidRDefault="002F5B2A" w:rsidP="00970F99">
      <w:pPr>
        <w:tabs>
          <w:tab w:val="left" w:pos="810"/>
          <w:tab w:val="left" w:pos="900"/>
          <w:tab w:val="left" w:pos="990"/>
          <w:tab w:val="left" w:pos="1530"/>
        </w:tabs>
        <w:spacing w:after="240"/>
        <w:ind w:left="720"/>
        <w:rPr>
          <w:szCs w:val="24"/>
        </w:rPr>
      </w:pPr>
      <w:r w:rsidRPr="00152741">
        <w:rPr>
          <w:szCs w:val="24"/>
        </w:rPr>
        <w:t>If any payment is to be reduced, withheld, or canceled, the CDE shall provide the grantee prior written notice of the intended action.</w:t>
      </w:r>
    </w:p>
    <w:sectPr w:rsidR="002F5B2A" w:rsidRPr="007A7018" w:rsidSect="00963A17">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33C95" w14:textId="77777777" w:rsidR="00251E4B" w:rsidRDefault="00251E4B">
      <w:r>
        <w:separator/>
      </w:r>
    </w:p>
  </w:endnote>
  <w:endnote w:type="continuationSeparator" w:id="0">
    <w:p w14:paraId="0114FCAB" w14:textId="77777777" w:rsidR="00251E4B" w:rsidRDefault="0025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CDC9" w14:textId="77777777" w:rsidR="000D54E7" w:rsidRDefault="000D54E7" w:rsidP="00E02B1B">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13B5" w14:textId="63F4BCD0" w:rsidR="00FE7193" w:rsidRDefault="00FE7193">
    <w:pPr>
      <w:pStyle w:val="Footer"/>
    </w:pPr>
    <w:r w:rsidRPr="00152741">
      <w:rPr>
        <w:szCs w:val="24"/>
      </w:rPr>
      <w:t xml:space="preserve">California Department of Education </w:t>
    </w:r>
    <w:r w:rsidRPr="00152741">
      <w:rPr>
        <w:szCs w:val="24"/>
      </w:rPr>
      <w:tab/>
    </w:r>
    <w:r>
      <w:ptab w:relativeTo="margin" w:alignment="right" w:leader="none"/>
    </w:r>
    <w:r w:rsidRPr="00152741">
      <w:rPr>
        <w:szCs w:val="24"/>
      </w:rPr>
      <w:t>April 202</w:t>
    </w:r>
    <w:r>
      <w:rPr>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B05B" w14:textId="77777777" w:rsidR="00251E4B" w:rsidRPr="001E2A2E" w:rsidRDefault="00251E4B" w:rsidP="001E2A2E">
    <w:pPr>
      <w:pStyle w:val="Footer"/>
      <w:jc w:val="center"/>
    </w:pP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EBCC" w14:textId="77777777" w:rsidR="00251E4B" w:rsidRDefault="00251E4B" w:rsidP="001E2A2E">
    <w:pPr>
      <w:pStyle w:val="Footer"/>
      <w:jc w:val="center"/>
    </w:pPr>
    <w:r>
      <w:fldChar w:fldCharType="begin"/>
    </w:r>
    <w:r>
      <w:instrText xml:space="preserve"> PAGE   \* MERGEFORMAT </w:instrText>
    </w:r>
    <w:r>
      <w:fldChar w:fldCharType="separate"/>
    </w:r>
    <w:r>
      <w:rPr>
        <w:noProof/>
      </w:rPr>
      <w:t>18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4DA6" w14:textId="77777777" w:rsidR="00251E4B" w:rsidRPr="00A71A0E" w:rsidRDefault="00251E4B" w:rsidP="00FA3BB9">
    <w:pPr>
      <w:pStyle w:val="Footer"/>
      <w:jc w:val="center"/>
    </w:pPr>
    <w:r>
      <w:t>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A2D8" w14:textId="77777777" w:rsidR="00251E4B" w:rsidRDefault="00251E4B">
      <w:r>
        <w:separator/>
      </w:r>
    </w:p>
  </w:footnote>
  <w:footnote w:type="continuationSeparator" w:id="0">
    <w:p w14:paraId="542A2B2F" w14:textId="77777777" w:rsidR="00251E4B" w:rsidRDefault="0025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0938" w14:textId="3EF51D04" w:rsidR="00E8727E" w:rsidRDefault="00E8727E">
    <w:pPr>
      <w:pStyle w:val="Header"/>
    </w:pPr>
    <w:r>
      <w:t>Request for Applications for American Indian Centers</w:t>
    </w:r>
  </w:p>
  <w:p w14:paraId="7761F10C" w14:textId="77777777" w:rsidR="00251E4B" w:rsidRPr="006F0760" w:rsidRDefault="00251E4B" w:rsidP="006F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DD3B" w14:textId="77777777" w:rsidR="00251E4B" w:rsidRPr="007F43A5" w:rsidRDefault="00251E4B" w:rsidP="007F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FCA4670"/>
    <w:lvl w:ilvl="0">
      <w:start w:val="1"/>
      <w:numFmt w:val="bullet"/>
      <w:pStyle w:val="ListBullet2"/>
      <w:lvlText w:val="o"/>
      <w:lvlJc w:val="left"/>
      <w:pPr>
        <w:tabs>
          <w:tab w:val="num" w:pos="1440"/>
        </w:tabs>
        <w:ind w:left="1440" w:hanging="360"/>
      </w:pPr>
      <w:rPr>
        <w:rFonts w:ascii="Courier New" w:hAnsi="Courier New" w:cs="Courier New" w:hint="default"/>
      </w:rPr>
    </w:lvl>
  </w:abstractNum>
  <w:abstractNum w:abstractNumId="1" w15:restartNumberingAfterBreak="0">
    <w:nsid w:val="FFFFFF89"/>
    <w:multiLevelType w:val="singleLevel"/>
    <w:tmpl w:val="3D8811F6"/>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1A"/>
    <w:multiLevelType w:val="multilevel"/>
    <w:tmpl w:val="00000000"/>
    <w:lvl w:ilvl="0">
      <w:start w:val="1"/>
      <w:numFmt w:val="lowerLetter"/>
      <w:lvlText w:val="%1"/>
      <w:lvlJc w:val="left"/>
    </w:lvl>
    <w:lvl w:ilvl="1">
      <w:start w:val="1"/>
      <w:numFmt w:val="lowerLetter"/>
      <w:pStyle w:val="Level2"/>
      <w:lvlText w:val="(%2)"/>
      <w:lvlJc w:val="left"/>
      <w:pPr>
        <w:tabs>
          <w:tab w:val="num" w:pos="4716"/>
        </w:tabs>
        <w:ind w:left="4716" w:hanging="720"/>
      </w:pPr>
    </w:lvl>
    <w:lvl w:ilvl="2">
      <w:start w:val="1"/>
      <w:numFmt w:val="decimal"/>
      <w:pStyle w:val="Level3"/>
      <w:lvlText w:val="(%3)"/>
      <w:lvlJc w:val="left"/>
      <w:pPr>
        <w:tabs>
          <w:tab w:val="num" w:pos="5436"/>
        </w:tabs>
        <w:ind w:left="5436" w:hanging="720"/>
      </w:pPr>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743C3C"/>
    <w:multiLevelType w:val="hybridMultilevel"/>
    <w:tmpl w:val="F0B6F94C"/>
    <w:lvl w:ilvl="0" w:tplc="0409000F">
      <w:start w:val="1"/>
      <w:numFmt w:val="decimal"/>
      <w:lvlText w:val="%1."/>
      <w:lvlJc w:val="left"/>
      <w:pPr>
        <w:ind w:left="2160" w:hanging="360"/>
      </w:pPr>
      <w:rPr>
        <w:rFonts w:hint="default"/>
        <w:b w:val="0"/>
        <w:bCs w:val="0"/>
      </w:rPr>
    </w:lvl>
    <w:lvl w:ilvl="1" w:tplc="FFFFFFFF">
      <w:start w:val="1"/>
      <w:numFmt w:val="decimal"/>
      <w:lvlText w:val="%2."/>
      <w:lvlJc w:val="left"/>
      <w:pPr>
        <w:ind w:left="216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2D67EF3"/>
    <w:multiLevelType w:val="hybridMultilevel"/>
    <w:tmpl w:val="22B87988"/>
    <w:lvl w:ilvl="0" w:tplc="58784F8C">
      <w:start w:val="1"/>
      <w:numFmt w:val="upperRoman"/>
      <w:pStyle w:val="Heading6"/>
      <w:lvlText w:val="%1."/>
      <w:lvlJc w:val="left"/>
      <w:pPr>
        <w:ind w:left="1080" w:hanging="360"/>
      </w:pPr>
      <w:rPr>
        <w:rFonts w:ascii="Arial" w:hAnsi="Arial" w:hint="default"/>
        <w:b/>
        <w:i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11652B"/>
    <w:multiLevelType w:val="hybridMultilevel"/>
    <w:tmpl w:val="0FAE0B40"/>
    <w:lvl w:ilvl="0" w:tplc="720EDE3C">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AF872AF"/>
    <w:multiLevelType w:val="hybridMultilevel"/>
    <w:tmpl w:val="4DC88B04"/>
    <w:lvl w:ilvl="0" w:tplc="0409000F">
      <w:start w:val="1"/>
      <w:numFmt w:val="decimal"/>
      <w:lvlText w:val="%1."/>
      <w:lvlJc w:val="left"/>
      <w:pPr>
        <w:ind w:left="1530" w:hanging="360"/>
      </w:pPr>
      <w:rPr>
        <w:rFonts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2970" w:hanging="360"/>
      </w:pPr>
      <w:rPr>
        <w:rFonts w:ascii="Courier New" w:hAnsi="Courier New" w:cs="Courier New"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B0B4C55"/>
    <w:multiLevelType w:val="hybridMultilevel"/>
    <w:tmpl w:val="09AA1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B6F11"/>
    <w:multiLevelType w:val="hybridMultilevel"/>
    <w:tmpl w:val="D4BAA4B0"/>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944A87"/>
    <w:multiLevelType w:val="hybridMultilevel"/>
    <w:tmpl w:val="D2242C0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5495619"/>
    <w:multiLevelType w:val="hybridMultilevel"/>
    <w:tmpl w:val="52F26472"/>
    <w:lvl w:ilvl="0" w:tplc="1CDEB5D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746156A"/>
    <w:multiLevelType w:val="hybridMultilevel"/>
    <w:tmpl w:val="C96CE802"/>
    <w:lvl w:ilvl="0" w:tplc="3A4A84F0">
      <w:start w:val="2"/>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503E3"/>
    <w:multiLevelType w:val="hybridMultilevel"/>
    <w:tmpl w:val="34D2B43A"/>
    <w:lvl w:ilvl="0" w:tplc="1CDEB5D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FD601B"/>
    <w:multiLevelType w:val="hybridMultilevel"/>
    <w:tmpl w:val="ED6E5E9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9910532"/>
    <w:multiLevelType w:val="hybridMultilevel"/>
    <w:tmpl w:val="6CDCB1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30162"/>
    <w:multiLevelType w:val="hybridMultilevel"/>
    <w:tmpl w:val="EBC47A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0F633C"/>
    <w:multiLevelType w:val="hybridMultilevel"/>
    <w:tmpl w:val="62082E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281FEC"/>
    <w:multiLevelType w:val="hybridMultilevel"/>
    <w:tmpl w:val="D5BACAD0"/>
    <w:lvl w:ilvl="0" w:tplc="DADE11FA">
      <w:start w:val="10"/>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AE37AB"/>
    <w:multiLevelType w:val="hybridMultilevel"/>
    <w:tmpl w:val="945AAE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BA4802"/>
    <w:multiLevelType w:val="hybridMultilevel"/>
    <w:tmpl w:val="4F2802E2"/>
    <w:lvl w:ilvl="0" w:tplc="92E02F4C">
      <w:start w:val="1"/>
      <w:numFmt w:val="bullet"/>
      <w:lvlText w:val=""/>
      <w:lvlJc w:val="left"/>
      <w:pPr>
        <w:tabs>
          <w:tab w:val="num" w:pos="1440"/>
        </w:tabs>
        <w:ind w:left="1440" w:hanging="360"/>
      </w:pPr>
      <w:rPr>
        <w:rFonts w:ascii="Symbol" w:hAnsi="Symbol" w:hint="default"/>
        <w:b/>
        <w:i w:val="0"/>
        <w:color w:val="auto"/>
        <w:sz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ADD2D4F"/>
    <w:multiLevelType w:val="hybridMultilevel"/>
    <w:tmpl w:val="B712DC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B231102"/>
    <w:multiLevelType w:val="hybridMultilevel"/>
    <w:tmpl w:val="521690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D3454BE"/>
    <w:multiLevelType w:val="hybridMultilevel"/>
    <w:tmpl w:val="4B94CD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0F727F1"/>
    <w:multiLevelType w:val="hybridMultilevel"/>
    <w:tmpl w:val="C276B35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1BB0606"/>
    <w:multiLevelType w:val="hybridMultilevel"/>
    <w:tmpl w:val="AB58E9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5646BC8"/>
    <w:multiLevelType w:val="hybridMultilevel"/>
    <w:tmpl w:val="6D3E6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1C7A35"/>
    <w:multiLevelType w:val="hybridMultilevel"/>
    <w:tmpl w:val="3A8EB46E"/>
    <w:lvl w:ilvl="0" w:tplc="86D41080">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C0C38"/>
    <w:multiLevelType w:val="hybridMultilevel"/>
    <w:tmpl w:val="ED10FFD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E806B4A"/>
    <w:multiLevelType w:val="hybridMultilevel"/>
    <w:tmpl w:val="76A4DB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42E34F5C"/>
    <w:multiLevelType w:val="hybridMultilevel"/>
    <w:tmpl w:val="8FB20ADA"/>
    <w:lvl w:ilvl="0" w:tplc="B5F284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652E2E"/>
    <w:multiLevelType w:val="hybridMultilevel"/>
    <w:tmpl w:val="A8F08C2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16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4036B42"/>
    <w:multiLevelType w:val="multilevel"/>
    <w:tmpl w:val="6FCA1C84"/>
    <w:lvl w:ilvl="0">
      <w:start w:val="4"/>
      <w:numFmt w:val="upperRoman"/>
      <w:pStyle w:val="Heading2"/>
      <w:lvlText w:val="%1."/>
      <w:lvlJc w:val="left"/>
      <w:pPr>
        <w:tabs>
          <w:tab w:val="num" w:pos="360"/>
        </w:tabs>
        <w:ind w:left="360" w:hanging="360"/>
      </w:pPr>
      <w:rPr>
        <w:rFonts w:hint="default"/>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1030"/>
        </w:tabs>
        <w:ind w:left="1030" w:hanging="360"/>
      </w:pPr>
      <w:rPr>
        <w:rFonts w:hint="default"/>
      </w:rPr>
    </w:lvl>
    <w:lvl w:ilvl="2">
      <w:start w:val="1"/>
      <w:numFmt w:val="upperLetter"/>
      <w:lvlText w:val="%3."/>
      <w:lvlJc w:val="left"/>
      <w:pPr>
        <w:tabs>
          <w:tab w:val="num" w:pos="1930"/>
        </w:tabs>
        <w:ind w:left="1930" w:hanging="360"/>
      </w:pPr>
      <w:rPr>
        <w:rFonts w:hint="default"/>
      </w:rPr>
    </w:lvl>
    <w:lvl w:ilvl="3">
      <w:start w:val="1"/>
      <w:numFmt w:val="lowerLetter"/>
      <w:lvlText w:val="%4."/>
      <w:lvlJc w:val="left"/>
      <w:pPr>
        <w:tabs>
          <w:tab w:val="num" w:pos="2470"/>
        </w:tabs>
        <w:ind w:left="2470" w:hanging="360"/>
      </w:pPr>
      <w:rPr>
        <w:rFonts w:hint="default"/>
      </w:rPr>
    </w:lvl>
    <w:lvl w:ilvl="4">
      <w:start w:val="1"/>
      <w:numFmt w:val="lowerLetter"/>
      <w:lvlText w:val="%5."/>
      <w:lvlJc w:val="left"/>
      <w:pPr>
        <w:tabs>
          <w:tab w:val="num" w:pos="3190"/>
        </w:tabs>
        <w:ind w:left="3190" w:hanging="360"/>
      </w:pPr>
      <w:rPr>
        <w:rFonts w:hint="default"/>
      </w:rPr>
    </w:lvl>
    <w:lvl w:ilvl="5">
      <w:start w:val="1"/>
      <w:numFmt w:val="lowerRoman"/>
      <w:lvlText w:val="%6."/>
      <w:lvlJc w:val="right"/>
      <w:pPr>
        <w:tabs>
          <w:tab w:val="num" w:pos="3910"/>
        </w:tabs>
        <w:ind w:left="3910" w:hanging="180"/>
      </w:pPr>
      <w:rPr>
        <w:rFonts w:hint="default"/>
      </w:rPr>
    </w:lvl>
    <w:lvl w:ilvl="6">
      <w:start w:val="1"/>
      <w:numFmt w:val="decimal"/>
      <w:lvlText w:val="%7."/>
      <w:lvlJc w:val="left"/>
      <w:pPr>
        <w:tabs>
          <w:tab w:val="num" w:pos="4630"/>
        </w:tabs>
        <w:ind w:left="4630" w:hanging="360"/>
      </w:pPr>
      <w:rPr>
        <w:rFonts w:hint="default"/>
      </w:rPr>
    </w:lvl>
    <w:lvl w:ilvl="7">
      <w:start w:val="1"/>
      <w:numFmt w:val="lowerLetter"/>
      <w:lvlText w:val="%8."/>
      <w:lvlJc w:val="left"/>
      <w:pPr>
        <w:tabs>
          <w:tab w:val="num" w:pos="5350"/>
        </w:tabs>
        <w:ind w:left="5350" w:hanging="360"/>
      </w:pPr>
      <w:rPr>
        <w:rFonts w:hint="default"/>
      </w:rPr>
    </w:lvl>
    <w:lvl w:ilvl="8">
      <w:start w:val="1"/>
      <w:numFmt w:val="lowerRoman"/>
      <w:lvlText w:val="%9."/>
      <w:lvlJc w:val="right"/>
      <w:pPr>
        <w:tabs>
          <w:tab w:val="num" w:pos="6070"/>
        </w:tabs>
        <w:ind w:left="6070" w:hanging="180"/>
      </w:pPr>
      <w:rPr>
        <w:rFonts w:hint="default"/>
      </w:rPr>
    </w:lvl>
  </w:abstractNum>
  <w:abstractNum w:abstractNumId="32" w15:restartNumberingAfterBreak="0">
    <w:nsid w:val="44D42B42"/>
    <w:multiLevelType w:val="hybridMultilevel"/>
    <w:tmpl w:val="8E8E48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45FA4606"/>
    <w:multiLevelType w:val="hybridMultilevel"/>
    <w:tmpl w:val="C9A09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FD3099"/>
    <w:multiLevelType w:val="hybridMultilevel"/>
    <w:tmpl w:val="BECE9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D4239"/>
    <w:multiLevelType w:val="hybridMultilevel"/>
    <w:tmpl w:val="777EA9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4BD02E1A"/>
    <w:multiLevelType w:val="hybridMultilevel"/>
    <w:tmpl w:val="BF26B8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BF95739"/>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0B4456D"/>
    <w:multiLevelType w:val="hybridMultilevel"/>
    <w:tmpl w:val="9582303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21B0A75"/>
    <w:multiLevelType w:val="hybridMultilevel"/>
    <w:tmpl w:val="97F059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33C59B1"/>
    <w:multiLevelType w:val="hybridMultilevel"/>
    <w:tmpl w:val="4C408226"/>
    <w:lvl w:ilvl="0" w:tplc="6A0601F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1E4C87"/>
    <w:multiLevelType w:val="hybridMultilevel"/>
    <w:tmpl w:val="8BBABF38"/>
    <w:lvl w:ilvl="0" w:tplc="E2BA92A2">
      <w:start w:val="1"/>
      <w:numFmt w:val="decimal"/>
      <w:lvlText w:val="%1."/>
      <w:lvlJc w:val="left"/>
      <w:pPr>
        <w:ind w:left="1530" w:hanging="360"/>
      </w:pPr>
      <w:rPr>
        <w:rFonts w:hint="default"/>
      </w:rPr>
    </w:lvl>
    <w:lvl w:ilvl="1" w:tplc="3BCA126E">
      <w:start w:val="1"/>
      <w:numFmt w:val="decimal"/>
      <w:lvlText w:val="%2."/>
      <w:lvlJc w:val="left"/>
      <w:pPr>
        <w:ind w:left="1440" w:hanging="360"/>
      </w:pPr>
      <w:rPr>
        <w:rFonts w:hint="default"/>
      </w:rPr>
    </w:lvl>
    <w:lvl w:ilvl="2" w:tplc="04090001">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59E4933"/>
    <w:multiLevelType w:val="hybridMultilevel"/>
    <w:tmpl w:val="01B4AA1C"/>
    <w:lvl w:ilvl="0" w:tplc="92E02F4C">
      <w:start w:val="1"/>
      <w:numFmt w:val="bullet"/>
      <w:lvlText w:val=""/>
      <w:lvlJc w:val="left"/>
      <w:pPr>
        <w:tabs>
          <w:tab w:val="num" w:pos="1440"/>
        </w:tabs>
        <w:ind w:left="1440" w:hanging="360"/>
      </w:pPr>
      <w:rPr>
        <w:rFonts w:ascii="Symbol" w:hAnsi="Symbol" w:hint="default"/>
        <w:b/>
        <w:i w:val="0"/>
        <w:color w:val="auto"/>
        <w:sz w:val="24"/>
      </w:rPr>
    </w:lvl>
    <w:lvl w:ilvl="1" w:tplc="241A473C">
      <w:start w:val="1"/>
      <w:numFmt w:val="upperRoman"/>
      <w:lvlText w:val="%2."/>
      <w:lvlJc w:val="left"/>
      <w:pPr>
        <w:tabs>
          <w:tab w:val="num" w:pos="2520"/>
        </w:tabs>
        <w:ind w:left="2520" w:hanging="360"/>
      </w:pPr>
      <w:rPr>
        <w:rFonts w:hint="default"/>
        <w:b/>
        <w:i w:val="0"/>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58987C95"/>
    <w:multiLevelType w:val="multilevel"/>
    <w:tmpl w:val="0409001D"/>
    <w:styleLink w:val="1ai"/>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8E471D3"/>
    <w:multiLevelType w:val="hybridMultilevel"/>
    <w:tmpl w:val="F4D09B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344865"/>
    <w:multiLevelType w:val="hybridMultilevel"/>
    <w:tmpl w:val="A4422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8A35FA"/>
    <w:multiLevelType w:val="hybridMultilevel"/>
    <w:tmpl w:val="A33486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DD7FA9"/>
    <w:multiLevelType w:val="hybridMultilevel"/>
    <w:tmpl w:val="854AE1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C2F379F"/>
    <w:multiLevelType w:val="hybridMultilevel"/>
    <w:tmpl w:val="3DDCB592"/>
    <w:lvl w:ilvl="0" w:tplc="91AA99A0">
      <w:start w:val="4"/>
      <w:numFmt w:val="upperRoman"/>
      <w:pStyle w:val="Heading9"/>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15:restartNumberingAfterBreak="0">
    <w:nsid w:val="5E1353FB"/>
    <w:multiLevelType w:val="hybridMultilevel"/>
    <w:tmpl w:val="0EB20418"/>
    <w:lvl w:ilvl="0" w:tplc="92E02F4C">
      <w:start w:val="1"/>
      <w:numFmt w:val="bullet"/>
      <w:lvlText w:val=""/>
      <w:lvlJc w:val="left"/>
      <w:pPr>
        <w:ind w:left="1440" w:hanging="360"/>
      </w:pPr>
      <w:rPr>
        <w:rFonts w:ascii="Symbol" w:hAnsi="Symbol" w:hint="default"/>
        <w:b/>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EE37691"/>
    <w:multiLevelType w:val="hybridMultilevel"/>
    <w:tmpl w:val="4E244A52"/>
    <w:lvl w:ilvl="0" w:tplc="43300BD4">
      <w:start w:val="8"/>
      <w:numFmt w:val="upp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656238"/>
    <w:multiLevelType w:val="hybridMultilevel"/>
    <w:tmpl w:val="8AC8A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FDF27EB"/>
    <w:multiLevelType w:val="hybridMultilevel"/>
    <w:tmpl w:val="7A847946"/>
    <w:lvl w:ilvl="0" w:tplc="720EDE3C">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00C787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617D4061"/>
    <w:multiLevelType w:val="hybridMultilevel"/>
    <w:tmpl w:val="27E498D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19441E6"/>
    <w:multiLevelType w:val="hybridMultilevel"/>
    <w:tmpl w:val="A05EB80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20516DE"/>
    <w:multiLevelType w:val="hybridMultilevel"/>
    <w:tmpl w:val="EAD80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2B508D7"/>
    <w:multiLevelType w:val="hybridMultilevel"/>
    <w:tmpl w:val="4798EEB8"/>
    <w:lvl w:ilvl="0" w:tplc="D6D0A786">
      <w:start w:val="1"/>
      <w:numFmt w:val="bullet"/>
      <w:lvlText w:val=""/>
      <w:lvlJc w:val="left"/>
      <w:pPr>
        <w:ind w:left="21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62DA11ED"/>
    <w:multiLevelType w:val="hybridMultilevel"/>
    <w:tmpl w:val="2E8C0D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66A210C2"/>
    <w:multiLevelType w:val="hybridMultilevel"/>
    <w:tmpl w:val="8A684E7E"/>
    <w:lvl w:ilvl="0" w:tplc="1CDEB5D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D9950B7"/>
    <w:multiLevelType w:val="hybridMultilevel"/>
    <w:tmpl w:val="23E67EC0"/>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1" w15:restartNumberingAfterBreak="0">
    <w:nsid w:val="73E313CA"/>
    <w:multiLevelType w:val="hybridMultilevel"/>
    <w:tmpl w:val="CA62A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55B7EAB"/>
    <w:multiLevelType w:val="hybridMultilevel"/>
    <w:tmpl w:val="6D4432B2"/>
    <w:lvl w:ilvl="0" w:tplc="04090001">
      <w:start w:val="1"/>
      <w:numFmt w:val="bullet"/>
      <w:lvlText w:val=""/>
      <w:lvlJc w:val="left"/>
      <w:pPr>
        <w:tabs>
          <w:tab w:val="num" w:pos="1440"/>
        </w:tabs>
        <w:ind w:left="1440" w:hanging="360"/>
      </w:pPr>
      <w:rPr>
        <w:rFonts w:ascii="Symbol" w:hAnsi="Symbol" w:hint="default"/>
        <w:color w:val="auto"/>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63" w15:restartNumberingAfterBreak="0">
    <w:nsid w:val="76502165"/>
    <w:multiLevelType w:val="hybridMultilevel"/>
    <w:tmpl w:val="DB9A4BAA"/>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15:restartNumberingAfterBreak="0">
    <w:nsid w:val="7AFC758B"/>
    <w:multiLevelType w:val="multilevel"/>
    <w:tmpl w:val="0409001D"/>
    <w:styleLink w:val="Style1"/>
    <w:lvl w:ilvl="0">
      <w:start w:val="1"/>
      <w:numFmt w:val="upperRoman"/>
      <w:lvlText w:val="%1)"/>
      <w:lvlJc w:val="left"/>
      <w:pPr>
        <w:tabs>
          <w:tab w:val="num" w:pos="360"/>
        </w:tabs>
        <w:ind w:left="360" w:hanging="360"/>
      </w:pPr>
      <w:rPr>
        <w:rFonts w:ascii="Arial" w:hAnsi="Arial"/>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8287470">
    <w:abstractNumId w:val="48"/>
  </w:num>
  <w:num w:numId="2" w16cid:durableId="873887790">
    <w:abstractNumId w:val="2"/>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9494338">
    <w:abstractNumId w:val="64"/>
  </w:num>
  <w:num w:numId="4" w16cid:durableId="124859094">
    <w:abstractNumId w:val="53"/>
  </w:num>
  <w:num w:numId="5" w16cid:durableId="963970162">
    <w:abstractNumId w:val="43"/>
  </w:num>
  <w:num w:numId="6" w16cid:durableId="1631476396">
    <w:abstractNumId w:val="37"/>
  </w:num>
  <w:num w:numId="7" w16cid:durableId="77336429">
    <w:abstractNumId w:val="4"/>
  </w:num>
  <w:num w:numId="8" w16cid:durableId="1406145677">
    <w:abstractNumId w:val="31"/>
  </w:num>
  <w:num w:numId="9" w16cid:durableId="1623145722">
    <w:abstractNumId w:val="45"/>
  </w:num>
  <w:num w:numId="10" w16cid:durableId="1021083512">
    <w:abstractNumId w:val="42"/>
  </w:num>
  <w:num w:numId="11" w16cid:durableId="1405638647">
    <w:abstractNumId w:val="1"/>
  </w:num>
  <w:num w:numId="12" w16cid:durableId="1838417139">
    <w:abstractNumId w:val="0"/>
  </w:num>
  <w:num w:numId="13" w16cid:durableId="1936359288">
    <w:abstractNumId w:val="47"/>
  </w:num>
  <w:num w:numId="14" w16cid:durableId="343631801">
    <w:abstractNumId w:val="63"/>
  </w:num>
  <w:num w:numId="15" w16cid:durableId="856700597">
    <w:abstractNumId w:val="46"/>
  </w:num>
  <w:num w:numId="16" w16cid:durableId="1848860048">
    <w:abstractNumId w:val="61"/>
  </w:num>
  <w:num w:numId="17" w16cid:durableId="240870903">
    <w:abstractNumId w:val="51"/>
  </w:num>
  <w:num w:numId="18" w16cid:durableId="1833833635">
    <w:abstractNumId w:val="60"/>
  </w:num>
  <w:num w:numId="19" w16cid:durableId="1171872086">
    <w:abstractNumId w:val="33"/>
  </w:num>
  <w:num w:numId="20" w16cid:durableId="295723656">
    <w:abstractNumId w:val="16"/>
  </w:num>
  <w:num w:numId="21" w16cid:durableId="504170084">
    <w:abstractNumId w:val="14"/>
  </w:num>
  <w:num w:numId="22" w16cid:durableId="1636108443">
    <w:abstractNumId w:val="44"/>
  </w:num>
  <w:num w:numId="23" w16cid:durableId="658004420">
    <w:abstractNumId w:val="29"/>
  </w:num>
  <w:num w:numId="24" w16cid:durableId="458838894">
    <w:abstractNumId w:val="40"/>
  </w:num>
  <w:num w:numId="25" w16cid:durableId="1341086523">
    <w:abstractNumId w:val="34"/>
  </w:num>
  <w:num w:numId="26" w16cid:durableId="922836458">
    <w:abstractNumId w:val="18"/>
  </w:num>
  <w:num w:numId="27" w16cid:durableId="1000036561">
    <w:abstractNumId w:val="36"/>
  </w:num>
  <w:num w:numId="28" w16cid:durableId="262418950">
    <w:abstractNumId w:val="58"/>
  </w:num>
  <w:num w:numId="29" w16cid:durableId="1406756230">
    <w:abstractNumId w:val="8"/>
  </w:num>
  <w:num w:numId="30" w16cid:durableId="168716805">
    <w:abstractNumId w:val="21"/>
  </w:num>
  <w:num w:numId="31" w16cid:durableId="240993779">
    <w:abstractNumId w:val="20"/>
  </w:num>
  <w:num w:numId="32" w16cid:durableId="1118059914">
    <w:abstractNumId w:val="27"/>
  </w:num>
  <w:num w:numId="33" w16cid:durableId="1211067614">
    <w:abstractNumId w:val="12"/>
  </w:num>
  <w:num w:numId="34" w16cid:durableId="909967727">
    <w:abstractNumId w:val="57"/>
  </w:num>
  <w:num w:numId="35" w16cid:durableId="1629624439">
    <w:abstractNumId w:val="54"/>
  </w:num>
  <w:num w:numId="36" w16cid:durableId="1863399687">
    <w:abstractNumId w:val="23"/>
  </w:num>
  <w:num w:numId="37" w16cid:durableId="577402801">
    <w:abstractNumId w:val="41"/>
  </w:num>
  <w:num w:numId="38" w16cid:durableId="1491172697">
    <w:abstractNumId w:val="22"/>
  </w:num>
  <w:num w:numId="39" w16cid:durableId="710345273">
    <w:abstractNumId w:val="24"/>
  </w:num>
  <w:num w:numId="40" w16cid:durableId="1190025165">
    <w:abstractNumId w:val="6"/>
  </w:num>
  <w:num w:numId="41" w16cid:durableId="2013143866">
    <w:abstractNumId w:val="7"/>
  </w:num>
  <w:num w:numId="42" w16cid:durableId="669022924">
    <w:abstractNumId w:val="19"/>
  </w:num>
  <w:num w:numId="43" w16cid:durableId="1040369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8660587">
    <w:abstractNumId w:val="6"/>
  </w:num>
  <w:num w:numId="45" w16cid:durableId="2119908816">
    <w:abstractNumId w:val="32"/>
  </w:num>
  <w:num w:numId="46" w16cid:durableId="1672903031">
    <w:abstractNumId w:val="28"/>
  </w:num>
  <w:num w:numId="47" w16cid:durableId="1663042352">
    <w:abstractNumId w:val="15"/>
  </w:num>
  <w:num w:numId="48" w16cid:durableId="17377746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2654851">
    <w:abstractNumId w:val="30"/>
  </w:num>
  <w:num w:numId="50" w16cid:durableId="403138361">
    <w:abstractNumId w:val="59"/>
  </w:num>
  <w:num w:numId="51" w16cid:durableId="1228880643">
    <w:abstractNumId w:val="10"/>
  </w:num>
  <w:num w:numId="52" w16cid:durableId="2028210959">
    <w:abstractNumId w:val="50"/>
  </w:num>
  <w:num w:numId="53" w16cid:durableId="38172191">
    <w:abstractNumId w:val="49"/>
  </w:num>
  <w:num w:numId="54" w16cid:durableId="118189708">
    <w:abstractNumId w:val="25"/>
  </w:num>
  <w:num w:numId="55" w16cid:durableId="282074240">
    <w:abstractNumId w:val="17"/>
  </w:num>
  <w:num w:numId="56" w16cid:durableId="837885081">
    <w:abstractNumId w:val="56"/>
  </w:num>
  <w:num w:numId="57" w16cid:durableId="900748618">
    <w:abstractNumId w:val="26"/>
  </w:num>
  <w:num w:numId="58" w16cid:durableId="588349275">
    <w:abstractNumId w:val="11"/>
  </w:num>
  <w:num w:numId="59" w16cid:durableId="1863081431">
    <w:abstractNumId w:val="39"/>
  </w:num>
  <w:num w:numId="60" w16cid:durableId="20018276">
    <w:abstractNumId w:val="3"/>
  </w:num>
  <w:num w:numId="61" w16cid:durableId="510686564">
    <w:abstractNumId w:val="38"/>
  </w:num>
  <w:num w:numId="62" w16cid:durableId="1530534762">
    <w:abstractNumId w:val="9"/>
  </w:num>
  <w:num w:numId="63" w16cid:durableId="1611861575">
    <w:abstractNumId w:val="5"/>
  </w:num>
  <w:num w:numId="64" w16cid:durableId="188224200">
    <w:abstractNumId w:val="35"/>
  </w:num>
  <w:num w:numId="65" w16cid:durableId="839780825">
    <w:abstractNumId w:val="13"/>
  </w:num>
  <w:num w:numId="66" w16cid:durableId="284586620">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xMTK2NDY0MjKwNLNQ0lEKTi0uzszPAykwrAUAk+Vp1CwAAAA="/>
  </w:docVars>
  <w:rsids>
    <w:rsidRoot w:val="00225334"/>
    <w:rsid w:val="00000B54"/>
    <w:rsid w:val="00001174"/>
    <w:rsid w:val="00001329"/>
    <w:rsid w:val="000018E9"/>
    <w:rsid w:val="00002999"/>
    <w:rsid w:val="00002EF7"/>
    <w:rsid w:val="00002FC0"/>
    <w:rsid w:val="00003C47"/>
    <w:rsid w:val="00003F7A"/>
    <w:rsid w:val="000046F3"/>
    <w:rsid w:val="00005C77"/>
    <w:rsid w:val="000108CD"/>
    <w:rsid w:val="00012479"/>
    <w:rsid w:val="0001259D"/>
    <w:rsid w:val="000125A6"/>
    <w:rsid w:val="00012F73"/>
    <w:rsid w:val="00014D4A"/>
    <w:rsid w:val="00015D9D"/>
    <w:rsid w:val="00016672"/>
    <w:rsid w:val="00016C37"/>
    <w:rsid w:val="00020358"/>
    <w:rsid w:val="00020897"/>
    <w:rsid w:val="00020B0C"/>
    <w:rsid w:val="0002164C"/>
    <w:rsid w:val="00021945"/>
    <w:rsid w:val="00022949"/>
    <w:rsid w:val="00022EAC"/>
    <w:rsid w:val="000232FC"/>
    <w:rsid w:val="000237DD"/>
    <w:rsid w:val="0002417D"/>
    <w:rsid w:val="00024A54"/>
    <w:rsid w:val="00024E2F"/>
    <w:rsid w:val="00025AC9"/>
    <w:rsid w:val="0003357F"/>
    <w:rsid w:val="00033FAB"/>
    <w:rsid w:val="000343BF"/>
    <w:rsid w:val="0003575B"/>
    <w:rsid w:val="00037550"/>
    <w:rsid w:val="00040090"/>
    <w:rsid w:val="00042B48"/>
    <w:rsid w:val="00042C64"/>
    <w:rsid w:val="000433A9"/>
    <w:rsid w:val="00043767"/>
    <w:rsid w:val="00044009"/>
    <w:rsid w:val="00044ECF"/>
    <w:rsid w:val="0004506A"/>
    <w:rsid w:val="000456F6"/>
    <w:rsid w:val="00046298"/>
    <w:rsid w:val="0005180C"/>
    <w:rsid w:val="000553A8"/>
    <w:rsid w:val="00057E95"/>
    <w:rsid w:val="00057F22"/>
    <w:rsid w:val="00060149"/>
    <w:rsid w:val="00060F57"/>
    <w:rsid w:val="0006151E"/>
    <w:rsid w:val="00061912"/>
    <w:rsid w:val="000619CF"/>
    <w:rsid w:val="000624CA"/>
    <w:rsid w:val="000631DD"/>
    <w:rsid w:val="000632EC"/>
    <w:rsid w:val="000639FD"/>
    <w:rsid w:val="00063DC4"/>
    <w:rsid w:val="00064D93"/>
    <w:rsid w:val="00065721"/>
    <w:rsid w:val="000660F7"/>
    <w:rsid w:val="000679EE"/>
    <w:rsid w:val="00070507"/>
    <w:rsid w:val="0007078E"/>
    <w:rsid w:val="00070D92"/>
    <w:rsid w:val="00076C9D"/>
    <w:rsid w:val="000779B0"/>
    <w:rsid w:val="00082F84"/>
    <w:rsid w:val="00083578"/>
    <w:rsid w:val="00083A2A"/>
    <w:rsid w:val="00084EA3"/>
    <w:rsid w:val="00085139"/>
    <w:rsid w:val="0008642F"/>
    <w:rsid w:val="00086B28"/>
    <w:rsid w:val="00086EA3"/>
    <w:rsid w:val="00087AF5"/>
    <w:rsid w:val="0009158D"/>
    <w:rsid w:val="000920C7"/>
    <w:rsid w:val="00092F1D"/>
    <w:rsid w:val="000935CD"/>
    <w:rsid w:val="00093952"/>
    <w:rsid w:val="00094B96"/>
    <w:rsid w:val="00095527"/>
    <w:rsid w:val="000957BC"/>
    <w:rsid w:val="000970B6"/>
    <w:rsid w:val="000A04AB"/>
    <w:rsid w:val="000A0A99"/>
    <w:rsid w:val="000A1DF8"/>
    <w:rsid w:val="000A4124"/>
    <w:rsid w:val="000A4C66"/>
    <w:rsid w:val="000A556E"/>
    <w:rsid w:val="000A573B"/>
    <w:rsid w:val="000A5F03"/>
    <w:rsid w:val="000A62E4"/>
    <w:rsid w:val="000A6C21"/>
    <w:rsid w:val="000A7425"/>
    <w:rsid w:val="000A7C15"/>
    <w:rsid w:val="000B05D3"/>
    <w:rsid w:val="000B067D"/>
    <w:rsid w:val="000B244C"/>
    <w:rsid w:val="000B2FE6"/>
    <w:rsid w:val="000B449A"/>
    <w:rsid w:val="000B4BD0"/>
    <w:rsid w:val="000B55B1"/>
    <w:rsid w:val="000B6BF8"/>
    <w:rsid w:val="000B6D95"/>
    <w:rsid w:val="000B728E"/>
    <w:rsid w:val="000B7AA0"/>
    <w:rsid w:val="000B7E35"/>
    <w:rsid w:val="000C0280"/>
    <w:rsid w:val="000C0838"/>
    <w:rsid w:val="000C1EB2"/>
    <w:rsid w:val="000C1F77"/>
    <w:rsid w:val="000C3958"/>
    <w:rsid w:val="000C4A25"/>
    <w:rsid w:val="000C663E"/>
    <w:rsid w:val="000C66EC"/>
    <w:rsid w:val="000C6980"/>
    <w:rsid w:val="000C7371"/>
    <w:rsid w:val="000C7A88"/>
    <w:rsid w:val="000D0D20"/>
    <w:rsid w:val="000D1202"/>
    <w:rsid w:val="000D12CF"/>
    <w:rsid w:val="000D2A8E"/>
    <w:rsid w:val="000D2D2E"/>
    <w:rsid w:val="000D4AEB"/>
    <w:rsid w:val="000D54E7"/>
    <w:rsid w:val="000D57A7"/>
    <w:rsid w:val="000D6990"/>
    <w:rsid w:val="000D6A2E"/>
    <w:rsid w:val="000D6A55"/>
    <w:rsid w:val="000E1474"/>
    <w:rsid w:val="000E2447"/>
    <w:rsid w:val="000E3334"/>
    <w:rsid w:val="000E5091"/>
    <w:rsid w:val="000E572E"/>
    <w:rsid w:val="000E600E"/>
    <w:rsid w:val="000E6578"/>
    <w:rsid w:val="000E6683"/>
    <w:rsid w:val="000E7E59"/>
    <w:rsid w:val="000F0DD6"/>
    <w:rsid w:val="000F17AF"/>
    <w:rsid w:val="000F1BB8"/>
    <w:rsid w:val="000F435D"/>
    <w:rsid w:val="000F5D92"/>
    <w:rsid w:val="000F672B"/>
    <w:rsid w:val="000F6BD2"/>
    <w:rsid w:val="000F71C9"/>
    <w:rsid w:val="000F77A3"/>
    <w:rsid w:val="000F7ED4"/>
    <w:rsid w:val="00100D36"/>
    <w:rsid w:val="0010153A"/>
    <w:rsid w:val="00102FFE"/>
    <w:rsid w:val="00104ED8"/>
    <w:rsid w:val="0010532A"/>
    <w:rsid w:val="001105B9"/>
    <w:rsid w:val="00111395"/>
    <w:rsid w:val="0011332F"/>
    <w:rsid w:val="00113372"/>
    <w:rsid w:val="00114CD0"/>
    <w:rsid w:val="001150EE"/>
    <w:rsid w:val="00115BF0"/>
    <w:rsid w:val="00116292"/>
    <w:rsid w:val="00116884"/>
    <w:rsid w:val="00116C57"/>
    <w:rsid w:val="00116F1A"/>
    <w:rsid w:val="0011778D"/>
    <w:rsid w:val="0012009B"/>
    <w:rsid w:val="00120854"/>
    <w:rsid w:val="0012089C"/>
    <w:rsid w:val="0012173B"/>
    <w:rsid w:val="00124770"/>
    <w:rsid w:val="00124958"/>
    <w:rsid w:val="00124CAC"/>
    <w:rsid w:val="00125FAD"/>
    <w:rsid w:val="001272FF"/>
    <w:rsid w:val="0013045A"/>
    <w:rsid w:val="00130599"/>
    <w:rsid w:val="0013205E"/>
    <w:rsid w:val="00132275"/>
    <w:rsid w:val="00132E07"/>
    <w:rsid w:val="001346F6"/>
    <w:rsid w:val="00136BE2"/>
    <w:rsid w:val="0013723B"/>
    <w:rsid w:val="00137FDF"/>
    <w:rsid w:val="0014014C"/>
    <w:rsid w:val="00141047"/>
    <w:rsid w:val="00144C1D"/>
    <w:rsid w:val="00144EE3"/>
    <w:rsid w:val="00145A39"/>
    <w:rsid w:val="001461A0"/>
    <w:rsid w:val="001467AA"/>
    <w:rsid w:val="0014696D"/>
    <w:rsid w:val="00147102"/>
    <w:rsid w:val="0014724D"/>
    <w:rsid w:val="0015160B"/>
    <w:rsid w:val="00151884"/>
    <w:rsid w:val="00151C2B"/>
    <w:rsid w:val="00152741"/>
    <w:rsid w:val="001528A7"/>
    <w:rsid w:val="00152CDC"/>
    <w:rsid w:val="00153316"/>
    <w:rsid w:val="00154152"/>
    <w:rsid w:val="00154CBE"/>
    <w:rsid w:val="00156422"/>
    <w:rsid w:val="00157D8A"/>
    <w:rsid w:val="00160061"/>
    <w:rsid w:val="001601B2"/>
    <w:rsid w:val="00160A1D"/>
    <w:rsid w:val="001619A2"/>
    <w:rsid w:val="00161CB0"/>
    <w:rsid w:val="00162A54"/>
    <w:rsid w:val="001632AF"/>
    <w:rsid w:val="00163C54"/>
    <w:rsid w:val="00163E20"/>
    <w:rsid w:val="00164C91"/>
    <w:rsid w:val="00166949"/>
    <w:rsid w:val="00167007"/>
    <w:rsid w:val="00167762"/>
    <w:rsid w:val="00170A67"/>
    <w:rsid w:val="00171C14"/>
    <w:rsid w:val="00172010"/>
    <w:rsid w:val="001748AD"/>
    <w:rsid w:val="00174FD7"/>
    <w:rsid w:val="001756D3"/>
    <w:rsid w:val="00175922"/>
    <w:rsid w:val="00175ADE"/>
    <w:rsid w:val="00180DE9"/>
    <w:rsid w:val="0018154B"/>
    <w:rsid w:val="00182364"/>
    <w:rsid w:val="00182405"/>
    <w:rsid w:val="001824D3"/>
    <w:rsid w:val="00182FA0"/>
    <w:rsid w:val="001845FA"/>
    <w:rsid w:val="001857DA"/>
    <w:rsid w:val="00185A0F"/>
    <w:rsid w:val="00185CDD"/>
    <w:rsid w:val="00185DDD"/>
    <w:rsid w:val="001860B3"/>
    <w:rsid w:val="001865CD"/>
    <w:rsid w:val="00186629"/>
    <w:rsid w:val="0018718E"/>
    <w:rsid w:val="00187BD3"/>
    <w:rsid w:val="00187E26"/>
    <w:rsid w:val="00190106"/>
    <w:rsid w:val="001904C8"/>
    <w:rsid w:val="0019134E"/>
    <w:rsid w:val="001914FD"/>
    <w:rsid w:val="00191DE8"/>
    <w:rsid w:val="00193F26"/>
    <w:rsid w:val="00195713"/>
    <w:rsid w:val="001959B9"/>
    <w:rsid w:val="00195B1F"/>
    <w:rsid w:val="0019656E"/>
    <w:rsid w:val="001968A6"/>
    <w:rsid w:val="00196981"/>
    <w:rsid w:val="00197467"/>
    <w:rsid w:val="001A1156"/>
    <w:rsid w:val="001A3E54"/>
    <w:rsid w:val="001A4EA1"/>
    <w:rsid w:val="001A5F5A"/>
    <w:rsid w:val="001A6818"/>
    <w:rsid w:val="001B030E"/>
    <w:rsid w:val="001B586E"/>
    <w:rsid w:val="001B7436"/>
    <w:rsid w:val="001C072D"/>
    <w:rsid w:val="001C1B66"/>
    <w:rsid w:val="001C2263"/>
    <w:rsid w:val="001C2843"/>
    <w:rsid w:val="001C4842"/>
    <w:rsid w:val="001C5678"/>
    <w:rsid w:val="001C62B3"/>
    <w:rsid w:val="001C6579"/>
    <w:rsid w:val="001C7B7B"/>
    <w:rsid w:val="001D04AD"/>
    <w:rsid w:val="001D3066"/>
    <w:rsid w:val="001D5565"/>
    <w:rsid w:val="001D5BE2"/>
    <w:rsid w:val="001D6116"/>
    <w:rsid w:val="001E1697"/>
    <w:rsid w:val="001E1840"/>
    <w:rsid w:val="001E2676"/>
    <w:rsid w:val="001E2A2E"/>
    <w:rsid w:val="001E2BA7"/>
    <w:rsid w:val="001E49BC"/>
    <w:rsid w:val="001E5BF3"/>
    <w:rsid w:val="001E6A9A"/>
    <w:rsid w:val="001E7D5D"/>
    <w:rsid w:val="001F2224"/>
    <w:rsid w:val="001F282A"/>
    <w:rsid w:val="001F2E5F"/>
    <w:rsid w:val="001F5136"/>
    <w:rsid w:val="001F5B7A"/>
    <w:rsid w:val="001F702E"/>
    <w:rsid w:val="00201129"/>
    <w:rsid w:val="00201226"/>
    <w:rsid w:val="0020136D"/>
    <w:rsid w:val="00201FE3"/>
    <w:rsid w:val="00202655"/>
    <w:rsid w:val="002059E3"/>
    <w:rsid w:val="00206EED"/>
    <w:rsid w:val="0020774F"/>
    <w:rsid w:val="00210788"/>
    <w:rsid w:val="00210D11"/>
    <w:rsid w:val="00210F8A"/>
    <w:rsid w:val="00211377"/>
    <w:rsid w:val="00211770"/>
    <w:rsid w:val="00211B67"/>
    <w:rsid w:val="00212494"/>
    <w:rsid w:val="0021461F"/>
    <w:rsid w:val="00214768"/>
    <w:rsid w:val="00217708"/>
    <w:rsid w:val="00217D9E"/>
    <w:rsid w:val="0022020E"/>
    <w:rsid w:val="00220712"/>
    <w:rsid w:val="00221542"/>
    <w:rsid w:val="00222BC9"/>
    <w:rsid w:val="00222C3E"/>
    <w:rsid w:val="00222F12"/>
    <w:rsid w:val="0022501E"/>
    <w:rsid w:val="00225334"/>
    <w:rsid w:val="00230317"/>
    <w:rsid w:val="00230E4D"/>
    <w:rsid w:val="00231EB0"/>
    <w:rsid w:val="00235428"/>
    <w:rsid w:val="0023583B"/>
    <w:rsid w:val="00235DC5"/>
    <w:rsid w:val="00236067"/>
    <w:rsid w:val="002368DD"/>
    <w:rsid w:val="0023695B"/>
    <w:rsid w:val="00236E0D"/>
    <w:rsid w:val="0023782B"/>
    <w:rsid w:val="00237850"/>
    <w:rsid w:val="00240ED7"/>
    <w:rsid w:val="002416AE"/>
    <w:rsid w:val="00242BC2"/>
    <w:rsid w:val="00243043"/>
    <w:rsid w:val="002439E7"/>
    <w:rsid w:val="00243A06"/>
    <w:rsid w:val="002445BA"/>
    <w:rsid w:val="00244834"/>
    <w:rsid w:val="002451DC"/>
    <w:rsid w:val="00245D6E"/>
    <w:rsid w:val="00250C85"/>
    <w:rsid w:val="002513BF"/>
    <w:rsid w:val="002519C3"/>
    <w:rsid w:val="00251E4B"/>
    <w:rsid w:val="00252746"/>
    <w:rsid w:val="00253214"/>
    <w:rsid w:val="00254E87"/>
    <w:rsid w:val="002568C9"/>
    <w:rsid w:val="00256CF5"/>
    <w:rsid w:val="00257120"/>
    <w:rsid w:val="0026050A"/>
    <w:rsid w:val="00261247"/>
    <w:rsid w:val="0026128F"/>
    <w:rsid w:val="0026143E"/>
    <w:rsid w:val="00264C75"/>
    <w:rsid w:val="00264CBA"/>
    <w:rsid w:val="002652B8"/>
    <w:rsid w:val="00265626"/>
    <w:rsid w:val="0026584C"/>
    <w:rsid w:val="00266A0B"/>
    <w:rsid w:val="00267007"/>
    <w:rsid w:val="00267F7F"/>
    <w:rsid w:val="0027285C"/>
    <w:rsid w:val="00272FB3"/>
    <w:rsid w:val="002733C4"/>
    <w:rsid w:val="00273ED2"/>
    <w:rsid w:val="002753FF"/>
    <w:rsid w:val="002760F0"/>
    <w:rsid w:val="00277275"/>
    <w:rsid w:val="00280C94"/>
    <w:rsid w:val="002821AA"/>
    <w:rsid w:val="00282D4D"/>
    <w:rsid w:val="00283767"/>
    <w:rsid w:val="00283A8E"/>
    <w:rsid w:val="002843A8"/>
    <w:rsid w:val="002857B8"/>
    <w:rsid w:val="0028636B"/>
    <w:rsid w:val="0028650B"/>
    <w:rsid w:val="002872E4"/>
    <w:rsid w:val="002902FF"/>
    <w:rsid w:val="00292EE3"/>
    <w:rsid w:val="0029314B"/>
    <w:rsid w:val="00293801"/>
    <w:rsid w:val="002939DF"/>
    <w:rsid w:val="00293AB0"/>
    <w:rsid w:val="00293DC8"/>
    <w:rsid w:val="00294960"/>
    <w:rsid w:val="0029521C"/>
    <w:rsid w:val="0029529B"/>
    <w:rsid w:val="00295C1E"/>
    <w:rsid w:val="0029602B"/>
    <w:rsid w:val="00296458"/>
    <w:rsid w:val="0029666B"/>
    <w:rsid w:val="00296833"/>
    <w:rsid w:val="002A0E27"/>
    <w:rsid w:val="002A16A7"/>
    <w:rsid w:val="002A1A76"/>
    <w:rsid w:val="002A2FE9"/>
    <w:rsid w:val="002A387B"/>
    <w:rsid w:val="002A3901"/>
    <w:rsid w:val="002A52B7"/>
    <w:rsid w:val="002A668D"/>
    <w:rsid w:val="002A6C76"/>
    <w:rsid w:val="002A7266"/>
    <w:rsid w:val="002A7B9A"/>
    <w:rsid w:val="002A7DE4"/>
    <w:rsid w:val="002B05FE"/>
    <w:rsid w:val="002B11CE"/>
    <w:rsid w:val="002B1267"/>
    <w:rsid w:val="002B210E"/>
    <w:rsid w:val="002B2D72"/>
    <w:rsid w:val="002B429A"/>
    <w:rsid w:val="002B676B"/>
    <w:rsid w:val="002B7EEA"/>
    <w:rsid w:val="002C08E9"/>
    <w:rsid w:val="002C38DC"/>
    <w:rsid w:val="002C3947"/>
    <w:rsid w:val="002C445D"/>
    <w:rsid w:val="002C4A02"/>
    <w:rsid w:val="002C4C8E"/>
    <w:rsid w:val="002C523D"/>
    <w:rsid w:val="002C6843"/>
    <w:rsid w:val="002C6A7B"/>
    <w:rsid w:val="002C6BAD"/>
    <w:rsid w:val="002D156A"/>
    <w:rsid w:val="002D4B96"/>
    <w:rsid w:val="002D4BD5"/>
    <w:rsid w:val="002D6171"/>
    <w:rsid w:val="002D678A"/>
    <w:rsid w:val="002D710E"/>
    <w:rsid w:val="002D7DBE"/>
    <w:rsid w:val="002E0A20"/>
    <w:rsid w:val="002E107A"/>
    <w:rsid w:val="002E12EB"/>
    <w:rsid w:val="002E291D"/>
    <w:rsid w:val="002E2E7E"/>
    <w:rsid w:val="002E7241"/>
    <w:rsid w:val="002E7C18"/>
    <w:rsid w:val="002F0B6D"/>
    <w:rsid w:val="002F2849"/>
    <w:rsid w:val="002F2D66"/>
    <w:rsid w:val="002F3444"/>
    <w:rsid w:val="002F3D74"/>
    <w:rsid w:val="002F5535"/>
    <w:rsid w:val="002F5B2A"/>
    <w:rsid w:val="002F637D"/>
    <w:rsid w:val="002F7A07"/>
    <w:rsid w:val="003011AF"/>
    <w:rsid w:val="00301A65"/>
    <w:rsid w:val="0030533E"/>
    <w:rsid w:val="003067F1"/>
    <w:rsid w:val="003068A8"/>
    <w:rsid w:val="00306A8A"/>
    <w:rsid w:val="003075BD"/>
    <w:rsid w:val="00310867"/>
    <w:rsid w:val="00312504"/>
    <w:rsid w:val="0031677A"/>
    <w:rsid w:val="00317B67"/>
    <w:rsid w:val="00322964"/>
    <w:rsid w:val="00322E2A"/>
    <w:rsid w:val="003231D4"/>
    <w:rsid w:val="00323686"/>
    <w:rsid w:val="003242FF"/>
    <w:rsid w:val="00324612"/>
    <w:rsid w:val="00326055"/>
    <w:rsid w:val="0032681E"/>
    <w:rsid w:val="00326BCC"/>
    <w:rsid w:val="00327495"/>
    <w:rsid w:val="0032762C"/>
    <w:rsid w:val="0033175A"/>
    <w:rsid w:val="0033175B"/>
    <w:rsid w:val="00331CF1"/>
    <w:rsid w:val="00332433"/>
    <w:rsid w:val="00333A66"/>
    <w:rsid w:val="00333E5B"/>
    <w:rsid w:val="00335CA7"/>
    <w:rsid w:val="00335D87"/>
    <w:rsid w:val="00336D9E"/>
    <w:rsid w:val="00337F98"/>
    <w:rsid w:val="00340F9F"/>
    <w:rsid w:val="00343163"/>
    <w:rsid w:val="00343A90"/>
    <w:rsid w:val="00343F53"/>
    <w:rsid w:val="00345094"/>
    <w:rsid w:val="00345826"/>
    <w:rsid w:val="00350758"/>
    <w:rsid w:val="00350A46"/>
    <w:rsid w:val="00350DE1"/>
    <w:rsid w:val="0035150C"/>
    <w:rsid w:val="003519A9"/>
    <w:rsid w:val="003531D3"/>
    <w:rsid w:val="00353923"/>
    <w:rsid w:val="0035438F"/>
    <w:rsid w:val="0035452E"/>
    <w:rsid w:val="00354AFC"/>
    <w:rsid w:val="00355D7C"/>
    <w:rsid w:val="00356395"/>
    <w:rsid w:val="00356564"/>
    <w:rsid w:val="00356702"/>
    <w:rsid w:val="00356A71"/>
    <w:rsid w:val="00356D79"/>
    <w:rsid w:val="003578A5"/>
    <w:rsid w:val="00360173"/>
    <w:rsid w:val="0036071B"/>
    <w:rsid w:val="003609C1"/>
    <w:rsid w:val="00361102"/>
    <w:rsid w:val="0036125E"/>
    <w:rsid w:val="00362E96"/>
    <w:rsid w:val="00363516"/>
    <w:rsid w:val="003640F6"/>
    <w:rsid w:val="00364DB0"/>
    <w:rsid w:val="003662B4"/>
    <w:rsid w:val="0036776E"/>
    <w:rsid w:val="00367A4C"/>
    <w:rsid w:val="00370E98"/>
    <w:rsid w:val="00371259"/>
    <w:rsid w:val="003713C5"/>
    <w:rsid w:val="00372E5B"/>
    <w:rsid w:val="003744AF"/>
    <w:rsid w:val="003749BD"/>
    <w:rsid w:val="003761E1"/>
    <w:rsid w:val="003774AA"/>
    <w:rsid w:val="003774EA"/>
    <w:rsid w:val="00377A90"/>
    <w:rsid w:val="003801E4"/>
    <w:rsid w:val="003811F2"/>
    <w:rsid w:val="003818D2"/>
    <w:rsid w:val="00381B68"/>
    <w:rsid w:val="0038207D"/>
    <w:rsid w:val="00382F37"/>
    <w:rsid w:val="00385AD6"/>
    <w:rsid w:val="00385D0D"/>
    <w:rsid w:val="003865D0"/>
    <w:rsid w:val="00387859"/>
    <w:rsid w:val="00390AAD"/>
    <w:rsid w:val="003965CF"/>
    <w:rsid w:val="0039758A"/>
    <w:rsid w:val="00397978"/>
    <w:rsid w:val="00397A08"/>
    <w:rsid w:val="00397B4E"/>
    <w:rsid w:val="003A0382"/>
    <w:rsid w:val="003A2604"/>
    <w:rsid w:val="003A2A7A"/>
    <w:rsid w:val="003A4751"/>
    <w:rsid w:val="003A6042"/>
    <w:rsid w:val="003A6F72"/>
    <w:rsid w:val="003A7454"/>
    <w:rsid w:val="003A7848"/>
    <w:rsid w:val="003B070D"/>
    <w:rsid w:val="003B1EF6"/>
    <w:rsid w:val="003B2134"/>
    <w:rsid w:val="003B3DF4"/>
    <w:rsid w:val="003B6358"/>
    <w:rsid w:val="003B7A25"/>
    <w:rsid w:val="003B7A35"/>
    <w:rsid w:val="003C1C89"/>
    <w:rsid w:val="003C26B4"/>
    <w:rsid w:val="003C2BE7"/>
    <w:rsid w:val="003C3716"/>
    <w:rsid w:val="003C386C"/>
    <w:rsid w:val="003C3FEC"/>
    <w:rsid w:val="003C439B"/>
    <w:rsid w:val="003C6711"/>
    <w:rsid w:val="003C767C"/>
    <w:rsid w:val="003D1777"/>
    <w:rsid w:val="003D1EBD"/>
    <w:rsid w:val="003D413A"/>
    <w:rsid w:val="003D4487"/>
    <w:rsid w:val="003D4D56"/>
    <w:rsid w:val="003D58A8"/>
    <w:rsid w:val="003D5F75"/>
    <w:rsid w:val="003D6355"/>
    <w:rsid w:val="003D7BB3"/>
    <w:rsid w:val="003E375C"/>
    <w:rsid w:val="003E4C52"/>
    <w:rsid w:val="003E5EF9"/>
    <w:rsid w:val="003E61B2"/>
    <w:rsid w:val="003E6271"/>
    <w:rsid w:val="003E6CE9"/>
    <w:rsid w:val="003E70E0"/>
    <w:rsid w:val="003E7389"/>
    <w:rsid w:val="003F04EA"/>
    <w:rsid w:val="003F0729"/>
    <w:rsid w:val="003F0A70"/>
    <w:rsid w:val="003F13E4"/>
    <w:rsid w:val="003F2486"/>
    <w:rsid w:val="003F26F5"/>
    <w:rsid w:val="003F378F"/>
    <w:rsid w:val="003F5500"/>
    <w:rsid w:val="003F6C55"/>
    <w:rsid w:val="003F792C"/>
    <w:rsid w:val="003F7E0E"/>
    <w:rsid w:val="00400C3F"/>
    <w:rsid w:val="00402043"/>
    <w:rsid w:val="004039DA"/>
    <w:rsid w:val="00403ACB"/>
    <w:rsid w:val="00406BFD"/>
    <w:rsid w:val="0041027B"/>
    <w:rsid w:val="00411F51"/>
    <w:rsid w:val="0041281E"/>
    <w:rsid w:val="00413C7F"/>
    <w:rsid w:val="004219DB"/>
    <w:rsid w:val="00422029"/>
    <w:rsid w:val="00424E3C"/>
    <w:rsid w:val="004254F4"/>
    <w:rsid w:val="00425A91"/>
    <w:rsid w:val="00425CD3"/>
    <w:rsid w:val="0042675A"/>
    <w:rsid w:val="004275B5"/>
    <w:rsid w:val="004305F5"/>
    <w:rsid w:val="0043073D"/>
    <w:rsid w:val="00430988"/>
    <w:rsid w:val="004310F5"/>
    <w:rsid w:val="00431D82"/>
    <w:rsid w:val="00431F71"/>
    <w:rsid w:val="00432B53"/>
    <w:rsid w:val="00433618"/>
    <w:rsid w:val="00433C3E"/>
    <w:rsid w:val="0043559A"/>
    <w:rsid w:val="004372B8"/>
    <w:rsid w:val="004376FE"/>
    <w:rsid w:val="00437CEC"/>
    <w:rsid w:val="004425C4"/>
    <w:rsid w:val="00443100"/>
    <w:rsid w:val="00443745"/>
    <w:rsid w:val="00444035"/>
    <w:rsid w:val="004444BE"/>
    <w:rsid w:val="00444864"/>
    <w:rsid w:val="00445A37"/>
    <w:rsid w:val="00445E50"/>
    <w:rsid w:val="00447062"/>
    <w:rsid w:val="00447EC5"/>
    <w:rsid w:val="00452743"/>
    <w:rsid w:val="00452777"/>
    <w:rsid w:val="00452796"/>
    <w:rsid w:val="004541A6"/>
    <w:rsid w:val="0045477D"/>
    <w:rsid w:val="00454A06"/>
    <w:rsid w:val="004557B1"/>
    <w:rsid w:val="00455910"/>
    <w:rsid w:val="00456B12"/>
    <w:rsid w:val="00463663"/>
    <w:rsid w:val="004639DA"/>
    <w:rsid w:val="00463D92"/>
    <w:rsid w:val="004670B1"/>
    <w:rsid w:val="00467AAD"/>
    <w:rsid w:val="00467C18"/>
    <w:rsid w:val="00470820"/>
    <w:rsid w:val="00470E42"/>
    <w:rsid w:val="0047236B"/>
    <w:rsid w:val="004725F7"/>
    <w:rsid w:val="00473E9B"/>
    <w:rsid w:val="004757B2"/>
    <w:rsid w:val="004763D2"/>
    <w:rsid w:val="00476B52"/>
    <w:rsid w:val="00476E3D"/>
    <w:rsid w:val="004835AA"/>
    <w:rsid w:val="00485320"/>
    <w:rsid w:val="004865CD"/>
    <w:rsid w:val="00491969"/>
    <w:rsid w:val="004930ED"/>
    <w:rsid w:val="00493546"/>
    <w:rsid w:val="00496A6B"/>
    <w:rsid w:val="00497976"/>
    <w:rsid w:val="004A1DDE"/>
    <w:rsid w:val="004A2689"/>
    <w:rsid w:val="004A2DDD"/>
    <w:rsid w:val="004A2DE4"/>
    <w:rsid w:val="004A4420"/>
    <w:rsid w:val="004A46C7"/>
    <w:rsid w:val="004A555B"/>
    <w:rsid w:val="004A5B56"/>
    <w:rsid w:val="004A6E61"/>
    <w:rsid w:val="004A7462"/>
    <w:rsid w:val="004A7A2D"/>
    <w:rsid w:val="004B07A4"/>
    <w:rsid w:val="004B0808"/>
    <w:rsid w:val="004B119F"/>
    <w:rsid w:val="004B1F5F"/>
    <w:rsid w:val="004B25C0"/>
    <w:rsid w:val="004B25F8"/>
    <w:rsid w:val="004B3918"/>
    <w:rsid w:val="004B450A"/>
    <w:rsid w:val="004B542B"/>
    <w:rsid w:val="004B671E"/>
    <w:rsid w:val="004B6C9C"/>
    <w:rsid w:val="004B74C5"/>
    <w:rsid w:val="004C0E62"/>
    <w:rsid w:val="004C1D8F"/>
    <w:rsid w:val="004C29D6"/>
    <w:rsid w:val="004C32A7"/>
    <w:rsid w:val="004C3755"/>
    <w:rsid w:val="004C3BC3"/>
    <w:rsid w:val="004C4BB0"/>
    <w:rsid w:val="004C5846"/>
    <w:rsid w:val="004C65CB"/>
    <w:rsid w:val="004C6A2D"/>
    <w:rsid w:val="004C6CF5"/>
    <w:rsid w:val="004C778F"/>
    <w:rsid w:val="004C7960"/>
    <w:rsid w:val="004D15AA"/>
    <w:rsid w:val="004D190E"/>
    <w:rsid w:val="004D260B"/>
    <w:rsid w:val="004D369C"/>
    <w:rsid w:val="004D4808"/>
    <w:rsid w:val="004D4DCA"/>
    <w:rsid w:val="004D4E5F"/>
    <w:rsid w:val="004D574D"/>
    <w:rsid w:val="004D5C04"/>
    <w:rsid w:val="004D6724"/>
    <w:rsid w:val="004E1E6A"/>
    <w:rsid w:val="004E24E7"/>
    <w:rsid w:val="004E2A9D"/>
    <w:rsid w:val="004E312B"/>
    <w:rsid w:val="004E4F86"/>
    <w:rsid w:val="004E5100"/>
    <w:rsid w:val="004E5245"/>
    <w:rsid w:val="004E5B89"/>
    <w:rsid w:val="004E5D0C"/>
    <w:rsid w:val="004F080B"/>
    <w:rsid w:val="004F0E92"/>
    <w:rsid w:val="004F1168"/>
    <w:rsid w:val="004F2A6B"/>
    <w:rsid w:val="004F5ABC"/>
    <w:rsid w:val="004F6547"/>
    <w:rsid w:val="004F716E"/>
    <w:rsid w:val="00500135"/>
    <w:rsid w:val="005005EF"/>
    <w:rsid w:val="0050072E"/>
    <w:rsid w:val="005015E5"/>
    <w:rsid w:val="00502851"/>
    <w:rsid w:val="00502F3F"/>
    <w:rsid w:val="00503460"/>
    <w:rsid w:val="00503A2F"/>
    <w:rsid w:val="005047C0"/>
    <w:rsid w:val="00504CDD"/>
    <w:rsid w:val="005058D2"/>
    <w:rsid w:val="005060AB"/>
    <w:rsid w:val="00506C29"/>
    <w:rsid w:val="0050754F"/>
    <w:rsid w:val="00507F44"/>
    <w:rsid w:val="00511CDF"/>
    <w:rsid w:val="0051388D"/>
    <w:rsid w:val="00514AE0"/>
    <w:rsid w:val="00514EF9"/>
    <w:rsid w:val="00515CAA"/>
    <w:rsid w:val="00516AC2"/>
    <w:rsid w:val="0051703D"/>
    <w:rsid w:val="00520C6A"/>
    <w:rsid w:val="00521F4E"/>
    <w:rsid w:val="0052248D"/>
    <w:rsid w:val="0052399A"/>
    <w:rsid w:val="00524613"/>
    <w:rsid w:val="0052486A"/>
    <w:rsid w:val="00525100"/>
    <w:rsid w:val="005278F4"/>
    <w:rsid w:val="00527C16"/>
    <w:rsid w:val="0053065D"/>
    <w:rsid w:val="00530C93"/>
    <w:rsid w:val="00530FCE"/>
    <w:rsid w:val="005341A8"/>
    <w:rsid w:val="00535855"/>
    <w:rsid w:val="00536406"/>
    <w:rsid w:val="00537CD1"/>
    <w:rsid w:val="005408E3"/>
    <w:rsid w:val="00540E73"/>
    <w:rsid w:val="00542AAE"/>
    <w:rsid w:val="0054461F"/>
    <w:rsid w:val="005458A0"/>
    <w:rsid w:val="00546293"/>
    <w:rsid w:val="00552178"/>
    <w:rsid w:val="00553BFC"/>
    <w:rsid w:val="005545AD"/>
    <w:rsid w:val="00554A8F"/>
    <w:rsid w:val="00554B92"/>
    <w:rsid w:val="00554D65"/>
    <w:rsid w:val="00555A3E"/>
    <w:rsid w:val="00557EF0"/>
    <w:rsid w:val="005600F4"/>
    <w:rsid w:val="00560331"/>
    <w:rsid w:val="0056204B"/>
    <w:rsid w:val="00562484"/>
    <w:rsid w:val="00562C98"/>
    <w:rsid w:val="00562FB3"/>
    <w:rsid w:val="00563977"/>
    <w:rsid w:val="005639D7"/>
    <w:rsid w:val="00563F59"/>
    <w:rsid w:val="00564068"/>
    <w:rsid w:val="00564079"/>
    <w:rsid w:val="00564572"/>
    <w:rsid w:val="005648C1"/>
    <w:rsid w:val="00564E81"/>
    <w:rsid w:val="00565080"/>
    <w:rsid w:val="0056527E"/>
    <w:rsid w:val="00565DC2"/>
    <w:rsid w:val="00566602"/>
    <w:rsid w:val="0056740C"/>
    <w:rsid w:val="00567964"/>
    <w:rsid w:val="00567AA7"/>
    <w:rsid w:val="00567AAE"/>
    <w:rsid w:val="00567C9F"/>
    <w:rsid w:val="00570DD2"/>
    <w:rsid w:val="005721B6"/>
    <w:rsid w:val="0057262B"/>
    <w:rsid w:val="00573A70"/>
    <w:rsid w:val="005745C1"/>
    <w:rsid w:val="005745D6"/>
    <w:rsid w:val="005768B0"/>
    <w:rsid w:val="00577CF0"/>
    <w:rsid w:val="00580C6A"/>
    <w:rsid w:val="0058108F"/>
    <w:rsid w:val="00582B4B"/>
    <w:rsid w:val="00584024"/>
    <w:rsid w:val="005840B9"/>
    <w:rsid w:val="00585068"/>
    <w:rsid w:val="00585A7A"/>
    <w:rsid w:val="00586A39"/>
    <w:rsid w:val="00587CE2"/>
    <w:rsid w:val="00590112"/>
    <w:rsid w:val="00591165"/>
    <w:rsid w:val="005913A4"/>
    <w:rsid w:val="00591EFB"/>
    <w:rsid w:val="00592568"/>
    <w:rsid w:val="00593EF8"/>
    <w:rsid w:val="00594273"/>
    <w:rsid w:val="00594866"/>
    <w:rsid w:val="00594D1C"/>
    <w:rsid w:val="00595137"/>
    <w:rsid w:val="00595D88"/>
    <w:rsid w:val="00596963"/>
    <w:rsid w:val="0059711E"/>
    <w:rsid w:val="005A0A4B"/>
    <w:rsid w:val="005A0C40"/>
    <w:rsid w:val="005A13A8"/>
    <w:rsid w:val="005A3221"/>
    <w:rsid w:val="005A3B6E"/>
    <w:rsid w:val="005A510A"/>
    <w:rsid w:val="005A65BF"/>
    <w:rsid w:val="005A68F4"/>
    <w:rsid w:val="005A6BD2"/>
    <w:rsid w:val="005A6C73"/>
    <w:rsid w:val="005A6FCD"/>
    <w:rsid w:val="005B383F"/>
    <w:rsid w:val="005B3FB5"/>
    <w:rsid w:val="005B52B6"/>
    <w:rsid w:val="005B539B"/>
    <w:rsid w:val="005B56CE"/>
    <w:rsid w:val="005B5787"/>
    <w:rsid w:val="005B70B1"/>
    <w:rsid w:val="005C0E2E"/>
    <w:rsid w:val="005C2506"/>
    <w:rsid w:val="005C2FCB"/>
    <w:rsid w:val="005C30F6"/>
    <w:rsid w:val="005C36EB"/>
    <w:rsid w:val="005C3E0A"/>
    <w:rsid w:val="005C4202"/>
    <w:rsid w:val="005C4363"/>
    <w:rsid w:val="005C443B"/>
    <w:rsid w:val="005C6421"/>
    <w:rsid w:val="005C6EF1"/>
    <w:rsid w:val="005C6FB7"/>
    <w:rsid w:val="005C73CE"/>
    <w:rsid w:val="005C7D72"/>
    <w:rsid w:val="005C7F27"/>
    <w:rsid w:val="005D199B"/>
    <w:rsid w:val="005D1CC7"/>
    <w:rsid w:val="005D46D7"/>
    <w:rsid w:val="005D67C0"/>
    <w:rsid w:val="005D6DC0"/>
    <w:rsid w:val="005E0893"/>
    <w:rsid w:val="005E0BB1"/>
    <w:rsid w:val="005E1801"/>
    <w:rsid w:val="005E237A"/>
    <w:rsid w:val="005E2D54"/>
    <w:rsid w:val="005E2EC6"/>
    <w:rsid w:val="005E2FB5"/>
    <w:rsid w:val="005E428A"/>
    <w:rsid w:val="005E4B6F"/>
    <w:rsid w:val="005E5A9A"/>
    <w:rsid w:val="005E5FE7"/>
    <w:rsid w:val="005E6004"/>
    <w:rsid w:val="005E6449"/>
    <w:rsid w:val="005E6AD6"/>
    <w:rsid w:val="005E7990"/>
    <w:rsid w:val="005F0E61"/>
    <w:rsid w:val="005F1875"/>
    <w:rsid w:val="005F2B42"/>
    <w:rsid w:val="005F4A78"/>
    <w:rsid w:val="005F536D"/>
    <w:rsid w:val="005F5948"/>
    <w:rsid w:val="005F66CE"/>
    <w:rsid w:val="005F7B3C"/>
    <w:rsid w:val="00600917"/>
    <w:rsid w:val="0060188C"/>
    <w:rsid w:val="006028C6"/>
    <w:rsid w:val="00604AED"/>
    <w:rsid w:val="00604CEA"/>
    <w:rsid w:val="00605E82"/>
    <w:rsid w:val="00606FED"/>
    <w:rsid w:val="0060700F"/>
    <w:rsid w:val="0060761A"/>
    <w:rsid w:val="0061109F"/>
    <w:rsid w:val="006110D1"/>
    <w:rsid w:val="006119F6"/>
    <w:rsid w:val="00614592"/>
    <w:rsid w:val="00614E8A"/>
    <w:rsid w:val="006153F0"/>
    <w:rsid w:val="00615ED2"/>
    <w:rsid w:val="0061695D"/>
    <w:rsid w:val="006219EA"/>
    <w:rsid w:val="00621A8A"/>
    <w:rsid w:val="006223C8"/>
    <w:rsid w:val="00622AB9"/>
    <w:rsid w:val="00622D02"/>
    <w:rsid w:val="006261C5"/>
    <w:rsid w:val="00627D79"/>
    <w:rsid w:val="00631283"/>
    <w:rsid w:val="00631628"/>
    <w:rsid w:val="00634167"/>
    <w:rsid w:val="006350ED"/>
    <w:rsid w:val="00635D68"/>
    <w:rsid w:val="006370F2"/>
    <w:rsid w:val="00637299"/>
    <w:rsid w:val="006372E3"/>
    <w:rsid w:val="0063733A"/>
    <w:rsid w:val="00640580"/>
    <w:rsid w:val="00641AB0"/>
    <w:rsid w:val="00641FBE"/>
    <w:rsid w:val="006424E4"/>
    <w:rsid w:val="006427FA"/>
    <w:rsid w:val="00643385"/>
    <w:rsid w:val="006435B8"/>
    <w:rsid w:val="00645575"/>
    <w:rsid w:val="0064651B"/>
    <w:rsid w:val="0064663B"/>
    <w:rsid w:val="0064687A"/>
    <w:rsid w:val="00646EC2"/>
    <w:rsid w:val="006470DC"/>
    <w:rsid w:val="00647169"/>
    <w:rsid w:val="006471F5"/>
    <w:rsid w:val="00647379"/>
    <w:rsid w:val="0064786D"/>
    <w:rsid w:val="00650795"/>
    <w:rsid w:val="00650C2B"/>
    <w:rsid w:val="00650C64"/>
    <w:rsid w:val="00651C82"/>
    <w:rsid w:val="006521D8"/>
    <w:rsid w:val="00652865"/>
    <w:rsid w:val="00652B6D"/>
    <w:rsid w:val="0065426B"/>
    <w:rsid w:val="00654964"/>
    <w:rsid w:val="00654FE5"/>
    <w:rsid w:val="00655F2A"/>
    <w:rsid w:val="006561F0"/>
    <w:rsid w:val="006568D9"/>
    <w:rsid w:val="00656E8C"/>
    <w:rsid w:val="00656FD8"/>
    <w:rsid w:val="0066025A"/>
    <w:rsid w:val="00661EC3"/>
    <w:rsid w:val="0066368F"/>
    <w:rsid w:val="0066395C"/>
    <w:rsid w:val="0066457D"/>
    <w:rsid w:val="0066469B"/>
    <w:rsid w:val="00665FBB"/>
    <w:rsid w:val="0066636B"/>
    <w:rsid w:val="00667B8F"/>
    <w:rsid w:val="00667D50"/>
    <w:rsid w:val="0067009C"/>
    <w:rsid w:val="006701EF"/>
    <w:rsid w:val="006707E3"/>
    <w:rsid w:val="006715D2"/>
    <w:rsid w:val="0067190E"/>
    <w:rsid w:val="00671F09"/>
    <w:rsid w:val="00673C3F"/>
    <w:rsid w:val="00674933"/>
    <w:rsid w:val="00676F6D"/>
    <w:rsid w:val="0067708B"/>
    <w:rsid w:val="00677730"/>
    <w:rsid w:val="00677C76"/>
    <w:rsid w:val="00681E08"/>
    <w:rsid w:val="0068325F"/>
    <w:rsid w:val="00684FD4"/>
    <w:rsid w:val="00685A11"/>
    <w:rsid w:val="006860B8"/>
    <w:rsid w:val="006869FD"/>
    <w:rsid w:val="00687984"/>
    <w:rsid w:val="00687C1F"/>
    <w:rsid w:val="00692378"/>
    <w:rsid w:val="006926A3"/>
    <w:rsid w:val="00692EF0"/>
    <w:rsid w:val="00694E1A"/>
    <w:rsid w:val="0069528F"/>
    <w:rsid w:val="006955B6"/>
    <w:rsid w:val="00696A06"/>
    <w:rsid w:val="00697D92"/>
    <w:rsid w:val="006A0E8B"/>
    <w:rsid w:val="006A1774"/>
    <w:rsid w:val="006A17D1"/>
    <w:rsid w:val="006A1AF4"/>
    <w:rsid w:val="006A1E09"/>
    <w:rsid w:val="006A2092"/>
    <w:rsid w:val="006A38A0"/>
    <w:rsid w:val="006A7A29"/>
    <w:rsid w:val="006B09A1"/>
    <w:rsid w:val="006B10E5"/>
    <w:rsid w:val="006B4AC8"/>
    <w:rsid w:val="006B4C55"/>
    <w:rsid w:val="006B53EE"/>
    <w:rsid w:val="006B638B"/>
    <w:rsid w:val="006B6933"/>
    <w:rsid w:val="006B6DA0"/>
    <w:rsid w:val="006C082A"/>
    <w:rsid w:val="006C16C9"/>
    <w:rsid w:val="006C18F2"/>
    <w:rsid w:val="006C20B7"/>
    <w:rsid w:val="006C21CA"/>
    <w:rsid w:val="006C302F"/>
    <w:rsid w:val="006C3BDA"/>
    <w:rsid w:val="006C41CE"/>
    <w:rsid w:val="006C4250"/>
    <w:rsid w:val="006C468E"/>
    <w:rsid w:val="006C47D6"/>
    <w:rsid w:val="006C5A39"/>
    <w:rsid w:val="006C7249"/>
    <w:rsid w:val="006C7945"/>
    <w:rsid w:val="006D1B58"/>
    <w:rsid w:val="006D1CB9"/>
    <w:rsid w:val="006D21E7"/>
    <w:rsid w:val="006D26DA"/>
    <w:rsid w:val="006D3DF0"/>
    <w:rsid w:val="006D488F"/>
    <w:rsid w:val="006D4ACC"/>
    <w:rsid w:val="006D5C69"/>
    <w:rsid w:val="006D5F45"/>
    <w:rsid w:val="006D6464"/>
    <w:rsid w:val="006D66AF"/>
    <w:rsid w:val="006D6B05"/>
    <w:rsid w:val="006E494B"/>
    <w:rsid w:val="006E6AA6"/>
    <w:rsid w:val="006E7084"/>
    <w:rsid w:val="006E7AAE"/>
    <w:rsid w:val="006F0577"/>
    <w:rsid w:val="006F064A"/>
    <w:rsid w:val="006F0760"/>
    <w:rsid w:val="006F2021"/>
    <w:rsid w:val="006F20A2"/>
    <w:rsid w:val="006F2418"/>
    <w:rsid w:val="006F34AB"/>
    <w:rsid w:val="006F3BB1"/>
    <w:rsid w:val="006F3DC7"/>
    <w:rsid w:val="006F4335"/>
    <w:rsid w:val="006F53DB"/>
    <w:rsid w:val="006F5B1C"/>
    <w:rsid w:val="006F5DC2"/>
    <w:rsid w:val="006F68E4"/>
    <w:rsid w:val="00700B06"/>
    <w:rsid w:val="00700BB4"/>
    <w:rsid w:val="00700FB7"/>
    <w:rsid w:val="0070403C"/>
    <w:rsid w:val="00705174"/>
    <w:rsid w:val="00706247"/>
    <w:rsid w:val="007069CD"/>
    <w:rsid w:val="00707495"/>
    <w:rsid w:val="0071071D"/>
    <w:rsid w:val="007107AC"/>
    <w:rsid w:val="0071286F"/>
    <w:rsid w:val="007128EC"/>
    <w:rsid w:val="00713359"/>
    <w:rsid w:val="00714840"/>
    <w:rsid w:val="007157DF"/>
    <w:rsid w:val="00717A66"/>
    <w:rsid w:val="00717F3E"/>
    <w:rsid w:val="00720560"/>
    <w:rsid w:val="00721192"/>
    <w:rsid w:val="00721386"/>
    <w:rsid w:val="007228C1"/>
    <w:rsid w:val="007232DB"/>
    <w:rsid w:val="00723C99"/>
    <w:rsid w:val="00723E71"/>
    <w:rsid w:val="00724DAE"/>
    <w:rsid w:val="00725291"/>
    <w:rsid w:val="007252D7"/>
    <w:rsid w:val="0072634B"/>
    <w:rsid w:val="007269D8"/>
    <w:rsid w:val="0072752C"/>
    <w:rsid w:val="00727A28"/>
    <w:rsid w:val="00732AD8"/>
    <w:rsid w:val="00732EFE"/>
    <w:rsid w:val="00733DC7"/>
    <w:rsid w:val="00734ACC"/>
    <w:rsid w:val="00734EAA"/>
    <w:rsid w:val="00735670"/>
    <w:rsid w:val="00737DA5"/>
    <w:rsid w:val="007418BD"/>
    <w:rsid w:val="00741A2D"/>
    <w:rsid w:val="00741DDD"/>
    <w:rsid w:val="007421FE"/>
    <w:rsid w:val="0074319A"/>
    <w:rsid w:val="00743351"/>
    <w:rsid w:val="007440BF"/>
    <w:rsid w:val="00745124"/>
    <w:rsid w:val="00746199"/>
    <w:rsid w:val="00746675"/>
    <w:rsid w:val="007466D7"/>
    <w:rsid w:val="00746EB9"/>
    <w:rsid w:val="00747621"/>
    <w:rsid w:val="00747EBB"/>
    <w:rsid w:val="00750474"/>
    <w:rsid w:val="0075083E"/>
    <w:rsid w:val="00752EFE"/>
    <w:rsid w:val="0075306C"/>
    <w:rsid w:val="00753298"/>
    <w:rsid w:val="00754715"/>
    <w:rsid w:val="00757F65"/>
    <w:rsid w:val="007616DB"/>
    <w:rsid w:val="00761C43"/>
    <w:rsid w:val="00761E48"/>
    <w:rsid w:val="00762F20"/>
    <w:rsid w:val="007644A6"/>
    <w:rsid w:val="00764F3D"/>
    <w:rsid w:val="00764FC8"/>
    <w:rsid w:val="00766302"/>
    <w:rsid w:val="00766778"/>
    <w:rsid w:val="00766B98"/>
    <w:rsid w:val="00767AE8"/>
    <w:rsid w:val="007705B8"/>
    <w:rsid w:val="007709DC"/>
    <w:rsid w:val="00770BB1"/>
    <w:rsid w:val="00770F1E"/>
    <w:rsid w:val="0077100B"/>
    <w:rsid w:val="007728CC"/>
    <w:rsid w:val="00772BFA"/>
    <w:rsid w:val="00773E21"/>
    <w:rsid w:val="0077465A"/>
    <w:rsid w:val="00775322"/>
    <w:rsid w:val="007762E9"/>
    <w:rsid w:val="007765F4"/>
    <w:rsid w:val="00776FC3"/>
    <w:rsid w:val="007806A5"/>
    <w:rsid w:val="00780C74"/>
    <w:rsid w:val="00781D2F"/>
    <w:rsid w:val="00782979"/>
    <w:rsid w:val="00782A14"/>
    <w:rsid w:val="00783B3A"/>
    <w:rsid w:val="00784F91"/>
    <w:rsid w:val="00786079"/>
    <w:rsid w:val="00786649"/>
    <w:rsid w:val="00786C2A"/>
    <w:rsid w:val="007873E8"/>
    <w:rsid w:val="00787B12"/>
    <w:rsid w:val="00787D44"/>
    <w:rsid w:val="00792101"/>
    <w:rsid w:val="007922D7"/>
    <w:rsid w:val="00792527"/>
    <w:rsid w:val="00793235"/>
    <w:rsid w:val="00794164"/>
    <w:rsid w:val="00794C5B"/>
    <w:rsid w:val="00794C73"/>
    <w:rsid w:val="00795FE6"/>
    <w:rsid w:val="00796302"/>
    <w:rsid w:val="00796A71"/>
    <w:rsid w:val="00797885"/>
    <w:rsid w:val="00797AF7"/>
    <w:rsid w:val="00797D91"/>
    <w:rsid w:val="007A095F"/>
    <w:rsid w:val="007A20D4"/>
    <w:rsid w:val="007A3233"/>
    <w:rsid w:val="007A36D1"/>
    <w:rsid w:val="007A5728"/>
    <w:rsid w:val="007A5A6C"/>
    <w:rsid w:val="007A6488"/>
    <w:rsid w:val="007A6819"/>
    <w:rsid w:val="007A74DB"/>
    <w:rsid w:val="007A757E"/>
    <w:rsid w:val="007A763E"/>
    <w:rsid w:val="007A7F2C"/>
    <w:rsid w:val="007B003E"/>
    <w:rsid w:val="007B04D6"/>
    <w:rsid w:val="007B1AD5"/>
    <w:rsid w:val="007B20E2"/>
    <w:rsid w:val="007B27C1"/>
    <w:rsid w:val="007B419B"/>
    <w:rsid w:val="007B48AD"/>
    <w:rsid w:val="007B50B4"/>
    <w:rsid w:val="007B5F76"/>
    <w:rsid w:val="007B7E00"/>
    <w:rsid w:val="007C073A"/>
    <w:rsid w:val="007C086E"/>
    <w:rsid w:val="007C0E85"/>
    <w:rsid w:val="007C189A"/>
    <w:rsid w:val="007C3DDE"/>
    <w:rsid w:val="007C61A6"/>
    <w:rsid w:val="007C64CB"/>
    <w:rsid w:val="007C6BC4"/>
    <w:rsid w:val="007C7691"/>
    <w:rsid w:val="007C7FE5"/>
    <w:rsid w:val="007D0B1D"/>
    <w:rsid w:val="007D1411"/>
    <w:rsid w:val="007D274E"/>
    <w:rsid w:val="007D2AEC"/>
    <w:rsid w:val="007D37D0"/>
    <w:rsid w:val="007D64BF"/>
    <w:rsid w:val="007D6F3A"/>
    <w:rsid w:val="007D7274"/>
    <w:rsid w:val="007D744B"/>
    <w:rsid w:val="007D7663"/>
    <w:rsid w:val="007E0990"/>
    <w:rsid w:val="007E0E44"/>
    <w:rsid w:val="007E0F02"/>
    <w:rsid w:val="007E2160"/>
    <w:rsid w:val="007E3B4C"/>
    <w:rsid w:val="007E3D08"/>
    <w:rsid w:val="007E3EF8"/>
    <w:rsid w:val="007E5603"/>
    <w:rsid w:val="007E6E8C"/>
    <w:rsid w:val="007F0522"/>
    <w:rsid w:val="007F144C"/>
    <w:rsid w:val="007F21AA"/>
    <w:rsid w:val="007F255B"/>
    <w:rsid w:val="007F25F0"/>
    <w:rsid w:val="007F43A5"/>
    <w:rsid w:val="007F4434"/>
    <w:rsid w:val="007F6D63"/>
    <w:rsid w:val="008015BB"/>
    <w:rsid w:val="00802423"/>
    <w:rsid w:val="00802844"/>
    <w:rsid w:val="008039ED"/>
    <w:rsid w:val="0080597C"/>
    <w:rsid w:val="00807019"/>
    <w:rsid w:val="00810597"/>
    <w:rsid w:val="0081059C"/>
    <w:rsid w:val="00810710"/>
    <w:rsid w:val="00813068"/>
    <w:rsid w:val="00813BA3"/>
    <w:rsid w:val="00813D33"/>
    <w:rsid w:val="00814736"/>
    <w:rsid w:val="008147C7"/>
    <w:rsid w:val="00815277"/>
    <w:rsid w:val="008157F0"/>
    <w:rsid w:val="008168C0"/>
    <w:rsid w:val="008169BE"/>
    <w:rsid w:val="0081703B"/>
    <w:rsid w:val="00817060"/>
    <w:rsid w:val="0081711D"/>
    <w:rsid w:val="00817370"/>
    <w:rsid w:val="008177F5"/>
    <w:rsid w:val="00817BFC"/>
    <w:rsid w:val="0082006B"/>
    <w:rsid w:val="00821F50"/>
    <w:rsid w:val="008222BD"/>
    <w:rsid w:val="0082247F"/>
    <w:rsid w:val="00822677"/>
    <w:rsid w:val="00822F6D"/>
    <w:rsid w:val="00823CF6"/>
    <w:rsid w:val="008240E6"/>
    <w:rsid w:val="008248F5"/>
    <w:rsid w:val="00824F6A"/>
    <w:rsid w:val="00825AB0"/>
    <w:rsid w:val="00825C04"/>
    <w:rsid w:val="00825C09"/>
    <w:rsid w:val="00825F34"/>
    <w:rsid w:val="00826527"/>
    <w:rsid w:val="00826FDE"/>
    <w:rsid w:val="00827255"/>
    <w:rsid w:val="008277F4"/>
    <w:rsid w:val="00827D04"/>
    <w:rsid w:val="00827F34"/>
    <w:rsid w:val="0083232A"/>
    <w:rsid w:val="00834250"/>
    <w:rsid w:val="00836996"/>
    <w:rsid w:val="008370B0"/>
    <w:rsid w:val="008371B7"/>
    <w:rsid w:val="0083725A"/>
    <w:rsid w:val="00840A4A"/>
    <w:rsid w:val="00840B9A"/>
    <w:rsid w:val="008413D6"/>
    <w:rsid w:val="008416F4"/>
    <w:rsid w:val="00841922"/>
    <w:rsid w:val="0084213A"/>
    <w:rsid w:val="00846388"/>
    <w:rsid w:val="00846800"/>
    <w:rsid w:val="008527CC"/>
    <w:rsid w:val="00852A82"/>
    <w:rsid w:val="00852BDA"/>
    <w:rsid w:val="00852C69"/>
    <w:rsid w:val="00853758"/>
    <w:rsid w:val="00854D4D"/>
    <w:rsid w:val="0086018D"/>
    <w:rsid w:val="008624AD"/>
    <w:rsid w:val="008626B2"/>
    <w:rsid w:val="008631D7"/>
    <w:rsid w:val="00863CA7"/>
    <w:rsid w:val="0086451C"/>
    <w:rsid w:val="008649A2"/>
    <w:rsid w:val="00865032"/>
    <w:rsid w:val="00865B3A"/>
    <w:rsid w:val="00866653"/>
    <w:rsid w:val="0086677A"/>
    <w:rsid w:val="00867C33"/>
    <w:rsid w:val="00870A92"/>
    <w:rsid w:val="00873536"/>
    <w:rsid w:val="00874939"/>
    <w:rsid w:val="008758DC"/>
    <w:rsid w:val="00877898"/>
    <w:rsid w:val="00877D01"/>
    <w:rsid w:val="00877DAC"/>
    <w:rsid w:val="00880DA3"/>
    <w:rsid w:val="00880DAA"/>
    <w:rsid w:val="00880E65"/>
    <w:rsid w:val="008820D8"/>
    <w:rsid w:val="00882DE1"/>
    <w:rsid w:val="00883019"/>
    <w:rsid w:val="00884412"/>
    <w:rsid w:val="008845E7"/>
    <w:rsid w:val="0088525A"/>
    <w:rsid w:val="00885794"/>
    <w:rsid w:val="00885DB3"/>
    <w:rsid w:val="00885E59"/>
    <w:rsid w:val="00886ACA"/>
    <w:rsid w:val="00887400"/>
    <w:rsid w:val="00887626"/>
    <w:rsid w:val="008923D3"/>
    <w:rsid w:val="008940E5"/>
    <w:rsid w:val="00894CD6"/>
    <w:rsid w:val="00894E1A"/>
    <w:rsid w:val="0089508F"/>
    <w:rsid w:val="00895C9C"/>
    <w:rsid w:val="00896224"/>
    <w:rsid w:val="00897780"/>
    <w:rsid w:val="008A1A65"/>
    <w:rsid w:val="008A2B6D"/>
    <w:rsid w:val="008A2EEC"/>
    <w:rsid w:val="008A49BA"/>
    <w:rsid w:val="008A4E93"/>
    <w:rsid w:val="008A5349"/>
    <w:rsid w:val="008A6B53"/>
    <w:rsid w:val="008A6E83"/>
    <w:rsid w:val="008A7735"/>
    <w:rsid w:val="008A7EFD"/>
    <w:rsid w:val="008B003F"/>
    <w:rsid w:val="008B0C58"/>
    <w:rsid w:val="008B0E41"/>
    <w:rsid w:val="008B1A59"/>
    <w:rsid w:val="008B2229"/>
    <w:rsid w:val="008B29FC"/>
    <w:rsid w:val="008B31FC"/>
    <w:rsid w:val="008B38C6"/>
    <w:rsid w:val="008B3CEB"/>
    <w:rsid w:val="008B4536"/>
    <w:rsid w:val="008B4D5B"/>
    <w:rsid w:val="008B590D"/>
    <w:rsid w:val="008B59BB"/>
    <w:rsid w:val="008B6408"/>
    <w:rsid w:val="008B68F3"/>
    <w:rsid w:val="008B7C6D"/>
    <w:rsid w:val="008C0669"/>
    <w:rsid w:val="008C1823"/>
    <w:rsid w:val="008C3776"/>
    <w:rsid w:val="008C4486"/>
    <w:rsid w:val="008C4E64"/>
    <w:rsid w:val="008C502D"/>
    <w:rsid w:val="008C5414"/>
    <w:rsid w:val="008C605E"/>
    <w:rsid w:val="008C7101"/>
    <w:rsid w:val="008D01A7"/>
    <w:rsid w:val="008D1430"/>
    <w:rsid w:val="008D1A35"/>
    <w:rsid w:val="008D23F6"/>
    <w:rsid w:val="008D2643"/>
    <w:rsid w:val="008D3BDD"/>
    <w:rsid w:val="008D5B89"/>
    <w:rsid w:val="008D65AA"/>
    <w:rsid w:val="008D7F3B"/>
    <w:rsid w:val="008E1753"/>
    <w:rsid w:val="008E231E"/>
    <w:rsid w:val="008E39FD"/>
    <w:rsid w:val="008E4533"/>
    <w:rsid w:val="008E5CA8"/>
    <w:rsid w:val="008E663F"/>
    <w:rsid w:val="008E6F1B"/>
    <w:rsid w:val="008E7280"/>
    <w:rsid w:val="008E74DE"/>
    <w:rsid w:val="008F1A29"/>
    <w:rsid w:val="008F222F"/>
    <w:rsid w:val="008F22E9"/>
    <w:rsid w:val="008F38C0"/>
    <w:rsid w:val="00901A22"/>
    <w:rsid w:val="00902C5B"/>
    <w:rsid w:val="009044B5"/>
    <w:rsid w:val="00904C17"/>
    <w:rsid w:val="00905597"/>
    <w:rsid w:val="0090681B"/>
    <w:rsid w:val="00906A83"/>
    <w:rsid w:val="00906DD6"/>
    <w:rsid w:val="009072D7"/>
    <w:rsid w:val="00907C01"/>
    <w:rsid w:val="00910514"/>
    <w:rsid w:val="00910F7A"/>
    <w:rsid w:val="0091214F"/>
    <w:rsid w:val="00912CCA"/>
    <w:rsid w:val="00913383"/>
    <w:rsid w:val="00914FB0"/>
    <w:rsid w:val="00916514"/>
    <w:rsid w:val="009166C1"/>
    <w:rsid w:val="00916DF1"/>
    <w:rsid w:val="009179F3"/>
    <w:rsid w:val="00917AB5"/>
    <w:rsid w:val="00917AC8"/>
    <w:rsid w:val="00920970"/>
    <w:rsid w:val="00921434"/>
    <w:rsid w:val="009216D7"/>
    <w:rsid w:val="00921855"/>
    <w:rsid w:val="00921BC6"/>
    <w:rsid w:val="00922048"/>
    <w:rsid w:val="0092268F"/>
    <w:rsid w:val="00922ADB"/>
    <w:rsid w:val="00922D8B"/>
    <w:rsid w:val="009241A4"/>
    <w:rsid w:val="0092518C"/>
    <w:rsid w:val="009254D4"/>
    <w:rsid w:val="009255B5"/>
    <w:rsid w:val="009300B1"/>
    <w:rsid w:val="009306B7"/>
    <w:rsid w:val="00930FD1"/>
    <w:rsid w:val="009320E4"/>
    <w:rsid w:val="00932640"/>
    <w:rsid w:val="00933056"/>
    <w:rsid w:val="00933298"/>
    <w:rsid w:val="00934DCA"/>
    <w:rsid w:val="0093562A"/>
    <w:rsid w:val="0094001A"/>
    <w:rsid w:val="009401D9"/>
    <w:rsid w:val="009427C3"/>
    <w:rsid w:val="00942EF4"/>
    <w:rsid w:val="00944A46"/>
    <w:rsid w:val="00945A3C"/>
    <w:rsid w:val="00945F07"/>
    <w:rsid w:val="00947200"/>
    <w:rsid w:val="00947395"/>
    <w:rsid w:val="009504C7"/>
    <w:rsid w:val="00950D31"/>
    <w:rsid w:val="0095100F"/>
    <w:rsid w:val="0095166D"/>
    <w:rsid w:val="0095273C"/>
    <w:rsid w:val="00953F57"/>
    <w:rsid w:val="009540D3"/>
    <w:rsid w:val="00954883"/>
    <w:rsid w:val="00957B1C"/>
    <w:rsid w:val="00961946"/>
    <w:rsid w:val="0096248A"/>
    <w:rsid w:val="00962BBF"/>
    <w:rsid w:val="00962C66"/>
    <w:rsid w:val="00963484"/>
    <w:rsid w:val="00963A17"/>
    <w:rsid w:val="00963DF1"/>
    <w:rsid w:val="009653FC"/>
    <w:rsid w:val="00965555"/>
    <w:rsid w:val="00965BAE"/>
    <w:rsid w:val="00965DB8"/>
    <w:rsid w:val="00966AF9"/>
    <w:rsid w:val="00967058"/>
    <w:rsid w:val="00970F99"/>
    <w:rsid w:val="009710CA"/>
    <w:rsid w:val="00971590"/>
    <w:rsid w:val="009726A0"/>
    <w:rsid w:val="009726D2"/>
    <w:rsid w:val="009729AD"/>
    <w:rsid w:val="00972CC9"/>
    <w:rsid w:val="00973335"/>
    <w:rsid w:val="00973AAB"/>
    <w:rsid w:val="00974B53"/>
    <w:rsid w:val="00976A89"/>
    <w:rsid w:val="009770A1"/>
    <w:rsid w:val="00977903"/>
    <w:rsid w:val="00977ACD"/>
    <w:rsid w:val="009806CF"/>
    <w:rsid w:val="00980D80"/>
    <w:rsid w:val="009814AB"/>
    <w:rsid w:val="00981E42"/>
    <w:rsid w:val="0098207E"/>
    <w:rsid w:val="00982118"/>
    <w:rsid w:val="0098309D"/>
    <w:rsid w:val="00984D50"/>
    <w:rsid w:val="00984DC1"/>
    <w:rsid w:val="00986E57"/>
    <w:rsid w:val="00987935"/>
    <w:rsid w:val="009904E9"/>
    <w:rsid w:val="00992366"/>
    <w:rsid w:val="00992596"/>
    <w:rsid w:val="00992CE1"/>
    <w:rsid w:val="00993607"/>
    <w:rsid w:val="00993869"/>
    <w:rsid w:val="0099567D"/>
    <w:rsid w:val="00995C74"/>
    <w:rsid w:val="00996642"/>
    <w:rsid w:val="009967DE"/>
    <w:rsid w:val="0099688C"/>
    <w:rsid w:val="00996B06"/>
    <w:rsid w:val="00996FC7"/>
    <w:rsid w:val="009A07D2"/>
    <w:rsid w:val="009A159C"/>
    <w:rsid w:val="009A1691"/>
    <w:rsid w:val="009A20A8"/>
    <w:rsid w:val="009A2137"/>
    <w:rsid w:val="009A2734"/>
    <w:rsid w:val="009A35FF"/>
    <w:rsid w:val="009A4856"/>
    <w:rsid w:val="009A4A4F"/>
    <w:rsid w:val="009A4C87"/>
    <w:rsid w:val="009A4FA2"/>
    <w:rsid w:val="009A57D7"/>
    <w:rsid w:val="009A6AC1"/>
    <w:rsid w:val="009A7357"/>
    <w:rsid w:val="009A78AD"/>
    <w:rsid w:val="009B08D7"/>
    <w:rsid w:val="009B137A"/>
    <w:rsid w:val="009B17AB"/>
    <w:rsid w:val="009B1C74"/>
    <w:rsid w:val="009B24A2"/>
    <w:rsid w:val="009B319C"/>
    <w:rsid w:val="009B3D6E"/>
    <w:rsid w:val="009B4DB1"/>
    <w:rsid w:val="009B5BEB"/>
    <w:rsid w:val="009B65CC"/>
    <w:rsid w:val="009B670A"/>
    <w:rsid w:val="009B69E7"/>
    <w:rsid w:val="009B7A23"/>
    <w:rsid w:val="009C0BF8"/>
    <w:rsid w:val="009C0BFD"/>
    <w:rsid w:val="009C0CB0"/>
    <w:rsid w:val="009C0CCF"/>
    <w:rsid w:val="009C1526"/>
    <w:rsid w:val="009C18BB"/>
    <w:rsid w:val="009C315A"/>
    <w:rsid w:val="009C4346"/>
    <w:rsid w:val="009C4428"/>
    <w:rsid w:val="009C485D"/>
    <w:rsid w:val="009C5201"/>
    <w:rsid w:val="009C55CA"/>
    <w:rsid w:val="009C687D"/>
    <w:rsid w:val="009C6EAC"/>
    <w:rsid w:val="009D0CC3"/>
    <w:rsid w:val="009D1566"/>
    <w:rsid w:val="009D17F8"/>
    <w:rsid w:val="009D2A7D"/>
    <w:rsid w:val="009D2D2E"/>
    <w:rsid w:val="009D3966"/>
    <w:rsid w:val="009D39AF"/>
    <w:rsid w:val="009D3D26"/>
    <w:rsid w:val="009D44A3"/>
    <w:rsid w:val="009D62AA"/>
    <w:rsid w:val="009D7A62"/>
    <w:rsid w:val="009E0AAC"/>
    <w:rsid w:val="009E151B"/>
    <w:rsid w:val="009E37BF"/>
    <w:rsid w:val="009E4919"/>
    <w:rsid w:val="009E4C6B"/>
    <w:rsid w:val="009E510D"/>
    <w:rsid w:val="009E543C"/>
    <w:rsid w:val="009E6D57"/>
    <w:rsid w:val="009E78EC"/>
    <w:rsid w:val="009E7AFD"/>
    <w:rsid w:val="009F0055"/>
    <w:rsid w:val="009F017B"/>
    <w:rsid w:val="009F0D0A"/>
    <w:rsid w:val="009F1BBA"/>
    <w:rsid w:val="009F212E"/>
    <w:rsid w:val="009F26F7"/>
    <w:rsid w:val="009F2813"/>
    <w:rsid w:val="009F2EE9"/>
    <w:rsid w:val="009F3CF0"/>
    <w:rsid w:val="009F4842"/>
    <w:rsid w:val="009F4D26"/>
    <w:rsid w:val="009F663C"/>
    <w:rsid w:val="009F6E55"/>
    <w:rsid w:val="009F7964"/>
    <w:rsid w:val="00A01F88"/>
    <w:rsid w:val="00A02D2B"/>
    <w:rsid w:val="00A034B1"/>
    <w:rsid w:val="00A03CE3"/>
    <w:rsid w:val="00A04191"/>
    <w:rsid w:val="00A04262"/>
    <w:rsid w:val="00A04946"/>
    <w:rsid w:val="00A05FB1"/>
    <w:rsid w:val="00A0668C"/>
    <w:rsid w:val="00A0702F"/>
    <w:rsid w:val="00A07564"/>
    <w:rsid w:val="00A0794F"/>
    <w:rsid w:val="00A11329"/>
    <w:rsid w:val="00A11546"/>
    <w:rsid w:val="00A1199B"/>
    <w:rsid w:val="00A1288B"/>
    <w:rsid w:val="00A12928"/>
    <w:rsid w:val="00A129E6"/>
    <w:rsid w:val="00A12F95"/>
    <w:rsid w:val="00A13515"/>
    <w:rsid w:val="00A1465A"/>
    <w:rsid w:val="00A14F69"/>
    <w:rsid w:val="00A15A4A"/>
    <w:rsid w:val="00A17401"/>
    <w:rsid w:val="00A175D5"/>
    <w:rsid w:val="00A17CCD"/>
    <w:rsid w:val="00A20555"/>
    <w:rsid w:val="00A20BE9"/>
    <w:rsid w:val="00A20C67"/>
    <w:rsid w:val="00A2115C"/>
    <w:rsid w:val="00A21188"/>
    <w:rsid w:val="00A23BF2"/>
    <w:rsid w:val="00A259E0"/>
    <w:rsid w:val="00A27ABE"/>
    <w:rsid w:val="00A3049B"/>
    <w:rsid w:val="00A30782"/>
    <w:rsid w:val="00A32AD6"/>
    <w:rsid w:val="00A32E64"/>
    <w:rsid w:val="00A33A52"/>
    <w:rsid w:val="00A348AF"/>
    <w:rsid w:val="00A3567B"/>
    <w:rsid w:val="00A35DB9"/>
    <w:rsid w:val="00A372AB"/>
    <w:rsid w:val="00A40DD6"/>
    <w:rsid w:val="00A41232"/>
    <w:rsid w:val="00A416AC"/>
    <w:rsid w:val="00A4186C"/>
    <w:rsid w:val="00A41907"/>
    <w:rsid w:val="00A42023"/>
    <w:rsid w:val="00A42AB0"/>
    <w:rsid w:val="00A42CB9"/>
    <w:rsid w:val="00A454A4"/>
    <w:rsid w:val="00A459A9"/>
    <w:rsid w:val="00A45AAE"/>
    <w:rsid w:val="00A4684D"/>
    <w:rsid w:val="00A469E4"/>
    <w:rsid w:val="00A515EC"/>
    <w:rsid w:val="00A525E2"/>
    <w:rsid w:val="00A530B8"/>
    <w:rsid w:val="00A539F7"/>
    <w:rsid w:val="00A54A3D"/>
    <w:rsid w:val="00A55868"/>
    <w:rsid w:val="00A57928"/>
    <w:rsid w:val="00A60FA3"/>
    <w:rsid w:val="00A618B5"/>
    <w:rsid w:val="00A627BD"/>
    <w:rsid w:val="00A62F48"/>
    <w:rsid w:val="00A63656"/>
    <w:rsid w:val="00A637F0"/>
    <w:rsid w:val="00A64157"/>
    <w:rsid w:val="00A647B6"/>
    <w:rsid w:val="00A6534C"/>
    <w:rsid w:val="00A66A85"/>
    <w:rsid w:val="00A66ED0"/>
    <w:rsid w:val="00A673D9"/>
    <w:rsid w:val="00A70976"/>
    <w:rsid w:val="00A70CAB"/>
    <w:rsid w:val="00A72063"/>
    <w:rsid w:val="00A72AB4"/>
    <w:rsid w:val="00A732A3"/>
    <w:rsid w:val="00A73E0E"/>
    <w:rsid w:val="00A74DD0"/>
    <w:rsid w:val="00A75BF5"/>
    <w:rsid w:val="00A766CB"/>
    <w:rsid w:val="00A76C06"/>
    <w:rsid w:val="00A777A0"/>
    <w:rsid w:val="00A82E1A"/>
    <w:rsid w:val="00A84BE6"/>
    <w:rsid w:val="00A84D03"/>
    <w:rsid w:val="00A864CE"/>
    <w:rsid w:val="00A86874"/>
    <w:rsid w:val="00A86B42"/>
    <w:rsid w:val="00A86DE6"/>
    <w:rsid w:val="00A86FAF"/>
    <w:rsid w:val="00A87795"/>
    <w:rsid w:val="00A87D7D"/>
    <w:rsid w:val="00A87D9B"/>
    <w:rsid w:val="00A902A9"/>
    <w:rsid w:val="00A9081B"/>
    <w:rsid w:val="00A90889"/>
    <w:rsid w:val="00A90CBD"/>
    <w:rsid w:val="00A90E52"/>
    <w:rsid w:val="00A9122F"/>
    <w:rsid w:val="00A9190E"/>
    <w:rsid w:val="00A91C6E"/>
    <w:rsid w:val="00A92B1A"/>
    <w:rsid w:val="00A92CE3"/>
    <w:rsid w:val="00A93779"/>
    <w:rsid w:val="00AA077A"/>
    <w:rsid w:val="00AA132C"/>
    <w:rsid w:val="00AA208B"/>
    <w:rsid w:val="00AA454C"/>
    <w:rsid w:val="00AA4F00"/>
    <w:rsid w:val="00AA5F27"/>
    <w:rsid w:val="00AA6AD1"/>
    <w:rsid w:val="00AA7BC1"/>
    <w:rsid w:val="00AB0299"/>
    <w:rsid w:val="00AB07A3"/>
    <w:rsid w:val="00AB0837"/>
    <w:rsid w:val="00AB09AC"/>
    <w:rsid w:val="00AB1831"/>
    <w:rsid w:val="00AB2924"/>
    <w:rsid w:val="00AB2B98"/>
    <w:rsid w:val="00AB3090"/>
    <w:rsid w:val="00AB35CB"/>
    <w:rsid w:val="00AB4767"/>
    <w:rsid w:val="00AB4DB5"/>
    <w:rsid w:val="00AB6862"/>
    <w:rsid w:val="00AB69D1"/>
    <w:rsid w:val="00AC101E"/>
    <w:rsid w:val="00AC1293"/>
    <w:rsid w:val="00AC2004"/>
    <w:rsid w:val="00AC51AC"/>
    <w:rsid w:val="00AC5C4F"/>
    <w:rsid w:val="00AC6244"/>
    <w:rsid w:val="00AC69F4"/>
    <w:rsid w:val="00AC737B"/>
    <w:rsid w:val="00AC75C5"/>
    <w:rsid w:val="00AC7AEE"/>
    <w:rsid w:val="00AD085F"/>
    <w:rsid w:val="00AD11A4"/>
    <w:rsid w:val="00AD1A9A"/>
    <w:rsid w:val="00AD21FA"/>
    <w:rsid w:val="00AD31C2"/>
    <w:rsid w:val="00AD425B"/>
    <w:rsid w:val="00AD5290"/>
    <w:rsid w:val="00AD656B"/>
    <w:rsid w:val="00AD6E63"/>
    <w:rsid w:val="00AD6E7D"/>
    <w:rsid w:val="00AD71BA"/>
    <w:rsid w:val="00AE0101"/>
    <w:rsid w:val="00AE07D1"/>
    <w:rsid w:val="00AE20CB"/>
    <w:rsid w:val="00AE2D08"/>
    <w:rsid w:val="00AE3ABA"/>
    <w:rsid w:val="00AE3FA3"/>
    <w:rsid w:val="00AE478C"/>
    <w:rsid w:val="00AE49AB"/>
    <w:rsid w:val="00AE6458"/>
    <w:rsid w:val="00AE75DF"/>
    <w:rsid w:val="00AE78DB"/>
    <w:rsid w:val="00AF084B"/>
    <w:rsid w:val="00AF10F2"/>
    <w:rsid w:val="00AF2AC0"/>
    <w:rsid w:val="00AF3949"/>
    <w:rsid w:val="00AF6117"/>
    <w:rsid w:val="00AF66AC"/>
    <w:rsid w:val="00AF6775"/>
    <w:rsid w:val="00B00A94"/>
    <w:rsid w:val="00B01EC6"/>
    <w:rsid w:val="00B0267E"/>
    <w:rsid w:val="00B03611"/>
    <w:rsid w:val="00B04287"/>
    <w:rsid w:val="00B04314"/>
    <w:rsid w:val="00B043AB"/>
    <w:rsid w:val="00B05195"/>
    <w:rsid w:val="00B05246"/>
    <w:rsid w:val="00B05926"/>
    <w:rsid w:val="00B05A3A"/>
    <w:rsid w:val="00B06E12"/>
    <w:rsid w:val="00B12252"/>
    <w:rsid w:val="00B13B63"/>
    <w:rsid w:val="00B151FA"/>
    <w:rsid w:val="00B157E8"/>
    <w:rsid w:val="00B15D75"/>
    <w:rsid w:val="00B16FB2"/>
    <w:rsid w:val="00B17321"/>
    <w:rsid w:val="00B17D97"/>
    <w:rsid w:val="00B20360"/>
    <w:rsid w:val="00B20A5F"/>
    <w:rsid w:val="00B22CC9"/>
    <w:rsid w:val="00B22CD7"/>
    <w:rsid w:val="00B24102"/>
    <w:rsid w:val="00B24952"/>
    <w:rsid w:val="00B27801"/>
    <w:rsid w:val="00B30688"/>
    <w:rsid w:val="00B3086C"/>
    <w:rsid w:val="00B31CCC"/>
    <w:rsid w:val="00B31D06"/>
    <w:rsid w:val="00B32192"/>
    <w:rsid w:val="00B32571"/>
    <w:rsid w:val="00B336F0"/>
    <w:rsid w:val="00B33C41"/>
    <w:rsid w:val="00B33D58"/>
    <w:rsid w:val="00B33F24"/>
    <w:rsid w:val="00B35355"/>
    <w:rsid w:val="00B3622D"/>
    <w:rsid w:val="00B3659A"/>
    <w:rsid w:val="00B45FC0"/>
    <w:rsid w:val="00B46C6E"/>
    <w:rsid w:val="00B51310"/>
    <w:rsid w:val="00B53793"/>
    <w:rsid w:val="00B54669"/>
    <w:rsid w:val="00B563BD"/>
    <w:rsid w:val="00B56786"/>
    <w:rsid w:val="00B56FDC"/>
    <w:rsid w:val="00B56FFB"/>
    <w:rsid w:val="00B6085B"/>
    <w:rsid w:val="00B61E89"/>
    <w:rsid w:val="00B6363B"/>
    <w:rsid w:val="00B63F48"/>
    <w:rsid w:val="00B66032"/>
    <w:rsid w:val="00B6624A"/>
    <w:rsid w:val="00B6750A"/>
    <w:rsid w:val="00B71DE7"/>
    <w:rsid w:val="00B724D7"/>
    <w:rsid w:val="00B727B7"/>
    <w:rsid w:val="00B728B6"/>
    <w:rsid w:val="00B73420"/>
    <w:rsid w:val="00B738C1"/>
    <w:rsid w:val="00B73A69"/>
    <w:rsid w:val="00B740BE"/>
    <w:rsid w:val="00B74BC4"/>
    <w:rsid w:val="00B74EEB"/>
    <w:rsid w:val="00B76072"/>
    <w:rsid w:val="00B7631A"/>
    <w:rsid w:val="00B764D1"/>
    <w:rsid w:val="00B765A8"/>
    <w:rsid w:val="00B77128"/>
    <w:rsid w:val="00B77BAA"/>
    <w:rsid w:val="00B77CF5"/>
    <w:rsid w:val="00B80E43"/>
    <w:rsid w:val="00B821DB"/>
    <w:rsid w:val="00B822DB"/>
    <w:rsid w:val="00B82384"/>
    <w:rsid w:val="00B82957"/>
    <w:rsid w:val="00B82E7C"/>
    <w:rsid w:val="00B83C5E"/>
    <w:rsid w:val="00B83D4E"/>
    <w:rsid w:val="00B84991"/>
    <w:rsid w:val="00B84BD9"/>
    <w:rsid w:val="00B85EEF"/>
    <w:rsid w:val="00B86295"/>
    <w:rsid w:val="00B86738"/>
    <w:rsid w:val="00B86BE2"/>
    <w:rsid w:val="00B86C71"/>
    <w:rsid w:val="00B8796D"/>
    <w:rsid w:val="00B87BF9"/>
    <w:rsid w:val="00B9005B"/>
    <w:rsid w:val="00B90445"/>
    <w:rsid w:val="00B91497"/>
    <w:rsid w:val="00B91B58"/>
    <w:rsid w:val="00B91F89"/>
    <w:rsid w:val="00B92109"/>
    <w:rsid w:val="00B93939"/>
    <w:rsid w:val="00B94F23"/>
    <w:rsid w:val="00BA1C01"/>
    <w:rsid w:val="00BA2D84"/>
    <w:rsid w:val="00BA35B3"/>
    <w:rsid w:val="00BA395A"/>
    <w:rsid w:val="00BA53ED"/>
    <w:rsid w:val="00BA55E9"/>
    <w:rsid w:val="00BB050A"/>
    <w:rsid w:val="00BB1DE7"/>
    <w:rsid w:val="00BB1E3A"/>
    <w:rsid w:val="00BB1ED5"/>
    <w:rsid w:val="00BB41CB"/>
    <w:rsid w:val="00BB4FB8"/>
    <w:rsid w:val="00BB676D"/>
    <w:rsid w:val="00BB7EC2"/>
    <w:rsid w:val="00BC0407"/>
    <w:rsid w:val="00BC07D3"/>
    <w:rsid w:val="00BC08FC"/>
    <w:rsid w:val="00BC0ECC"/>
    <w:rsid w:val="00BC2BEF"/>
    <w:rsid w:val="00BC337C"/>
    <w:rsid w:val="00BC3749"/>
    <w:rsid w:val="00BC7E3E"/>
    <w:rsid w:val="00BC7F08"/>
    <w:rsid w:val="00BD06A3"/>
    <w:rsid w:val="00BD3736"/>
    <w:rsid w:val="00BD37C5"/>
    <w:rsid w:val="00BD470F"/>
    <w:rsid w:val="00BD49A0"/>
    <w:rsid w:val="00BD51AF"/>
    <w:rsid w:val="00BD55DC"/>
    <w:rsid w:val="00BD6DCB"/>
    <w:rsid w:val="00BE02BA"/>
    <w:rsid w:val="00BE0A16"/>
    <w:rsid w:val="00BE0B5D"/>
    <w:rsid w:val="00BE174E"/>
    <w:rsid w:val="00BE2342"/>
    <w:rsid w:val="00BE277A"/>
    <w:rsid w:val="00BE2B07"/>
    <w:rsid w:val="00BE38C2"/>
    <w:rsid w:val="00BE3FC0"/>
    <w:rsid w:val="00BE6F89"/>
    <w:rsid w:val="00BF0B05"/>
    <w:rsid w:val="00BF19F0"/>
    <w:rsid w:val="00BF33B0"/>
    <w:rsid w:val="00BF3740"/>
    <w:rsid w:val="00BF3A9E"/>
    <w:rsid w:val="00BF5233"/>
    <w:rsid w:val="00BF5AC3"/>
    <w:rsid w:val="00BF7F31"/>
    <w:rsid w:val="00C02F0A"/>
    <w:rsid w:val="00C03350"/>
    <w:rsid w:val="00C04D94"/>
    <w:rsid w:val="00C06084"/>
    <w:rsid w:val="00C06924"/>
    <w:rsid w:val="00C07DAF"/>
    <w:rsid w:val="00C10681"/>
    <w:rsid w:val="00C10756"/>
    <w:rsid w:val="00C10C08"/>
    <w:rsid w:val="00C116BF"/>
    <w:rsid w:val="00C13EB8"/>
    <w:rsid w:val="00C153F1"/>
    <w:rsid w:val="00C15E82"/>
    <w:rsid w:val="00C16E69"/>
    <w:rsid w:val="00C1715D"/>
    <w:rsid w:val="00C17F6A"/>
    <w:rsid w:val="00C21063"/>
    <w:rsid w:val="00C21CA8"/>
    <w:rsid w:val="00C22ADC"/>
    <w:rsid w:val="00C2341A"/>
    <w:rsid w:val="00C23575"/>
    <w:rsid w:val="00C237FD"/>
    <w:rsid w:val="00C25804"/>
    <w:rsid w:val="00C31953"/>
    <w:rsid w:val="00C31957"/>
    <w:rsid w:val="00C31E5A"/>
    <w:rsid w:val="00C32773"/>
    <w:rsid w:val="00C3278B"/>
    <w:rsid w:val="00C360A8"/>
    <w:rsid w:val="00C40830"/>
    <w:rsid w:val="00C41693"/>
    <w:rsid w:val="00C41DD6"/>
    <w:rsid w:val="00C4204B"/>
    <w:rsid w:val="00C42195"/>
    <w:rsid w:val="00C4231E"/>
    <w:rsid w:val="00C43365"/>
    <w:rsid w:val="00C4360D"/>
    <w:rsid w:val="00C44DED"/>
    <w:rsid w:val="00C455ED"/>
    <w:rsid w:val="00C467DC"/>
    <w:rsid w:val="00C46EF6"/>
    <w:rsid w:val="00C472BC"/>
    <w:rsid w:val="00C51491"/>
    <w:rsid w:val="00C5158F"/>
    <w:rsid w:val="00C52880"/>
    <w:rsid w:val="00C53BC4"/>
    <w:rsid w:val="00C551A8"/>
    <w:rsid w:val="00C5537D"/>
    <w:rsid w:val="00C554CC"/>
    <w:rsid w:val="00C55C11"/>
    <w:rsid w:val="00C55DBE"/>
    <w:rsid w:val="00C566F2"/>
    <w:rsid w:val="00C60615"/>
    <w:rsid w:val="00C60AA0"/>
    <w:rsid w:val="00C60E67"/>
    <w:rsid w:val="00C62736"/>
    <w:rsid w:val="00C646C3"/>
    <w:rsid w:val="00C64AC7"/>
    <w:rsid w:val="00C66935"/>
    <w:rsid w:val="00C6755F"/>
    <w:rsid w:val="00C70BEE"/>
    <w:rsid w:val="00C714C8"/>
    <w:rsid w:val="00C71582"/>
    <w:rsid w:val="00C71C30"/>
    <w:rsid w:val="00C75C96"/>
    <w:rsid w:val="00C75E70"/>
    <w:rsid w:val="00C76278"/>
    <w:rsid w:val="00C76A87"/>
    <w:rsid w:val="00C76E67"/>
    <w:rsid w:val="00C776D5"/>
    <w:rsid w:val="00C80023"/>
    <w:rsid w:val="00C80123"/>
    <w:rsid w:val="00C8016B"/>
    <w:rsid w:val="00C806F5"/>
    <w:rsid w:val="00C80F07"/>
    <w:rsid w:val="00C81523"/>
    <w:rsid w:val="00C831BE"/>
    <w:rsid w:val="00C85265"/>
    <w:rsid w:val="00C8573B"/>
    <w:rsid w:val="00C861F4"/>
    <w:rsid w:val="00C86780"/>
    <w:rsid w:val="00C87352"/>
    <w:rsid w:val="00C91E80"/>
    <w:rsid w:val="00C9220E"/>
    <w:rsid w:val="00C9255D"/>
    <w:rsid w:val="00C977DD"/>
    <w:rsid w:val="00CA0105"/>
    <w:rsid w:val="00CA229A"/>
    <w:rsid w:val="00CA24EB"/>
    <w:rsid w:val="00CA27B7"/>
    <w:rsid w:val="00CA2843"/>
    <w:rsid w:val="00CA2986"/>
    <w:rsid w:val="00CA2C18"/>
    <w:rsid w:val="00CA5F20"/>
    <w:rsid w:val="00CA7282"/>
    <w:rsid w:val="00CB09E8"/>
    <w:rsid w:val="00CB1154"/>
    <w:rsid w:val="00CB17F8"/>
    <w:rsid w:val="00CB1E06"/>
    <w:rsid w:val="00CB21E1"/>
    <w:rsid w:val="00CB26BE"/>
    <w:rsid w:val="00CB516E"/>
    <w:rsid w:val="00CC02C8"/>
    <w:rsid w:val="00CC1516"/>
    <w:rsid w:val="00CC1593"/>
    <w:rsid w:val="00CC18E9"/>
    <w:rsid w:val="00CC1D6F"/>
    <w:rsid w:val="00CC2E0D"/>
    <w:rsid w:val="00CC4E03"/>
    <w:rsid w:val="00CC5055"/>
    <w:rsid w:val="00CC5C7F"/>
    <w:rsid w:val="00CC5CDB"/>
    <w:rsid w:val="00CC68B3"/>
    <w:rsid w:val="00CD112B"/>
    <w:rsid w:val="00CD122D"/>
    <w:rsid w:val="00CD1F37"/>
    <w:rsid w:val="00CD22DD"/>
    <w:rsid w:val="00CD56A5"/>
    <w:rsid w:val="00CD5A48"/>
    <w:rsid w:val="00CD6CD3"/>
    <w:rsid w:val="00CD7705"/>
    <w:rsid w:val="00CD7D6E"/>
    <w:rsid w:val="00CE0476"/>
    <w:rsid w:val="00CE0A68"/>
    <w:rsid w:val="00CE1F06"/>
    <w:rsid w:val="00CE2D3A"/>
    <w:rsid w:val="00CE31A4"/>
    <w:rsid w:val="00CE49B7"/>
    <w:rsid w:val="00CE5638"/>
    <w:rsid w:val="00CE56AD"/>
    <w:rsid w:val="00CE5746"/>
    <w:rsid w:val="00CE6347"/>
    <w:rsid w:val="00CE70FF"/>
    <w:rsid w:val="00CE78A5"/>
    <w:rsid w:val="00CF06C9"/>
    <w:rsid w:val="00CF09CE"/>
    <w:rsid w:val="00CF172A"/>
    <w:rsid w:val="00CF1CB9"/>
    <w:rsid w:val="00CF29BE"/>
    <w:rsid w:val="00CF3D25"/>
    <w:rsid w:val="00CF4030"/>
    <w:rsid w:val="00CF4975"/>
    <w:rsid w:val="00CF4A31"/>
    <w:rsid w:val="00CF50A6"/>
    <w:rsid w:val="00CF52DA"/>
    <w:rsid w:val="00CF6036"/>
    <w:rsid w:val="00CF7119"/>
    <w:rsid w:val="00CF73A8"/>
    <w:rsid w:val="00CF7D18"/>
    <w:rsid w:val="00D000FE"/>
    <w:rsid w:val="00D0020E"/>
    <w:rsid w:val="00D00301"/>
    <w:rsid w:val="00D02C1B"/>
    <w:rsid w:val="00D02E28"/>
    <w:rsid w:val="00D02F9A"/>
    <w:rsid w:val="00D037F7"/>
    <w:rsid w:val="00D04890"/>
    <w:rsid w:val="00D04A8D"/>
    <w:rsid w:val="00D051D5"/>
    <w:rsid w:val="00D05229"/>
    <w:rsid w:val="00D06566"/>
    <w:rsid w:val="00D06605"/>
    <w:rsid w:val="00D06E2D"/>
    <w:rsid w:val="00D074FE"/>
    <w:rsid w:val="00D10291"/>
    <w:rsid w:val="00D13073"/>
    <w:rsid w:val="00D130C2"/>
    <w:rsid w:val="00D13625"/>
    <w:rsid w:val="00D14870"/>
    <w:rsid w:val="00D14B09"/>
    <w:rsid w:val="00D151DF"/>
    <w:rsid w:val="00D15753"/>
    <w:rsid w:val="00D16A8E"/>
    <w:rsid w:val="00D2012B"/>
    <w:rsid w:val="00D218F3"/>
    <w:rsid w:val="00D2192A"/>
    <w:rsid w:val="00D222F5"/>
    <w:rsid w:val="00D22D7C"/>
    <w:rsid w:val="00D248B9"/>
    <w:rsid w:val="00D24F52"/>
    <w:rsid w:val="00D25DD2"/>
    <w:rsid w:val="00D302E6"/>
    <w:rsid w:val="00D3067E"/>
    <w:rsid w:val="00D31862"/>
    <w:rsid w:val="00D31E9E"/>
    <w:rsid w:val="00D32082"/>
    <w:rsid w:val="00D32213"/>
    <w:rsid w:val="00D3342C"/>
    <w:rsid w:val="00D33FCC"/>
    <w:rsid w:val="00D3430D"/>
    <w:rsid w:val="00D36696"/>
    <w:rsid w:val="00D37B3F"/>
    <w:rsid w:val="00D40AB9"/>
    <w:rsid w:val="00D41B7F"/>
    <w:rsid w:val="00D41BBF"/>
    <w:rsid w:val="00D44003"/>
    <w:rsid w:val="00D44026"/>
    <w:rsid w:val="00D440C9"/>
    <w:rsid w:val="00D47451"/>
    <w:rsid w:val="00D47D8D"/>
    <w:rsid w:val="00D50254"/>
    <w:rsid w:val="00D5197E"/>
    <w:rsid w:val="00D5347F"/>
    <w:rsid w:val="00D53EA6"/>
    <w:rsid w:val="00D544E6"/>
    <w:rsid w:val="00D550A2"/>
    <w:rsid w:val="00D55404"/>
    <w:rsid w:val="00D56B7B"/>
    <w:rsid w:val="00D56D61"/>
    <w:rsid w:val="00D60E11"/>
    <w:rsid w:val="00D610A7"/>
    <w:rsid w:val="00D61A9F"/>
    <w:rsid w:val="00D62470"/>
    <w:rsid w:val="00D62E77"/>
    <w:rsid w:val="00D62EA8"/>
    <w:rsid w:val="00D631F2"/>
    <w:rsid w:val="00D656C7"/>
    <w:rsid w:val="00D661A1"/>
    <w:rsid w:val="00D70339"/>
    <w:rsid w:val="00D7105B"/>
    <w:rsid w:val="00D715E0"/>
    <w:rsid w:val="00D71D8C"/>
    <w:rsid w:val="00D71DBE"/>
    <w:rsid w:val="00D7213C"/>
    <w:rsid w:val="00D73670"/>
    <w:rsid w:val="00D7553F"/>
    <w:rsid w:val="00D76D78"/>
    <w:rsid w:val="00D76D9D"/>
    <w:rsid w:val="00D772B7"/>
    <w:rsid w:val="00D80DB2"/>
    <w:rsid w:val="00D81176"/>
    <w:rsid w:val="00D826AE"/>
    <w:rsid w:val="00D840EC"/>
    <w:rsid w:val="00D84660"/>
    <w:rsid w:val="00D85A25"/>
    <w:rsid w:val="00D85F7B"/>
    <w:rsid w:val="00D8603F"/>
    <w:rsid w:val="00D87FA1"/>
    <w:rsid w:val="00D9125F"/>
    <w:rsid w:val="00D91DEA"/>
    <w:rsid w:val="00D92284"/>
    <w:rsid w:val="00D92AB2"/>
    <w:rsid w:val="00D92E83"/>
    <w:rsid w:val="00D9303F"/>
    <w:rsid w:val="00D93B55"/>
    <w:rsid w:val="00D93E78"/>
    <w:rsid w:val="00D95546"/>
    <w:rsid w:val="00D95ECE"/>
    <w:rsid w:val="00D9603D"/>
    <w:rsid w:val="00D96FED"/>
    <w:rsid w:val="00D9710A"/>
    <w:rsid w:val="00D97701"/>
    <w:rsid w:val="00DA1C14"/>
    <w:rsid w:val="00DA1EA7"/>
    <w:rsid w:val="00DA2BE4"/>
    <w:rsid w:val="00DA2E3D"/>
    <w:rsid w:val="00DA3B44"/>
    <w:rsid w:val="00DA40A7"/>
    <w:rsid w:val="00DA48B3"/>
    <w:rsid w:val="00DA5406"/>
    <w:rsid w:val="00DA5990"/>
    <w:rsid w:val="00DA603C"/>
    <w:rsid w:val="00DA7A3B"/>
    <w:rsid w:val="00DB0CF2"/>
    <w:rsid w:val="00DB1E30"/>
    <w:rsid w:val="00DB2898"/>
    <w:rsid w:val="00DB385B"/>
    <w:rsid w:val="00DB39E4"/>
    <w:rsid w:val="00DB3DFD"/>
    <w:rsid w:val="00DB5B63"/>
    <w:rsid w:val="00DB6848"/>
    <w:rsid w:val="00DC0032"/>
    <w:rsid w:val="00DC0D6F"/>
    <w:rsid w:val="00DC13EF"/>
    <w:rsid w:val="00DC240E"/>
    <w:rsid w:val="00DC25B0"/>
    <w:rsid w:val="00DC33CD"/>
    <w:rsid w:val="00DC38EC"/>
    <w:rsid w:val="00DC3E5A"/>
    <w:rsid w:val="00DC5077"/>
    <w:rsid w:val="00DC51CE"/>
    <w:rsid w:val="00DC552A"/>
    <w:rsid w:val="00DC631B"/>
    <w:rsid w:val="00DD0271"/>
    <w:rsid w:val="00DD041F"/>
    <w:rsid w:val="00DD10A7"/>
    <w:rsid w:val="00DD14F2"/>
    <w:rsid w:val="00DD1A5E"/>
    <w:rsid w:val="00DD2419"/>
    <w:rsid w:val="00DD2D0D"/>
    <w:rsid w:val="00DD30CD"/>
    <w:rsid w:val="00DD3406"/>
    <w:rsid w:val="00DD38E4"/>
    <w:rsid w:val="00DD5C22"/>
    <w:rsid w:val="00DD6C8A"/>
    <w:rsid w:val="00DD7472"/>
    <w:rsid w:val="00DE0A49"/>
    <w:rsid w:val="00DE0D9C"/>
    <w:rsid w:val="00DE0F47"/>
    <w:rsid w:val="00DE1492"/>
    <w:rsid w:val="00DE170F"/>
    <w:rsid w:val="00DE19FE"/>
    <w:rsid w:val="00DE3758"/>
    <w:rsid w:val="00DE4D0B"/>
    <w:rsid w:val="00DE579D"/>
    <w:rsid w:val="00DE7333"/>
    <w:rsid w:val="00DE7644"/>
    <w:rsid w:val="00DF0C87"/>
    <w:rsid w:val="00DF16A6"/>
    <w:rsid w:val="00DF2BF5"/>
    <w:rsid w:val="00DF3DFC"/>
    <w:rsid w:val="00DF4496"/>
    <w:rsid w:val="00E00745"/>
    <w:rsid w:val="00E01AA5"/>
    <w:rsid w:val="00E020C5"/>
    <w:rsid w:val="00E02B1B"/>
    <w:rsid w:val="00E0348F"/>
    <w:rsid w:val="00E05589"/>
    <w:rsid w:val="00E11A25"/>
    <w:rsid w:val="00E13EDB"/>
    <w:rsid w:val="00E143F9"/>
    <w:rsid w:val="00E15E31"/>
    <w:rsid w:val="00E208DC"/>
    <w:rsid w:val="00E23110"/>
    <w:rsid w:val="00E24277"/>
    <w:rsid w:val="00E24D24"/>
    <w:rsid w:val="00E24F5E"/>
    <w:rsid w:val="00E25882"/>
    <w:rsid w:val="00E264EB"/>
    <w:rsid w:val="00E27B78"/>
    <w:rsid w:val="00E27EF4"/>
    <w:rsid w:val="00E308AE"/>
    <w:rsid w:val="00E322D2"/>
    <w:rsid w:val="00E32B10"/>
    <w:rsid w:val="00E32DB5"/>
    <w:rsid w:val="00E33C12"/>
    <w:rsid w:val="00E3509A"/>
    <w:rsid w:val="00E360C3"/>
    <w:rsid w:val="00E361B8"/>
    <w:rsid w:val="00E36A4F"/>
    <w:rsid w:val="00E36E76"/>
    <w:rsid w:val="00E37AFC"/>
    <w:rsid w:val="00E37E99"/>
    <w:rsid w:val="00E37FED"/>
    <w:rsid w:val="00E4063E"/>
    <w:rsid w:val="00E41774"/>
    <w:rsid w:val="00E41CA6"/>
    <w:rsid w:val="00E430A1"/>
    <w:rsid w:val="00E44936"/>
    <w:rsid w:val="00E44D92"/>
    <w:rsid w:val="00E44E65"/>
    <w:rsid w:val="00E45B0B"/>
    <w:rsid w:val="00E45B93"/>
    <w:rsid w:val="00E46532"/>
    <w:rsid w:val="00E47F19"/>
    <w:rsid w:val="00E5027C"/>
    <w:rsid w:val="00E50FCA"/>
    <w:rsid w:val="00E51B96"/>
    <w:rsid w:val="00E5205F"/>
    <w:rsid w:val="00E539FD"/>
    <w:rsid w:val="00E53FC1"/>
    <w:rsid w:val="00E5465F"/>
    <w:rsid w:val="00E547E2"/>
    <w:rsid w:val="00E54BB8"/>
    <w:rsid w:val="00E565C8"/>
    <w:rsid w:val="00E56648"/>
    <w:rsid w:val="00E57BAF"/>
    <w:rsid w:val="00E57ED3"/>
    <w:rsid w:val="00E64248"/>
    <w:rsid w:val="00E645C1"/>
    <w:rsid w:val="00E65DBF"/>
    <w:rsid w:val="00E66A3E"/>
    <w:rsid w:val="00E67207"/>
    <w:rsid w:val="00E67245"/>
    <w:rsid w:val="00E675CF"/>
    <w:rsid w:val="00E709AD"/>
    <w:rsid w:val="00E71013"/>
    <w:rsid w:val="00E71385"/>
    <w:rsid w:val="00E71640"/>
    <w:rsid w:val="00E7200B"/>
    <w:rsid w:val="00E72E96"/>
    <w:rsid w:val="00E72ED4"/>
    <w:rsid w:val="00E72EEB"/>
    <w:rsid w:val="00E72F6A"/>
    <w:rsid w:val="00E73AC1"/>
    <w:rsid w:val="00E73D9D"/>
    <w:rsid w:val="00E74FD5"/>
    <w:rsid w:val="00E75ED9"/>
    <w:rsid w:val="00E770BE"/>
    <w:rsid w:val="00E77280"/>
    <w:rsid w:val="00E777F5"/>
    <w:rsid w:val="00E77FB8"/>
    <w:rsid w:val="00E80428"/>
    <w:rsid w:val="00E832B8"/>
    <w:rsid w:val="00E84C57"/>
    <w:rsid w:val="00E85ADF"/>
    <w:rsid w:val="00E8727E"/>
    <w:rsid w:val="00E92039"/>
    <w:rsid w:val="00E923C2"/>
    <w:rsid w:val="00E93CB5"/>
    <w:rsid w:val="00E93D5D"/>
    <w:rsid w:val="00E95230"/>
    <w:rsid w:val="00E95B13"/>
    <w:rsid w:val="00E9775D"/>
    <w:rsid w:val="00E97E2D"/>
    <w:rsid w:val="00EA0565"/>
    <w:rsid w:val="00EA065A"/>
    <w:rsid w:val="00EA0DB4"/>
    <w:rsid w:val="00EA12C6"/>
    <w:rsid w:val="00EA18FC"/>
    <w:rsid w:val="00EA3334"/>
    <w:rsid w:val="00EA3E73"/>
    <w:rsid w:val="00EA46AA"/>
    <w:rsid w:val="00EA5490"/>
    <w:rsid w:val="00EA56A2"/>
    <w:rsid w:val="00EA779B"/>
    <w:rsid w:val="00EA7DD3"/>
    <w:rsid w:val="00EA7F49"/>
    <w:rsid w:val="00EB0A42"/>
    <w:rsid w:val="00EB265D"/>
    <w:rsid w:val="00EB3B92"/>
    <w:rsid w:val="00EB44B5"/>
    <w:rsid w:val="00EB4770"/>
    <w:rsid w:val="00EB4E42"/>
    <w:rsid w:val="00EC00A9"/>
    <w:rsid w:val="00EC0A7F"/>
    <w:rsid w:val="00EC0F81"/>
    <w:rsid w:val="00EC1D27"/>
    <w:rsid w:val="00EC389D"/>
    <w:rsid w:val="00EC6C82"/>
    <w:rsid w:val="00EC7907"/>
    <w:rsid w:val="00EC7E67"/>
    <w:rsid w:val="00EC7F8C"/>
    <w:rsid w:val="00ED091F"/>
    <w:rsid w:val="00ED0C21"/>
    <w:rsid w:val="00ED3AF7"/>
    <w:rsid w:val="00ED3F1A"/>
    <w:rsid w:val="00ED6B5E"/>
    <w:rsid w:val="00ED7098"/>
    <w:rsid w:val="00EE01E8"/>
    <w:rsid w:val="00EE1287"/>
    <w:rsid w:val="00EE2497"/>
    <w:rsid w:val="00EE327A"/>
    <w:rsid w:val="00EE32E4"/>
    <w:rsid w:val="00EE6A8B"/>
    <w:rsid w:val="00EF028F"/>
    <w:rsid w:val="00EF03A7"/>
    <w:rsid w:val="00EF18E8"/>
    <w:rsid w:val="00EF3F2A"/>
    <w:rsid w:val="00EF4242"/>
    <w:rsid w:val="00EF49D4"/>
    <w:rsid w:val="00EF7203"/>
    <w:rsid w:val="00EF78AD"/>
    <w:rsid w:val="00EF7EEC"/>
    <w:rsid w:val="00F0205D"/>
    <w:rsid w:val="00F0252A"/>
    <w:rsid w:val="00F026F3"/>
    <w:rsid w:val="00F03213"/>
    <w:rsid w:val="00F03C00"/>
    <w:rsid w:val="00F04F3F"/>
    <w:rsid w:val="00F05D0D"/>
    <w:rsid w:val="00F05E4B"/>
    <w:rsid w:val="00F068B2"/>
    <w:rsid w:val="00F1200F"/>
    <w:rsid w:val="00F13986"/>
    <w:rsid w:val="00F13E7D"/>
    <w:rsid w:val="00F15368"/>
    <w:rsid w:val="00F159EF"/>
    <w:rsid w:val="00F1653F"/>
    <w:rsid w:val="00F16AA9"/>
    <w:rsid w:val="00F17215"/>
    <w:rsid w:val="00F20D81"/>
    <w:rsid w:val="00F2228F"/>
    <w:rsid w:val="00F22A95"/>
    <w:rsid w:val="00F23767"/>
    <w:rsid w:val="00F24C12"/>
    <w:rsid w:val="00F2515F"/>
    <w:rsid w:val="00F2543E"/>
    <w:rsid w:val="00F25F8B"/>
    <w:rsid w:val="00F26756"/>
    <w:rsid w:val="00F26C30"/>
    <w:rsid w:val="00F27267"/>
    <w:rsid w:val="00F30BA1"/>
    <w:rsid w:val="00F30F46"/>
    <w:rsid w:val="00F316A4"/>
    <w:rsid w:val="00F31AC4"/>
    <w:rsid w:val="00F3257A"/>
    <w:rsid w:val="00F3332F"/>
    <w:rsid w:val="00F33C7D"/>
    <w:rsid w:val="00F34628"/>
    <w:rsid w:val="00F34AF2"/>
    <w:rsid w:val="00F34B64"/>
    <w:rsid w:val="00F35EDF"/>
    <w:rsid w:val="00F363B2"/>
    <w:rsid w:val="00F40E18"/>
    <w:rsid w:val="00F41667"/>
    <w:rsid w:val="00F41CB2"/>
    <w:rsid w:val="00F41DC0"/>
    <w:rsid w:val="00F41EC9"/>
    <w:rsid w:val="00F420AF"/>
    <w:rsid w:val="00F42A3A"/>
    <w:rsid w:val="00F45423"/>
    <w:rsid w:val="00F455EC"/>
    <w:rsid w:val="00F4631C"/>
    <w:rsid w:val="00F464ED"/>
    <w:rsid w:val="00F46EFA"/>
    <w:rsid w:val="00F47591"/>
    <w:rsid w:val="00F47E92"/>
    <w:rsid w:val="00F509FD"/>
    <w:rsid w:val="00F51028"/>
    <w:rsid w:val="00F5117E"/>
    <w:rsid w:val="00F526C4"/>
    <w:rsid w:val="00F527E2"/>
    <w:rsid w:val="00F52B31"/>
    <w:rsid w:val="00F53185"/>
    <w:rsid w:val="00F53288"/>
    <w:rsid w:val="00F53AB4"/>
    <w:rsid w:val="00F5453B"/>
    <w:rsid w:val="00F554FE"/>
    <w:rsid w:val="00F55896"/>
    <w:rsid w:val="00F55C1F"/>
    <w:rsid w:val="00F6008E"/>
    <w:rsid w:val="00F6178C"/>
    <w:rsid w:val="00F6192C"/>
    <w:rsid w:val="00F62ABF"/>
    <w:rsid w:val="00F65AED"/>
    <w:rsid w:val="00F66EAA"/>
    <w:rsid w:val="00F6734A"/>
    <w:rsid w:val="00F6771E"/>
    <w:rsid w:val="00F67E55"/>
    <w:rsid w:val="00F702F5"/>
    <w:rsid w:val="00F70862"/>
    <w:rsid w:val="00F70E14"/>
    <w:rsid w:val="00F717F9"/>
    <w:rsid w:val="00F725A0"/>
    <w:rsid w:val="00F726B2"/>
    <w:rsid w:val="00F7337C"/>
    <w:rsid w:val="00F736F2"/>
    <w:rsid w:val="00F73941"/>
    <w:rsid w:val="00F745BB"/>
    <w:rsid w:val="00F750F9"/>
    <w:rsid w:val="00F75567"/>
    <w:rsid w:val="00F778C4"/>
    <w:rsid w:val="00F77D82"/>
    <w:rsid w:val="00F8078D"/>
    <w:rsid w:val="00F81539"/>
    <w:rsid w:val="00F819A2"/>
    <w:rsid w:val="00F819B5"/>
    <w:rsid w:val="00F83694"/>
    <w:rsid w:val="00F8411F"/>
    <w:rsid w:val="00F86373"/>
    <w:rsid w:val="00F87913"/>
    <w:rsid w:val="00F90984"/>
    <w:rsid w:val="00F91810"/>
    <w:rsid w:val="00F94D22"/>
    <w:rsid w:val="00F9549C"/>
    <w:rsid w:val="00F95BBD"/>
    <w:rsid w:val="00F9659F"/>
    <w:rsid w:val="00F97E54"/>
    <w:rsid w:val="00FA0A20"/>
    <w:rsid w:val="00FA1D85"/>
    <w:rsid w:val="00FA1E8F"/>
    <w:rsid w:val="00FA2412"/>
    <w:rsid w:val="00FA2634"/>
    <w:rsid w:val="00FA2CFB"/>
    <w:rsid w:val="00FA3668"/>
    <w:rsid w:val="00FA3BB9"/>
    <w:rsid w:val="00FA454D"/>
    <w:rsid w:val="00FA4CB6"/>
    <w:rsid w:val="00FA59D8"/>
    <w:rsid w:val="00FA5E04"/>
    <w:rsid w:val="00FA6512"/>
    <w:rsid w:val="00FA6514"/>
    <w:rsid w:val="00FA6AF3"/>
    <w:rsid w:val="00FA6B08"/>
    <w:rsid w:val="00FA6E16"/>
    <w:rsid w:val="00FA700D"/>
    <w:rsid w:val="00FA7ED5"/>
    <w:rsid w:val="00FB018F"/>
    <w:rsid w:val="00FB04BC"/>
    <w:rsid w:val="00FB067F"/>
    <w:rsid w:val="00FB0C02"/>
    <w:rsid w:val="00FB1439"/>
    <w:rsid w:val="00FB1B9A"/>
    <w:rsid w:val="00FB22E7"/>
    <w:rsid w:val="00FB2A74"/>
    <w:rsid w:val="00FB3CAB"/>
    <w:rsid w:val="00FB47DA"/>
    <w:rsid w:val="00FB518C"/>
    <w:rsid w:val="00FB5AF9"/>
    <w:rsid w:val="00FB6332"/>
    <w:rsid w:val="00FB6530"/>
    <w:rsid w:val="00FB731E"/>
    <w:rsid w:val="00FB77AA"/>
    <w:rsid w:val="00FB7E55"/>
    <w:rsid w:val="00FC11DC"/>
    <w:rsid w:val="00FC1708"/>
    <w:rsid w:val="00FC2F1E"/>
    <w:rsid w:val="00FC49E3"/>
    <w:rsid w:val="00FD007C"/>
    <w:rsid w:val="00FD10C2"/>
    <w:rsid w:val="00FD2B6F"/>
    <w:rsid w:val="00FD40F3"/>
    <w:rsid w:val="00FD45F7"/>
    <w:rsid w:val="00FD5378"/>
    <w:rsid w:val="00FD5420"/>
    <w:rsid w:val="00FD69EA"/>
    <w:rsid w:val="00FD6CEC"/>
    <w:rsid w:val="00FD753B"/>
    <w:rsid w:val="00FD75C0"/>
    <w:rsid w:val="00FE11B9"/>
    <w:rsid w:val="00FE1805"/>
    <w:rsid w:val="00FE65DB"/>
    <w:rsid w:val="00FE7193"/>
    <w:rsid w:val="00FE7DCF"/>
    <w:rsid w:val="00FF04FC"/>
    <w:rsid w:val="00FF12C7"/>
    <w:rsid w:val="00FF376C"/>
    <w:rsid w:val="00FF499C"/>
    <w:rsid w:val="00FF5579"/>
    <w:rsid w:val="00FF69F7"/>
    <w:rsid w:val="00FF6DA5"/>
    <w:rsid w:val="00FF7352"/>
    <w:rsid w:val="00FF7495"/>
    <w:rsid w:val="5BA99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8065"/>
    <o:shapelayout v:ext="edit">
      <o:idmap v:ext="edit" data="1"/>
    </o:shapelayout>
  </w:shapeDefaults>
  <w:decimalSymbol w:val="."/>
  <w:listSeparator w:val=","/>
  <w14:docId w14:val="1A9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86D"/>
    <w:rPr>
      <w:rFonts w:ascii="Arial" w:hAnsi="Arial" w:cs="Arial"/>
      <w:bCs/>
      <w:sz w:val="24"/>
    </w:rPr>
  </w:style>
  <w:style w:type="paragraph" w:styleId="Heading1">
    <w:name w:val="heading 1"/>
    <w:basedOn w:val="Normal"/>
    <w:next w:val="Normal"/>
    <w:link w:val="Heading1Char"/>
    <w:qFormat/>
    <w:rsid w:val="008E74DE"/>
    <w:pPr>
      <w:keepNext/>
      <w:tabs>
        <w:tab w:val="left" w:pos="360"/>
      </w:tabs>
      <w:spacing w:before="240" w:after="60"/>
      <w:jc w:val="center"/>
      <w:outlineLvl w:val="0"/>
    </w:pPr>
    <w:rPr>
      <w:b/>
      <w:kern w:val="32"/>
      <w:sz w:val="48"/>
      <w:szCs w:val="32"/>
    </w:rPr>
  </w:style>
  <w:style w:type="paragraph" w:styleId="Heading2">
    <w:name w:val="heading 2"/>
    <w:basedOn w:val="Normal"/>
    <w:next w:val="Normal"/>
    <w:qFormat/>
    <w:rsid w:val="00CC4E03"/>
    <w:pPr>
      <w:numPr>
        <w:numId w:val="8"/>
      </w:numPr>
      <w:outlineLvl w:val="1"/>
    </w:pPr>
    <w:rPr>
      <w:b/>
    </w:rPr>
  </w:style>
  <w:style w:type="paragraph" w:styleId="Heading3">
    <w:name w:val="heading 3"/>
    <w:basedOn w:val="Heading7"/>
    <w:next w:val="Normal"/>
    <w:qFormat/>
    <w:rsid w:val="004557B1"/>
    <w:pPr>
      <w:ind w:left="960"/>
      <w:outlineLvl w:val="2"/>
    </w:pPr>
    <w:rPr>
      <w:bCs w:val="0"/>
    </w:rPr>
  </w:style>
  <w:style w:type="paragraph" w:styleId="Heading4">
    <w:name w:val="heading 4"/>
    <w:basedOn w:val="Normal"/>
    <w:next w:val="Normal"/>
    <w:qFormat/>
    <w:rsid w:val="00225334"/>
    <w:pPr>
      <w:keepNext/>
      <w:spacing w:before="240" w:after="60"/>
      <w:outlineLvl w:val="3"/>
    </w:pPr>
    <w:rPr>
      <w:rFonts w:ascii="Times New Roman" w:hAnsi="Times New Roman" w:cs="Times New Roman"/>
      <w:b/>
      <w:sz w:val="28"/>
      <w:szCs w:val="28"/>
    </w:rPr>
  </w:style>
  <w:style w:type="paragraph" w:styleId="Heading5">
    <w:name w:val="heading 5"/>
    <w:basedOn w:val="Normal"/>
    <w:next w:val="Normal"/>
    <w:qFormat/>
    <w:rsid w:val="00225334"/>
    <w:pPr>
      <w:spacing w:before="240" w:after="60"/>
      <w:outlineLvl w:val="4"/>
    </w:pPr>
    <w:rPr>
      <w:b/>
      <w:i/>
      <w:iCs/>
      <w:sz w:val="26"/>
      <w:szCs w:val="26"/>
    </w:rPr>
  </w:style>
  <w:style w:type="paragraph" w:styleId="Heading6">
    <w:name w:val="heading 6"/>
    <w:basedOn w:val="Normal"/>
    <w:next w:val="Normal"/>
    <w:qFormat/>
    <w:rsid w:val="00F62ABF"/>
    <w:pPr>
      <w:keepNext/>
      <w:numPr>
        <w:numId w:val="7"/>
      </w:numPr>
      <w:tabs>
        <w:tab w:val="left" w:pos="1080"/>
        <w:tab w:val="left" w:pos="1440"/>
        <w:tab w:val="left" w:pos="1800"/>
        <w:tab w:val="left" w:pos="2160"/>
      </w:tabs>
      <w:outlineLvl w:val="5"/>
    </w:pPr>
    <w:rPr>
      <w:b/>
      <w:bCs w:val="0"/>
      <w:sz w:val="32"/>
    </w:rPr>
  </w:style>
  <w:style w:type="paragraph" w:styleId="Heading7">
    <w:name w:val="heading 7"/>
    <w:basedOn w:val="Normal"/>
    <w:next w:val="Normal"/>
    <w:qFormat/>
    <w:rsid w:val="00225334"/>
    <w:pPr>
      <w:keepNext/>
      <w:tabs>
        <w:tab w:val="left" w:pos="960"/>
        <w:tab w:val="left" w:pos="1440"/>
        <w:tab w:val="left" w:pos="1800"/>
        <w:tab w:val="left" w:pos="2160"/>
      </w:tabs>
      <w:autoSpaceDE w:val="0"/>
      <w:autoSpaceDN w:val="0"/>
      <w:adjustRightInd w:val="0"/>
      <w:outlineLvl w:val="6"/>
    </w:pPr>
    <w:rPr>
      <w:b/>
    </w:rPr>
  </w:style>
  <w:style w:type="paragraph" w:styleId="Heading8">
    <w:name w:val="heading 8"/>
    <w:basedOn w:val="Normal"/>
    <w:next w:val="Normal"/>
    <w:qFormat/>
    <w:rsid w:val="00225334"/>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225334"/>
    <w:pPr>
      <w:keepNext/>
      <w:numPr>
        <w:numId w:val="1"/>
      </w:numPr>
      <w:tabs>
        <w:tab w:val="left" w:pos="600"/>
      </w:tabs>
      <w:autoSpaceDE w:val="0"/>
      <w:autoSpaceDN w:val="0"/>
      <w:adjustRightInd w:val="0"/>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5334"/>
    <w:pPr>
      <w:tabs>
        <w:tab w:val="center" w:pos="4320"/>
        <w:tab w:val="right" w:pos="8640"/>
      </w:tabs>
    </w:pPr>
  </w:style>
  <w:style w:type="character" w:styleId="PageNumber">
    <w:name w:val="page number"/>
    <w:basedOn w:val="DefaultParagraphFont"/>
    <w:rsid w:val="00225334"/>
  </w:style>
  <w:style w:type="paragraph" w:styleId="Header">
    <w:name w:val="header"/>
    <w:basedOn w:val="Normal"/>
    <w:link w:val="HeaderChar"/>
    <w:uiPriority w:val="99"/>
    <w:rsid w:val="00225334"/>
    <w:pPr>
      <w:tabs>
        <w:tab w:val="center" w:pos="4320"/>
        <w:tab w:val="right" w:pos="8640"/>
      </w:tabs>
    </w:pPr>
  </w:style>
  <w:style w:type="paragraph" w:styleId="BodyText2">
    <w:name w:val="Body Text 2"/>
    <w:basedOn w:val="Normal"/>
    <w:rsid w:val="00225334"/>
    <w:rPr>
      <w:rFonts w:ascii="Times New Roman" w:hAnsi="Times New Roman"/>
      <w:sz w:val="22"/>
    </w:rPr>
  </w:style>
  <w:style w:type="paragraph" w:customStyle="1" w:styleId="1BulletList">
    <w:name w:val="1Bullet List"/>
    <w:rsid w:val="00225334"/>
    <w:pPr>
      <w:tabs>
        <w:tab w:val="left" w:pos="720"/>
      </w:tabs>
      <w:autoSpaceDE w:val="0"/>
      <w:autoSpaceDN w:val="0"/>
      <w:adjustRightInd w:val="0"/>
      <w:ind w:left="720" w:hanging="720"/>
    </w:pPr>
    <w:rPr>
      <w:szCs w:val="24"/>
    </w:rPr>
  </w:style>
  <w:style w:type="character" w:styleId="Hyperlink">
    <w:name w:val="Hyperlink"/>
    <w:uiPriority w:val="99"/>
    <w:rsid w:val="00225334"/>
    <w:rPr>
      <w:color w:val="0000FF"/>
      <w:u w:val="single"/>
    </w:rPr>
  </w:style>
  <w:style w:type="character" w:customStyle="1" w:styleId="Hypertext">
    <w:name w:val="Hypertext"/>
    <w:rsid w:val="00225334"/>
    <w:rPr>
      <w:b/>
      <w:color w:val="008000"/>
      <w:u w:val="single"/>
    </w:rPr>
  </w:style>
  <w:style w:type="paragraph" w:styleId="Title">
    <w:name w:val="Title"/>
    <w:basedOn w:val="Normal"/>
    <w:link w:val="TitleChar"/>
    <w:qFormat/>
    <w:rsid w:val="002253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snapToGrid w:val="0"/>
      <w:sz w:val="26"/>
    </w:rPr>
  </w:style>
  <w:style w:type="paragraph" w:styleId="Subtitle">
    <w:name w:val="Subtitle"/>
    <w:basedOn w:val="Normal"/>
    <w:qFormat/>
    <w:rsid w:val="002253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napToGrid w:val="0"/>
    </w:rPr>
  </w:style>
  <w:style w:type="paragraph" w:customStyle="1" w:styleId="1">
    <w:name w:val="1"/>
    <w:basedOn w:val="Normal"/>
    <w:rsid w:val="00225334"/>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snapToGrid w:val="0"/>
    </w:rPr>
  </w:style>
  <w:style w:type="character" w:styleId="FootnoteReference">
    <w:name w:val="footnote reference"/>
    <w:semiHidden/>
    <w:rsid w:val="00225334"/>
    <w:rPr>
      <w:vertAlign w:val="superscript"/>
    </w:rPr>
  </w:style>
  <w:style w:type="paragraph" w:customStyle="1" w:styleId="BodyTextIn">
    <w:name w:val="Body Text In"/>
    <w:basedOn w:val="Normal"/>
    <w:rsid w:val="00225334"/>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snapToGrid w:val="0"/>
    </w:rPr>
  </w:style>
  <w:style w:type="paragraph" w:styleId="BodyTextIndent2">
    <w:name w:val="Body Text Indent 2"/>
    <w:basedOn w:val="Normal"/>
    <w:link w:val="BodyTextIndent2Char"/>
    <w:rsid w:val="00225334"/>
    <w:pPr>
      <w:tabs>
        <w:tab w:val="left" w:pos="1680"/>
        <w:tab w:val="left" w:pos="2160"/>
      </w:tabs>
      <w:autoSpaceDE w:val="0"/>
      <w:autoSpaceDN w:val="0"/>
      <w:adjustRightInd w:val="0"/>
      <w:spacing w:before="240" w:after="240"/>
      <w:ind w:left="1680" w:hanging="600"/>
    </w:pPr>
  </w:style>
  <w:style w:type="paragraph" w:styleId="BodyText">
    <w:name w:val="Body Text"/>
    <w:basedOn w:val="Normal"/>
    <w:link w:val="BodyTextChar"/>
    <w:rsid w:val="00225334"/>
    <w:rPr>
      <w:rFonts w:ascii="Times New Roman" w:hAnsi="Times New Roman"/>
    </w:rPr>
  </w:style>
  <w:style w:type="paragraph" w:styleId="BodyTextIndent">
    <w:name w:val="Body Text Indent"/>
    <w:basedOn w:val="Normal"/>
    <w:rsid w:val="00225334"/>
    <w:pPr>
      <w:tabs>
        <w:tab w:val="left" w:pos="1080"/>
        <w:tab w:val="left" w:pos="1440"/>
        <w:tab w:val="left" w:pos="1800"/>
        <w:tab w:val="left" w:pos="2160"/>
      </w:tabs>
      <w:autoSpaceDE w:val="0"/>
      <w:autoSpaceDN w:val="0"/>
      <w:adjustRightInd w:val="0"/>
      <w:ind w:left="960"/>
    </w:pPr>
  </w:style>
  <w:style w:type="paragraph" w:customStyle="1" w:styleId="2">
    <w:name w:val="2"/>
    <w:basedOn w:val="Normal"/>
    <w:rsid w:val="00225334"/>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snapToGrid w:val="0"/>
    </w:rPr>
  </w:style>
  <w:style w:type="paragraph" w:styleId="BodyTextIndent3">
    <w:name w:val="Body Text Indent 3"/>
    <w:basedOn w:val="Normal"/>
    <w:rsid w:val="00225334"/>
    <w:pPr>
      <w:autoSpaceDE w:val="0"/>
      <w:autoSpaceDN w:val="0"/>
      <w:adjustRightInd w:val="0"/>
      <w:ind w:left="1200"/>
    </w:pPr>
  </w:style>
  <w:style w:type="paragraph" w:customStyle="1" w:styleId="ci">
    <w:name w:val="ci"/>
    <w:basedOn w:val="Normal"/>
    <w:rsid w:val="00225334"/>
    <w:pPr>
      <w:tabs>
        <w:tab w:val="left" w:pos="440"/>
        <w:tab w:val="left" w:pos="900"/>
        <w:tab w:val="right" w:leader="dot" w:pos="8640"/>
        <w:tab w:val="right" w:pos="8820"/>
      </w:tabs>
    </w:pPr>
    <w:rPr>
      <w:rFonts w:ascii="New Century Schlbk" w:hAnsi="New Century Schlbk"/>
    </w:rPr>
  </w:style>
  <w:style w:type="paragraph" w:customStyle="1" w:styleId="Level1">
    <w:name w:val="Level 1"/>
    <w:basedOn w:val="Normal"/>
    <w:rsid w:val="00225334"/>
    <w:pPr>
      <w:widowControl w:val="0"/>
      <w:ind w:left="720" w:hanging="360"/>
    </w:pPr>
    <w:rPr>
      <w:rFonts w:ascii="Times New Roman" w:hAnsi="Times New Roman"/>
      <w:snapToGrid w:val="0"/>
    </w:rPr>
  </w:style>
  <w:style w:type="paragraph" w:styleId="NormalWeb">
    <w:name w:val="Normal (Web)"/>
    <w:basedOn w:val="Normal"/>
    <w:rsid w:val="00225334"/>
    <w:pPr>
      <w:spacing w:before="100" w:beforeAutospacing="1" w:after="100" w:afterAutospacing="1"/>
    </w:pPr>
  </w:style>
  <w:style w:type="character" w:styleId="Strong">
    <w:name w:val="Strong"/>
    <w:qFormat/>
    <w:rsid w:val="00225334"/>
    <w:rPr>
      <w:b/>
      <w:bCs/>
    </w:rPr>
  </w:style>
  <w:style w:type="paragraph" w:styleId="FootnoteText">
    <w:name w:val="footnote text"/>
    <w:basedOn w:val="Normal"/>
    <w:semiHidden/>
    <w:rsid w:val="00225334"/>
  </w:style>
  <w:style w:type="character" w:styleId="FollowedHyperlink">
    <w:name w:val="FollowedHyperlink"/>
    <w:rsid w:val="00225334"/>
    <w:rPr>
      <w:color w:val="800080"/>
      <w:u w:val="single"/>
    </w:rPr>
  </w:style>
  <w:style w:type="paragraph" w:customStyle="1" w:styleId="hangingpara">
    <w:name w:val="hanging para"/>
    <w:basedOn w:val="Normal"/>
    <w:rsid w:val="002253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Pr>
      <w:rFonts w:ascii="Times New Roman" w:hAnsi="Times New Roman"/>
      <w:snapToGrid w:val="0"/>
    </w:rPr>
  </w:style>
  <w:style w:type="paragraph" w:customStyle="1" w:styleId="level20">
    <w:name w:val="level2"/>
    <w:basedOn w:val="BodyText2"/>
    <w:rsid w:val="00225334"/>
    <w:pPr>
      <w:tabs>
        <w:tab w:val="num" w:pos="720"/>
        <w:tab w:val="num" w:pos="2880"/>
      </w:tabs>
      <w:spacing w:before="120" w:line="216" w:lineRule="auto"/>
      <w:ind w:left="720" w:hanging="180"/>
    </w:pPr>
    <w:rPr>
      <w:b/>
      <w:i/>
      <w:snapToGrid w:val="0"/>
      <w:sz w:val="24"/>
    </w:rPr>
  </w:style>
  <w:style w:type="paragraph" w:styleId="E-mailSignature">
    <w:name w:val="E-mail Signature"/>
    <w:basedOn w:val="Normal"/>
    <w:rsid w:val="00225334"/>
    <w:rPr>
      <w:rFonts w:ascii="Times New Roman" w:eastAsia="Arial Unicode MS" w:hAnsi="Times New Roman"/>
    </w:rPr>
  </w:style>
  <w:style w:type="paragraph" w:styleId="EnvelopeReturn">
    <w:name w:val="envelope return"/>
    <w:basedOn w:val="Normal"/>
    <w:rsid w:val="00225334"/>
    <w:rPr>
      <w:rFonts w:ascii="Times New Roman" w:hAnsi="Times New Roman"/>
    </w:rPr>
  </w:style>
  <w:style w:type="character" w:styleId="Emphasis">
    <w:name w:val="Emphasis"/>
    <w:uiPriority w:val="20"/>
    <w:qFormat/>
    <w:rsid w:val="00225334"/>
    <w:rPr>
      <w:i/>
      <w:iCs/>
    </w:rPr>
  </w:style>
  <w:style w:type="paragraph" w:styleId="TOC1">
    <w:name w:val="toc 1"/>
    <w:basedOn w:val="Normal"/>
    <w:next w:val="Normal"/>
    <w:autoRedefine/>
    <w:uiPriority w:val="39"/>
    <w:rsid w:val="00F45423"/>
    <w:pPr>
      <w:tabs>
        <w:tab w:val="left" w:pos="540"/>
        <w:tab w:val="right" w:leader="dot" w:pos="9350"/>
      </w:tabs>
      <w:spacing w:after="100"/>
      <w:ind w:left="-58" w:firstLine="29"/>
      <w:jc w:val="center"/>
    </w:pPr>
    <w:rPr>
      <w:b/>
    </w:rPr>
  </w:style>
  <w:style w:type="character" w:customStyle="1" w:styleId="1Char">
    <w:name w:val="1 Char"/>
    <w:rsid w:val="00225334"/>
    <w:rPr>
      <w:rFonts w:ascii="Palatino" w:hAnsi="Palatino"/>
      <w:snapToGrid w:val="0"/>
      <w:sz w:val="24"/>
      <w:lang w:val="en-US" w:eastAsia="en-US" w:bidi="ar-SA"/>
    </w:rPr>
  </w:style>
  <w:style w:type="paragraph" w:styleId="BodyText3">
    <w:name w:val="Body Text 3"/>
    <w:basedOn w:val="Normal"/>
    <w:rsid w:val="0022533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Level3">
    <w:name w:val="Level 3"/>
    <w:basedOn w:val="Normal"/>
    <w:rsid w:val="00225334"/>
    <w:pPr>
      <w:widowControl w:val="0"/>
      <w:numPr>
        <w:ilvl w:val="2"/>
        <w:numId w:val="2"/>
      </w:numPr>
      <w:autoSpaceDE w:val="0"/>
      <w:autoSpaceDN w:val="0"/>
      <w:adjustRightInd w:val="0"/>
      <w:ind w:left="2160" w:hanging="720"/>
      <w:outlineLvl w:val="2"/>
    </w:pPr>
    <w:rPr>
      <w:rFonts w:ascii="CG Omega" w:hAnsi="CG Omega"/>
      <w:sz w:val="20"/>
    </w:rPr>
  </w:style>
  <w:style w:type="paragraph" w:customStyle="1" w:styleId="Level2">
    <w:name w:val="Level 2"/>
    <w:basedOn w:val="Normal"/>
    <w:rsid w:val="00225334"/>
    <w:pPr>
      <w:widowControl w:val="0"/>
      <w:numPr>
        <w:ilvl w:val="1"/>
        <w:numId w:val="2"/>
      </w:numPr>
      <w:autoSpaceDE w:val="0"/>
      <w:autoSpaceDN w:val="0"/>
      <w:adjustRightInd w:val="0"/>
      <w:ind w:left="1440" w:hanging="720"/>
      <w:outlineLvl w:val="1"/>
    </w:pPr>
    <w:rPr>
      <w:rFonts w:ascii="CG Omega" w:hAnsi="CG Omega"/>
      <w:sz w:val="20"/>
    </w:rPr>
  </w:style>
  <w:style w:type="paragraph" w:styleId="BalloonText">
    <w:name w:val="Balloon Text"/>
    <w:basedOn w:val="Normal"/>
    <w:semiHidden/>
    <w:rsid w:val="00225334"/>
    <w:rPr>
      <w:rFonts w:ascii="Tahoma" w:hAnsi="Tahoma" w:cs="Tahoma"/>
      <w:sz w:val="16"/>
      <w:szCs w:val="16"/>
    </w:rPr>
  </w:style>
  <w:style w:type="paragraph" w:styleId="HTMLPreformatted">
    <w:name w:val="HTML Preformatted"/>
    <w:basedOn w:val="Normal"/>
    <w:link w:val="HTMLPreformattedChar"/>
    <w:rsid w:val="00225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val="0"/>
      <w:sz w:val="20"/>
    </w:rPr>
  </w:style>
  <w:style w:type="paragraph" w:styleId="BlockText">
    <w:name w:val="Block Text"/>
    <w:basedOn w:val="Normal"/>
    <w:rsid w:val="00225334"/>
    <w:pPr>
      <w:ind w:left="1300" w:right="1360"/>
    </w:pPr>
    <w:rPr>
      <w:sz w:val="20"/>
    </w:rPr>
  </w:style>
  <w:style w:type="table" w:styleId="TableGrid">
    <w:name w:val="Table Grid"/>
    <w:basedOn w:val="TableNormal"/>
    <w:rsid w:val="0022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225334"/>
    <w:pPr>
      <w:numPr>
        <w:numId w:val="3"/>
      </w:numPr>
    </w:pPr>
  </w:style>
  <w:style w:type="paragraph" w:customStyle="1" w:styleId="1-indent">
    <w:name w:val="1-indent"/>
    <w:basedOn w:val="Normal"/>
    <w:rsid w:val="00225334"/>
    <w:pPr>
      <w:ind w:left="720"/>
    </w:pPr>
    <w:rPr>
      <w:rFonts w:ascii="Palatino" w:hAnsi="Palatino" w:cs="Times New Roman"/>
      <w:bCs w:val="0"/>
      <w:szCs w:val="24"/>
    </w:rPr>
  </w:style>
  <w:style w:type="paragraph" w:styleId="CommentText">
    <w:name w:val="annotation text"/>
    <w:basedOn w:val="Normal"/>
    <w:link w:val="CommentTextChar"/>
    <w:semiHidden/>
    <w:rsid w:val="00225334"/>
    <w:rPr>
      <w:bCs w:val="0"/>
      <w:sz w:val="20"/>
    </w:rPr>
  </w:style>
  <w:style w:type="paragraph" w:customStyle="1" w:styleId="A-Plain">
    <w:name w:val="A-Plain"/>
    <w:basedOn w:val="Normal"/>
    <w:rsid w:val="00225334"/>
    <w:pPr>
      <w:ind w:left="1440"/>
    </w:pPr>
    <w:rPr>
      <w:rFonts w:ascii="Palatino" w:hAnsi="Palatino" w:cs="Times New Roman"/>
      <w:bCs w:val="0"/>
      <w:szCs w:val="24"/>
    </w:rPr>
  </w:style>
  <w:style w:type="numbering" w:styleId="111111">
    <w:name w:val="Outline List 2"/>
    <w:basedOn w:val="NoList"/>
    <w:rsid w:val="00225334"/>
    <w:pPr>
      <w:numPr>
        <w:numId w:val="4"/>
      </w:numPr>
    </w:pPr>
  </w:style>
  <w:style w:type="character" w:styleId="CommentReference">
    <w:name w:val="annotation reference"/>
    <w:semiHidden/>
    <w:rsid w:val="00225334"/>
    <w:rPr>
      <w:sz w:val="16"/>
      <w:szCs w:val="16"/>
    </w:rPr>
  </w:style>
  <w:style w:type="paragraph" w:styleId="CommentSubject">
    <w:name w:val="annotation subject"/>
    <w:basedOn w:val="CommentText"/>
    <w:next w:val="CommentText"/>
    <w:semiHidden/>
    <w:rsid w:val="00225334"/>
    <w:rPr>
      <w:b/>
      <w:bCs/>
    </w:rPr>
  </w:style>
  <w:style w:type="character" w:customStyle="1" w:styleId="PlainTextChar">
    <w:name w:val="Plain Text Char"/>
    <w:link w:val="PlainText"/>
    <w:semiHidden/>
    <w:locked/>
    <w:rsid w:val="00225334"/>
    <w:rPr>
      <w:rFonts w:ascii="Arial" w:hAnsi="Arial"/>
      <w:sz w:val="28"/>
      <w:szCs w:val="21"/>
      <w:lang w:bidi="ar-SA"/>
    </w:rPr>
  </w:style>
  <w:style w:type="paragraph" w:styleId="PlainText">
    <w:name w:val="Plain Text"/>
    <w:basedOn w:val="Normal"/>
    <w:link w:val="PlainTextChar"/>
    <w:semiHidden/>
    <w:rsid w:val="00225334"/>
    <w:rPr>
      <w:rFonts w:cs="Times New Roman"/>
      <w:bCs w:val="0"/>
      <w:sz w:val="28"/>
      <w:szCs w:val="21"/>
    </w:rPr>
  </w:style>
  <w:style w:type="paragraph" w:customStyle="1" w:styleId="nospacing">
    <w:name w:val="nospacing"/>
    <w:basedOn w:val="Normal"/>
    <w:rsid w:val="00225334"/>
    <w:pPr>
      <w:spacing w:before="79" w:after="240"/>
    </w:pPr>
    <w:rPr>
      <w:rFonts w:ascii="Times New Roman" w:hAnsi="Times New Roman" w:cs="Times New Roman"/>
      <w:bCs w:val="0"/>
      <w:szCs w:val="24"/>
    </w:rPr>
  </w:style>
  <w:style w:type="numbering" w:styleId="1ai">
    <w:name w:val="Outline List 1"/>
    <w:basedOn w:val="NoList"/>
    <w:rsid w:val="00225334"/>
    <w:pPr>
      <w:numPr>
        <w:numId w:val="5"/>
      </w:numPr>
    </w:pPr>
  </w:style>
  <w:style w:type="character" w:customStyle="1" w:styleId="FooterChar">
    <w:name w:val="Footer Char"/>
    <w:link w:val="Footer"/>
    <w:uiPriority w:val="99"/>
    <w:locked/>
    <w:rsid w:val="003774EA"/>
    <w:rPr>
      <w:rFonts w:ascii="Arial" w:hAnsi="Arial" w:cs="Arial"/>
      <w:bCs/>
      <w:sz w:val="24"/>
      <w:lang w:val="en-US" w:eastAsia="en-US" w:bidi="ar-SA"/>
    </w:rPr>
  </w:style>
  <w:style w:type="paragraph" w:styleId="DocumentMap">
    <w:name w:val="Document Map"/>
    <w:basedOn w:val="Normal"/>
    <w:semiHidden/>
    <w:rsid w:val="00F94D22"/>
    <w:pPr>
      <w:shd w:val="clear" w:color="auto" w:fill="000080"/>
    </w:pPr>
    <w:rPr>
      <w:rFonts w:ascii="Tahoma" w:hAnsi="Tahoma" w:cs="Tahoma"/>
      <w:sz w:val="20"/>
    </w:rPr>
  </w:style>
  <w:style w:type="paragraph" w:styleId="Revision">
    <w:name w:val="Revision"/>
    <w:hidden/>
    <w:uiPriority w:val="99"/>
    <w:semiHidden/>
    <w:rsid w:val="007128EC"/>
    <w:rPr>
      <w:rFonts w:ascii="Arial" w:hAnsi="Arial" w:cs="Arial"/>
      <w:bCs/>
      <w:sz w:val="24"/>
    </w:rPr>
  </w:style>
  <w:style w:type="paragraph" w:styleId="ListParagraph">
    <w:name w:val="List Paragraph"/>
    <w:basedOn w:val="Normal"/>
    <w:uiPriority w:val="34"/>
    <w:qFormat/>
    <w:rsid w:val="00F363B2"/>
    <w:pPr>
      <w:ind w:left="720"/>
    </w:pPr>
  </w:style>
  <w:style w:type="character" w:customStyle="1" w:styleId="HeaderChar">
    <w:name w:val="Header Char"/>
    <w:link w:val="Header"/>
    <w:uiPriority w:val="99"/>
    <w:locked/>
    <w:rsid w:val="00317B67"/>
    <w:rPr>
      <w:rFonts w:ascii="Arial" w:hAnsi="Arial" w:cs="Arial"/>
      <w:bCs/>
      <w:sz w:val="24"/>
    </w:rPr>
  </w:style>
  <w:style w:type="numbering" w:customStyle="1" w:styleId="Style2">
    <w:name w:val="Style2"/>
    <w:rsid w:val="00562C98"/>
    <w:pPr>
      <w:numPr>
        <w:numId w:val="6"/>
      </w:numPr>
    </w:pPr>
  </w:style>
  <w:style w:type="character" w:customStyle="1" w:styleId="CommentTextChar">
    <w:name w:val="Comment Text Char"/>
    <w:link w:val="CommentText"/>
    <w:semiHidden/>
    <w:locked/>
    <w:rsid w:val="00DD1A5E"/>
    <w:rPr>
      <w:rFonts w:ascii="Arial" w:hAnsi="Arial" w:cs="Arial"/>
    </w:rPr>
  </w:style>
  <w:style w:type="character" w:customStyle="1" w:styleId="HTMLPreformattedChar">
    <w:name w:val="HTML Preformatted Char"/>
    <w:link w:val="HTMLPreformatted"/>
    <w:locked/>
    <w:rsid w:val="00F736F2"/>
    <w:rPr>
      <w:rFonts w:ascii="Arial Unicode MS" w:eastAsia="Arial Unicode MS" w:hAnsi="Arial Unicode MS" w:cs="Arial Unicode MS"/>
    </w:rPr>
  </w:style>
  <w:style w:type="paragraph" w:customStyle="1" w:styleId="Pa1">
    <w:name w:val="Pa1"/>
    <w:basedOn w:val="Normal"/>
    <w:next w:val="Normal"/>
    <w:uiPriority w:val="99"/>
    <w:rsid w:val="00F736F2"/>
    <w:pPr>
      <w:autoSpaceDE w:val="0"/>
      <w:autoSpaceDN w:val="0"/>
      <w:adjustRightInd w:val="0"/>
      <w:spacing w:line="201" w:lineRule="atLeast"/>
    </w:pPr>
    <w:rPr>
      <w:rFonts w:ascii="Frutiger 45 Light" w:hAnsi="Frutiger 45 Light" w:cs="Times New Roman"/>
      <w:bCs w:val="0"/>
      <w:szCs w:val="24"/>
    </w:rPr>
  </w:style>
  <w:style w:type="paragraph" w:styleId="EndnoteText">
    <w:name w:val="endnote text"/>
    <w:basedOn w:val="Normal"/>
    <w:link w:val="EndnoteTextChar"/>
    <w:rsid w:val="00673C3F"/>
    <w:rPr>
      <w:sz w:val="20"/>
    </w:rPr>
  </w:style>
  <w:style w:type="character" w:customStyle="1" w:styleId="EndnoteTextChar">
    <w:name w:val="Endnote Text Char"/>
    <w:basedOn w:val="DefaultParagraphFont"/>
    <w:link w:val="EndnoteText"/>
    <w:rsid w:val="00673C3F"/>
    <w:rPr>
      <w:rFonts w:ascii="Arial" w:hAnsi="Arial" w:cs="Arial"/>
      <w:bCs/>
    </w:rPr>
  </w:style>
  <w:style w:type="character" w:styleId="EndnoteReference">
    <w:name w:val="endnote reference"/>
    <w:basedOn w:val="DefaultParagraphFont"/>
    <w:rsid w:val="00673C3F"/>
    <w:rPr>
      <w:vertAlign w:val="superscript"/>
    </w:rPr>
  </w:style>
  <w:style w:type="paragraph" w:customStyle="1" w:styleId="Default">
    <w:name w:val="Default"/>
    <w:rsid w:val="00673C3F"/>
    <w:pPr>
      <w:autoSpaceDE w:val="0"/>
      <w:autoSpaceDN w:val="0"/>
      <w:adjustRightInd w:val="0"/>
    </w:pPr>
    <w:rPr>
      <w:rFonts w:ascii="Myriad Pro" w:hAnsi="Myriad Pro" w:cs="Myriad Pro"/>
      <w:color w:val="000000"/>
      <w:sz w:val="24"/>
      <w:szCs w:val="24"/>
    </w:rPr>
  </w:style>
  <w:style w:type="character" w:customStyle="1" w:styleId="A6">
    <w:name w:val="A6"/>
    <w:uiPriority w:val="99"/>
    <w:rsid w:val="00673C3F"/>
    <w:rPr>
      <w:rFonts w:cs="Myriad Pro"/>
      <w:b/>
      <w:bCs/>
      <w:color w:val="000000"/>
      <w:sz w:val="27"/>
      <w:szCs w:val="27"/>
    </w:rPr>
  </w:style>
  <w:style w:type="paragraph" w:customStyle="1" w:styleId="resourceeditors">
    <w:name w:val="resource_editors"/>
    <w:basedOn w:val="Normal"/>
    <w:rsid w:val="0011778D"/>
    <w:pPr>
      <w:spacing w:before="100" w:beforeAutospacing="1" w:after="100" w:afterAutospacing="1"/>
    </w:pPr>
    <w:rPr>
      <w:rFonts w:ascii="Times New Roman" w:hAnsi="Times New Roman" w:cs="Times New Roman"/>
      <w:bCs w:val="0"/>
      <w:sz w:val="21"/>
      <w:szCs w:val="21"/>
    </w:rPr>
  </w:style>
  <w:style w:type="character" w:customStyle="1" w:styleId="BodyTextIndent2Char">
    <w:name w:val="Body Text Indent 2 Char"/>
    <w:basedOn w:val="DefaultParagraphFont"/>
    <w:link w:val="BodyTextIndent2"/>
    <w:rsid w:val="00E41774"/>
    <w:rPr>
      <w:rFonts w:ascii="Arial" w:hAnsi="Arial" w:cs="Arial"/>
      <w:bCs/>
      <w:sz w:val="24"/>
    </w:rPr>
  </w:style>
  <w:style w:type="character" w:customStyle="1" w:styleId="TitleChar">
    <w:name w:val="Title Char"/>
    <w:link w:val="Title"/>
    <w:rsid w:val="00AE6458"/>
    <w:rPr>
      <w:rFonts w:cs="Arial"/>
      <w:b/>
      <w:bCs/>
      <w:snapToGrid w:val="0"/>
      <w:sz w:val="26"/>
    </w:rPr>
  </w:style>
  <w:style w:type="character" w:styleId="SubtleEmphasis">
    <w:name w:val="Subtle Emphasis"/>
    <w:uiPriority w:val="19"/>
    <w:qFormat/>
    <w:rsid w:val="00AE6458"/>
    <w:rPr>
      <w:i/>
      <w:iCs/>
      <w:color w:val="404040"/>
    </w:rPr>
  </w:style>
  <w:style w:type="character" w:styleId="IntenseEmphasis">
    <w:name w:val="Intense Emphasis"/>
    <w:basedOn w:val="DefaultParagraphFont"/>
    <w:uiPriority w:val="21"/>
    <w:qFormat/>
    <w:rsid w:val="003F6C55"/>
    <w:rPr>
      <w:i/>
      <w:iCs/>
      <w:color w:val="5B9BD5" w:themeColor="accent1"/>
    </w:rPr>
  </w:style>
  <w:style w:type="paragraph" w:styleId="NoSpacing0">
    <w:name w:val="No Spacing"/>
    <w:uiPriority w:val="1"/>
    <w:qFormat/>
    <w:rsid w:val="000A7C15"/>
    <w:rPr>
      <w:rFonts w:ascii="Arial" w:hAnsi="Arial" w:cs="Arial"/>
      <w:bCs/>
      <w:sz w:val="24"/>
    </w:rPr>
  </w:style>
  <w:style w:type="paragraph" w:styleId="TOCHeading">
    <w:name w:val="TOC Heading"/>
    <w:basedOn w:val="Heading1"/>
    <w:next w:val="Normal"/>
    <w:uiPriority w:val="39"/>
    <w:unhideWhenUsed/>
    <w:qFormat/>
    <w:rsid w:val="00F4631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rsid w:val="00F9659F"/>
    <w:pPr>
      <w:tabs>
        <w:tab w:val="left" w:pos="880"/>
        <w:tab w:val="right" w:leader="dot" w:pos="9350"/>
      </w:tabs>
      <w:spacing w:before="240" w:after="240"/>
      <w:ind w:left="907" w:hanging="720"/>
    </w:pPr>
    <w:rPr>
      <w:rFonts w:eastAsia="Calibri"/>
      <w:noProof/>
    </w:rPr>
  </w:style>
  <w:style w:type="paragraph" w:styleId="TOC3">
    <w:name w:val="toc 3"/>
    <w:basedOn w:val="Normal"/>
    <w:next w:val="Normal"/>
    <w:autoRedefine/>
    <w:uiPriority w:val="39"/>
    <w:rsid w:val="00F9659F"/>
    <w:pPr>
      <w:tabs>
        <w:tab w:val="left" w:pos="900"/>
        <w:tab w:val="right" w:leader="dot" w:pos="9350"/>
      </w:tabs>
      <w:ind w:left="230"/>
    </w:pPr>
    <w:rPr>
      <w:noProof/>
    </w:rPr>
  </w:style>
  <w:style w:type="character" w:customStyle="1" w:styleId="BodyTextChar">
    <w:name w:val="Body Text Char"/>
    <w:basedOn w:val="DefaultParagraphFont"/>
    <w:link w:val="BodyText"/>
    <w:rsid w:val="00524613"/>
    <w:rPr>
      <w:rFonts w:cs="Arial"/>
      <w:bCs/>
      <w:sz w:val="24"/>
    </w:rPr>
  </w:style>
  <w:style w:type="character" w:customStyle="1" w:styleId="ListBulletChar">
    <w:name w:val="List Bullet Char"/>
    <w:link w:val="ListBullet"/>
    <w:rsid w:val="00EC00A9"/>
    <w:rPr>
      <w:rFonts w:ascii="Arial" w:hAnsi="Arial"/>
      <w:sz w:val="24"/>
      <w:szCs w:val="24"/>
    </w:rPr>
  </w:style>
  <w:style w:type="paragraph" w:styleId="ListBullet">
    <w:name w:val="List Bullet"/>
    <w:basedOn w:val="BodyText"/>
    <w:link w:val="ListBulletChar"/>
    <w:rsid w:val="00EC00A9"/>
    <w:pPr>
      <w:numPr>
        <w:numId w:val="11"/>
      </w:numPr>
      <w:tabs>
        <w:tab w:val="left" w:pos="720"/>
      </w:tabs>
      <w:spacing w:before="60" w:after="120" w:line="360" w:lineRule="auto"/>
    </w:pPr>
    <w:rPr>
      <w:rFonts w:ascii="Arial" w:hAnsi="Arial" w:cs="Times New Roman"/>
      <w:bCs w:val="0"/>
      <w:szCs w:val="24"/>
    </w:rPr>
  </w:style>
  <w:style w:type="paragraph" w:styleId="ListBullet2">
    <w:name w:val="List Bullet 2"/>
    <w:basedOn w:val="Normal"/>
    <w:link w:val="ListBullet2Char"/>
    <w:rsid w:val="00EC00A9"/>
    <w:pPr>
      <w:numPr>
        <w:numId w:val="12"/>
      </w:numPr>
      <w:spacing w:before="60" w:after="120" w:line="360" w:lineRule="auto"/>
    </w:pPr>
    <w:rPr>
      <w:rFonts w:eastAsia="Calibri" w:cs="Calibri"/>
      <w:bCs w:val="0"/>
      <w:szCs w:val="24"/>
    </w:rPr>
  </w:style>
  <w:style w:type="character" w:customStyle="1" w:styleId="ListBullet2Char">
    <w:name w:val="List Bullet 2 Char"/>
    <w:link w:val="ListBullet2"/>
    <w:rsid w:val="00EC00A9"/>
    <w:rPr>
      <w:rFonts w:ascii="Arial" w:eastAsia="Calibri" w:hAnsi="Arial" w:cs="Calibri"/>
      <w:sz w:val="24"/>
      <w:szCs w:val="24"/>
    </w:rPr>
  </w:style>
  <w:style w:type="character" w:styleId="UnresolvedMention">
    <w:name w:val="Unresolved Mention"/>
    <w:basedOn w:val="DefaultParagraphFont"/>
    <w:uiPriority w:val="99"/>
    <w:semiHidden/>
    <w:unhideWhenUsed/>
    <w:rsid w:val="00724DAE"/>
    <w:rPr>
      <w:color w:val="605E5C"/>
      <w:shd w:val="clear" w:color="auto" w:fill="E1DFDD"/>
    </w:rPr>
  </w:style>
  <w:style w:type="character" w:customStyle="1" w:styleId="Heading1Char">
    <w:name w:val="Heading 1 Char"/>
    <w:basedOn w:val="DefaultParagraphFont"/>
    <w:link w:val="Heading1"/>
    <w:rsid w:val="0093562A"/>
    <w:rPr>
      <w:rFonts w:ascii="Arial" w:hAnsi="Arial" w:cs="Arial"/>
      <w:b/>
      <w:bCs/>
      <w:kern w:val="3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7586">
      <w:bodyDiv w:val="1"/>
      <w:marLeft w:val="0"/>
      <w:marRight w:val="0"/>
      <w:marTop w:val="0"/>
      <w:marBottom w:val="0"/>
      <w:divBdr>
        <w:top w:val="none" w:sz="0" w:space="0" w:color="auto"/>
        <w:left w:val="none" w:sz="0" w:space="0" w:color="auto"/>
        <w:bottom w:val="none" w:sz="0" w:space="0" w:color="auto"/>
        <w:right w:val="none" w:sz="0" w:space="0" w:color="auto"/>
      </w:divBdr>
    </w:div>
    <w:div w:id="297809588">
      <w:bodyDiv w:val="1"/>
      <w:marLeft w:val="0"/>
      <w:marRight w:val="0"/>
      <w:marTop w:val="0"/>
      <w:marBottom w:val="0"/>
      <w:divBdr>
        <w:top w:val="none" w:sz="0" w:space="0" w:color="auto"/>
        <w:left w:val="none" w:sz="0" w:space="0" w:color="auto"/>
        <w:bottom w:val="none" w:sz="0" w:space="0" w:color="auto"/>
        <w:right w:val="none" w:sz="0" w:space="0" w:color="auto"/>
      </w:divBdr>
    </w:div>
    <w:div w:id="448477122">
      <w:bodyDiv w:val="1"/>
      <w:marLeft w:val="0"/>
      <w:marRight w:val="0"/>
      <w:marTop w:val="0"/>
      <w:marBottom w:val="0"/>
      <w:divBdr>
        <w:top w:val="none" w:sz="0" w:space="0" w:color="auto"/>
        <w:left w:val="none" w:sz="0" w:space="0" w:color="auto"/>
        <w:bottom w:val="none" w:sz="0" w:space="0" w:color="auto"/>
        <w:right w:val="none" w:sz="0" w:space="0" w:color="auto"/>
      </w:divBdr>
    </w:div>
    <w:div w:id="615067218">
      <w:bodyDiv w:val="1"/>
      <w:marLeft w:val="0"/>
      <w:marRight w:val="0"/>
      <w:marTop w:val="0"/>
      <w:marBottom w:val="0"/>
      <w:divBdr>
        <w:top w:val="none" w:sz="0" w:space="0" w:color="auto"/>
        <w:left w:val="none" w:sz="0" w:space="0" w:color="auto"/>
        <w:bottom w:val="none" w:sz="0" w:space="0" w:color="auto"/>
        <w:right w:val="none" w:sz="0" w:space="0" w:color="auto"/>
      </w:divBdr>
    </w:div>
    <w:div w:id="637225683">
      <w:bodyDiv w:val="1"/>
      <w:marLeft w:val="0"/>
      <w:marRight w:val="0"/>
      <w:marTop w:val="0"/>
      <w:marBottom w:val="0"/>
      <w:divBdr>
        <w:top w:val="none" w:sz="0" w:space="0" w:color="auto"/>
        <w:left w:val="none" w:sz="0" w:space="0" w:color="auto"/>
        <w:bottom w:val="none" w:sz="0" w:space="0" w:color="auto"/>
        <w:right w:val="none" w:sz="0" w:space="0" w:color="auto"/>
      </w:divBdr>
    </w:div>
    <w:div w:id="738788965">
      <w:bodyDiv w:val="1"/>
      <w:marLeft w:val="0"/>
      <w:marRight w:val="0"/>
      <w:marTop w:val="0"/>
      <w:marBottom w:val="0"/>
      <w:divBdr>
        <w:top w:val="none" w:sz="0" w:space="0" w:color="auto"/>
        <w:left w:val="none" w:sz="0" w:space="0" w:color="auto"/>
        <w:bottom w:val="none" w:sz="0" w:space="0" w:color="auto"/>
        <w:right w:val="none" w:sz="0" w:space="0" w:color="auto"/>
      </w:divBdr>
    </w:div>
    <w:div w:id="859667258">
      <w:bodyDiv w:val="1"/>
      <w:marLeft w:val="0"/>
      <w:marRight w:val="0"/>
      <w:marTop w:val="0"/>
      <w:marBottom w:val="0"/>
      <w:divBdr>
        <w:top w:val="none" w:sz="0" w:space="0" w:color="auto"/>
        <w:left w:val="none" w:sz="0" w:space="0" w:color="auto"/>
        <w:bottom w:val="none" w:sz="0" w:space="0" w:color="auto"/>
        <w:right w:val="none" w:sz="0" w:space="0" w:color="auto"/>
      </w:divBdr>
    </w:div>
    <w:div w:id="1052775308">
      <w:bodyDiv w:val="1"/>
      <w:marLeft w:val="0"/>
      <w:marRight w:val="0"/>
      <w:marTop w:val="0"/>
      <w:marBottom w:val="0"/>
      <w:divBdr>
        <w:top w:val="none" w:sz="0" w:space="0" w:color="auto"/>
        <w:left w:val="none" w:sz="0" w:space="0" w:color="auto"/>
        <w:bottom w:val="none" w:sz="0" w:space="0" w:color="auto"/>
        <w:right w:val="none" w:sz="0" w:space="0" w:color="auto"/>
      </w:divBdr>
    </w:div>
    <w:div w:id="1103262437">
      <w:bodyDiv w:val="1"/>
      <w:marLeft w:val="0"/>
      <w:marRight w:val="0"/>
      <w:marTop w:val="0"/>
      <w:marBottom w:val="0"/>
      <w:divBdr>
        <w:top w:val="none" w:sz="0" w:space="0" w:color="auto"/>
        <w:left w:val="none" w:sz="0" w:space="0" w:color="auto"/>
        <w:bottom w:val="none" w:sz="0" w:space="0" w:color="auto"/>
        <w:right w:val="none" w:sz="0" w:space="0" w:color="auto"/>
      </w:divBdr>
    </w:div>
    <w:div w:id="1468737155">
      <w:bodyDiv w:val="1"/>
      <w:marLeft w:val="0"/>
      <w:marRight w:val="0"/>
      <w:marTop w:val="0"/>
      <w:marBottom w:val="0"/>
      <w:divBdr>
        <w:top w:val="none" w:sz="0" w:space="0" w:color="auto"/>
        <w:left w:val="none" w:sz="0" w:space="0" w:color="auto"/>
        <w:bottom w:val="none" w:sz="0" w:space="0" w:color="auto"/>
        <w:right w:val="none" w:sz="0" w:space="0" w:color="auto"/>
      </w:divBdr>
    </w:div>
    <w:div w:id="1524123528">
      <w:bodyDiv w:val="1"/>
      <w:marLeft w:val="0"/>
      <w:marRight w:val="0"/>
      <w:marTop w:val="0"/>
      <w:marBottom w:val="0"/>
      <w:divBdr>
        <w:top w:val="none" w:sz="0" w:space="0" w:color="auto"/>
        <w:left w:val="none" w:sz="0" w:space="0" w:color="auto"/>
        <w:bottom w:val="none" w:sz="0" w:space="0" w:color="auto"/>
        <w:right w:val="none" w:sz="0" w:space="0" w:color="auto"/>
      </w:divBdr>
      <w:divsChild>
        <w:div w:id="1440024185">
          <w:marLeft w:val="0"/>
          <w:marRight w:val="0"/>
          <w:marTop w:val="0"/>
          <w:marBottom w:val="0"/>
          <w:divBdr>
            <w:top w:val="none" w:sz="0" w:space="0" w:color="auto"/>
            <w:left w:val="none" w:sz="0" w:space="0" w:color="auto"/>
            <w:bottom w:val="none" w:sz="0" w:space="0" w:color="auto"/>
            <w:right w:val="none" w:sz="0" w:space="0" w:color="auto"/>
          </w:divBdr>
          <w:divsChild>
            <w:div w:id="1802112126">
              <w:marLeft w:val="0"/>
              <w:marRight w:val="0"/>
              <w:marTop w:val="0"/>
              <w:marBottom w:val="150"/>
              <w:divBdr>
                <w:top w:val="single" w:sz="48" w:space="8" w:color="95ADBB"/>
                <w:left w:val="none" w:sz="0" w:space="0" w:color="auto"/>
                <w:bottom w:val="none" w:sz="0" w:space="0" w:color="auto"/>
                <w:right w:val="none" w:sz="0" w:space="0" w:color="auto"/>
              </w:divBdr>
              <w:divsChild>
                <w:div w:id="1175849364">
                  <w:marLeft w:val="0"/>
                  <w:marRight w:val="0"/>
                  <w:marTop w:val="0"/>
                  <w:marBottom w:val="0"/>
                  <w:divBdr>
                    <w:top w:val="none" w:sz="0" w:space="0" w:color="auto"/>
                    <w:left w:val="none" w:sz="0" w:space="0" w:color="auto"/>
                    <w:bottom w:val="none" w:sz="0" w:space="0" w:color="auto"/>
                    <w:right w:val="none" w:sz="0" w:space="0" w:color="auto"/>
                  </w:divBdr>
                  <w:divsChild>
                    <w:div w:id="1367297545">
                      <w:marLeft w:val="0"/>
                      <w:marRight w:val="0"/>
                      <w:marTop w:val="0"/>
                      <w:marBottom w:val="0"/>
                      <w:divBdr>
                        <w:top w:val="none" w:sz="0" w:space="0" w:color="auto"/>
                        <w:left w:val="none" w:sz="0" w:space="0" w:color="auto"/>
                        <w:bottom w:val="none" w:sz="0" w:space="0" w:color="auto"/>
                        <w:right w:val="none" w:sz="0" w:space="0" w:color="auto"/>
                      </w:divBdr>
                      <w:divsChild>
                        <w:div w:id="412632568">
                          <w:marLeft w:val="0"/>
                          <w:marRight w:val="0"/>
                          <w:marTop w:val="0"/>
                          <w:marBottom w:val="0"/>
                          <w:divBdr>
                            <w:top w:val="none" w:sz="0" w:space="0" w:color="auto"/>
                            <w:left w:val="none" w:sz="0" w:space="0" w:color="auto"/>
                            <w:bottom w:val="none" w:sz="0" w:space="0" w:color="auto"/>
                            <w:right w:val="none" w:sz="0" w:space="0" w:color="auto"/>
                          </w:divBdr>
                          <w:divsChild>
                            <w:div w:id="1525248659">
                              <w:marLeft w:val="0"/>
                              <w:marRight w:val="0"/>
                              <w:marTop w:val="30"/>
                              <w:marBottom w:val="0"/>
                              <w:divBdr>
                                <w:top w:val="none" w:sz="0" w:space="0" w:color="auto"/>
                                <w:left w:val="none" w:sz="0" w:space="0" w:color="auto"/>
                                <w:bottom w:val="none" w:sz="0" w:space="0" w:color="auto"/>
                                <w:right w:val="none" w:sz="0" w:space="0" w:color="auto"/>
                              </w:divBdr>
                              <w:divsChild>
                                <w:div w:id="1424649880">
                                  <w:marLeft w:val="0"/>
                                  <w:marRight w:val="0"/>
                                  <w:marTop w:val="0"/>
                                  <w:marBottom w:val="0"/>
                                  <w:divBdr>
                                    <w:top w:val="none" w:sz="0" w:space="0" w:color="auto"/>
                                    <w:left w:val="none" w:sz="0" w:space="0" w:color="auto"/>
                                    <w:bottom w:val="none" w:sz="0" w:space="0" w:color="auto"/>
                                    <w:right w:val="none" w:sz="0" w:space="0" w:color="auto"/>
                                  </w:divBdr>
                                  <w:divsChild>
                                    <w:div w:id="144854217">
                                      <w:marLeft w:val="0"/>
                                      <w:marRight w:val="0"/>
                                      <w:marTop w:val="0"/>
                                      <w:marBottom w:val="0"/>
                                      <w:divBdr>
                                        <w:top w:val="none" w:sz="0" w:space="0" w:color="auto"/>
                                        <w:left w:val="none" w:sz="0" w:space="0" w:color="auto"/>
                                        <w:bottom w:val="none" w:sz="0" w:space="0" w:color="auto"/>
                                        <w:right w:val="none" w:sz="0" w:space="0" w:color="auto"/>
                                      </w:divBdr>
                                      <w:divsChild>
                                        <w:div w:id="11417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147274">
      <w:bodyDiv w:val="1"/>
      <w:marLeft w:val="0"/>
      <w:marRight w:val="0"/>
      <w:marTop w:val="0"/>
      <w:marBottom w:val="0"/>
      <w:divBdr>
        <w:top w:val="none" w:sz="0" w:space="0" w:color="auto"/>
        <w:left w:val="none" w:sz="0" w:space="0" w:color="auto"/>
        <w:bottom w:val="none" w:sz="0" w:space="0" w:color="auto"/>
        <w:right w:val="none" w:sz="0" w:space="0" w:color="auto"/>
      </w:divBdr>
    </w:div>
    <w:div w:id="1600287979">
      <w:bodyDiv w:val="1"/>
      <w:marLeft w:val="0"/>
      <w:marRight w:val="0"/>
      <w:marTop w:val="0"/>
      <w:marBottom w:val="0"/>
      <w:divBdr>
        <w:top w:val="none" w:sz="0" w:space="0" w:color="auto"/>
        <w:left w:val="none" w:sz="0" w:space="0" w:color="auto"/>
        <w:bottom w:val="none" w:sz="0" w:space="0" w:color="auto"/>
        <w:right w:val="none" w:sz="0" w:space="0" w:color="auto"/>
      </w:divBdr>
    </w:div>
    <w:div w:id="1674989688">
      <w:bodyDiv w:val="1"/>
      <w:marLeft w:val="0"/>
      <w:marRight w:val="0"/>
      <w:marTop w:val="0"/>
      <w:marBottom w:val="0"/>
      <w:divBdr>
        <w:top w:val="none" w:sz="0" w:space="0" w:color="auto"/>
        <w:left w:val="none" w:sz="0" w:space="0" w:color="auto"/>
        <w:bottom w:val="none" w:sz="0" w:space="0" w:color="auto"/>
        <w:right w:val="none" w:sz="0" w:space="0" w:color="auto"/>
      </w:divBdr>
      <w:divsChild>
        <w:div w:id="1238982855">
          <w:marLeft w:val="0"/>
          <w:marRight w:val="0"/>
          <w:marTop w:val="0"/>
          <w:marBottom w:val="0"/>
          <w:divBdr>
            <w:top w:val="none" w:sz="0" w:space="0" w:color="auto"/>
            <w:left w:val="none" w:sz="0" w:space="0" w:color="auto"/>
            <w:bottom w:val="none" w:sz="0" w:space="0" w:color="auto"/>
            <w:right w:val="none" w:sz="0" w:space="0" w:color="auto"/>
          </w:divBdr>
          <w:divsChild>
            <w:div w:id="295184585">
              <w:marLeft w:val="0"/>
              <w:marRight w:val="0"/>
              <w:marTop w:val="0"/>
              <w:marBottom w:val="150"/>
              <w:divBdr>
                <w:top w:val="single" w:sz="48" w:space="8" w:color="95ADBB"/>
                <w:left w:val="none" w:sz="0" w:space="0" w:color="auto"/>
                <w:bottom w:val="none" w:sz="0" w:space="0" w:color="auto"/>
                <w:right w:val="none" w:sz="0" w:space="0" w:color="auto"/>
              </w:divBdr>
              <w:divsChild>
                <w:div w:id="1326935592">
                  <w:marLeft w:val="0"/>
                  <w:marRight w:val="0"/>
                  <w:marTop w:val="0"/>
                  <w:marBottom w:val="0"/>
                  <w:divBdr>
                    <w:top w:val="none" w:sz="0" w:space="0" w:color="auto"/>
                    <w:left w:val="none" w:sz="0" w:space="0" w:color="auto"/>
                    <w:bottom w:val="none" w:sz="0" w:space="0" w:color="auto"/>
                    <w:right w:val="none" w:sz="0" w:space="0" w:color="auto"/>
                  </w:divBdr>
                  <w:divsChild>
                    <w:div w:id="1733844377">
                      <w:marLeft w:val="0"/>
                      <w:marRight w:val="0"/>
                      <w:marTop w:val="0"/>
                      <w:marBottom w:val="0"/>
                      <w:divBdr>
                        <w:top w:val="none" w:sz="0" w:space="0" w:color="auto"/>
                        <w:left w:val="none" w:sz="0" w:space="0" w:color="auto"/>
                        <w:bottom w:val="none" w:sz="0" w:space="0" w:color="auto"/>
                        <w:right w:val="none" w:sz="0" w:space="0" w:color="auto"/>
                      </w:divBdr>
                      <w:divsChild>
                        <w:div w:id="200096394">
                          <w:marLeft w:val="0"/>
                          <w:marRight w:val="0"/>
                          <w:marTop w:val="0"/>
                          <w:marBottom w:val="0"/>
                          <w:divBdr>
                            <w:top w:val="none" w:sz="0" w:space="0" w:color="auto"/>
                            <w:left w:val="none" w:sz="0" w:space="0" w:color="auto"/>
                            <w:bottom w:val="none" w:sz="0" w:space="0" w:color="auto"/>
                            <w:right w:val="none" w:sz="0" w:space="0" w:color="auto"/>
                          </w:divBdr>
                          <w:divsChild>
                            <w:div w:id="461926692">
                              <w:marLeft w:val="0"/>
                              <w:marRight w:val="0"/>
                              <w:marTop w:val="30"/>
                              <w:marBottom w:val="0"/>
                              <w:divBdr>
                                <w:top w:val="none" w:sz="0" w:space="0" w:color="auto"/>
                                <w:left w:val="none" w:sz="0" w:space="0" w:color="auto"/>
                                <w:bottom w:val="none" w:sz="0" w:space="0" w:color="auto"/>
                                <w:right w:val="none" w:sz="0" w:space="0" w:color="auto"/>
                              </w:divBdr>
                              <w:divsChild>
                                <w:div w:id="5267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7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ericanIndianEducation@cde.ca.gov" TargetMode="External"/><Relationship Id="rId18" Type="http://schemas.openxmlformats.org/officeDocument/2006/relationships/hyperlink" Target="https://www.cde.ca.gov/ls/ex/dirctservguidance.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de.ca.gov/sp/ai/re/funding.asp" TargetMode="External"/><Relationship Id="rId17" Type="http://schemas.openxmlformats.org/officeDocument/2006/relationships/hyperlink" Target="https://www.ecfr.gov/current/title-2/subtitle-A/chapter-II/part-200/subpart-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rodriguez@cde.ca.gov" TargetMode="External"/><Relationship Id="rId20" Type="http://schemas.openxmlformats.org/officeDocument/2006/relationships/hyperlink" Target="mailto:cirodriguez@cde.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ericanIndianEducation@cde.ca.gov"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judelgado@cde.ca.gov" TargetMode="External"/><Relationship Id="rId23" Type="http://schemas.openxmlformats.org/officeDocument/2006/relationships/header" Target="header2.xml"/><Relationship Id="rId10" Type="http://schemas.openxmlformats.org/officeDocument/2006/relationships/footer" Target="footer3.xml"/><Relationship Id="rId19" Type="http://schemas.openxmlformats.org/officeDocument/2006/relationships/hyperlink" Target="https://www.whitehouse.gov/omb/office-federal-financial-manag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de.ca.gov/fg/fo/fm/generalassurances2023-24.asp"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9045</Words>
  <Characters>52046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RFA-24: American Indian Education Center Program (CA Dept of Education)</vt:lpstr>
    </vt:vector>
  </TitlesOfParts>
  <Manager/>
  <Company/>
  <LinksUpToDate>false</LinksUpToDate>
  <CharactersWithSpaces>60970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AIEC (CA Dept of Education)</dc:title>
  <dc:subject>Request for Application (RFA) for the American Indian Education Center (AIEC) Program for Fiscal Year 2024-29.</dc:subject>
  <dc:creator/>
  <cp:keywords>American Indian, RFA 24</cp:keywords>
  <dc:description/>
  <cp:lastModifiedBy/>
  <cp:revision>1</cp:revision>
  <dcterms:created xsi:type="dcterms:W3CDTF">2024-07-12T21:29:00Z</dcterms:created>
  <dcterms:modified xsi:type="dcterms:W3CDTF">2024-07-15T21:54:00Z</dcterms:modified>
</cp:coreProperties>
</file>