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D000" w14:textId="712E31E1" w:rsidR="005F1D6F" w:rsidRPr="00A0036B" w:rsidRDefault="005F1D6F" w:rsidP="001D004A">
      <w:pPr>
        <w:pStyle w:val="Heading1"/>
      </w:pPr>
      <w:bookmarkStart w:id="0" w:name="_Toc224571217"/>
      <w:r w:rsidRPr="00A0036B">
        <w:t>California Department of Education</w:t>
      </w:r>
      <w:r w:rsidR="00937AC7" w:rsidRPr="00A0036B">
        <w:t xml:space="preserve"> </w:t>
      </w:r>
      <w:r w:rsidR="00995547" w:rsidRPr="00A0036B">
        <w:t>Request for Proposals</w:t>
      </w:r>
      <w:r w:rsidR="00D26438" w:rsidRPr="00A0036B">
        <w:t xml:space="preserve"> (RFP)</w:t>
      </w:r>
      <w:r w:rsidR="00937AC7" w:rsidRPr="00A0036B">
        <w:t xml:space="preserve"> </w:t>
      </w:r>
      <w:r w:rsidR="00233A2C" w:rsidRPr="00233A2C">
        <w:t>Federal Liaison Officer</w:t>
      </w:r>
      <w:r w:rsidR="00EE2F9F" w:rsidRPr="00233A2C">
        <w:t xml:space="preserve"> </w:t>
      </w:r>
      <w:r w:rsidR="00D17889">
        <w:t>–</w:t>
      </w:r>
      <w:r w:rsidR="00937AC7" w:rsidRPr="00A0036B">
        <w:t xml:space="preserve"> </w:t>
      </w:r>
      <w:r w:rsidR="008707A8" w:rsidRPr="00A0036B">
        <w:t>CN</w:t>
      </w:r>
      <w:r w:rsidR="00233A2C">
        <w:t>260025</w:t>
      </w:r>
      <w:bookmarkEnd w:id="0"/>
    </w:p>
    <w:p w14:paraId="3D8AD001" w14:textId="0AE381D8" w:rsidR="005F1D6F" w:rsidRDefault="00937AC7" w:rsidP="00697B9C">
      <w:pPr>
        <w:jc w:val="center"/>
      </w:pPr>
      <w:r w:rsidRPr="00937AC7">
        <w:t xml:space="preserve">Contract Term: </w:t>
      </w:r>
      <w:r w:rsidR="00233A2C">
        <w:t>January 1, 2027 – December 31, 2028</w:t>
      </w:r>
    </w:p>
    <w:p w14:paraId="3D8AD002" w14:textId="766C6AE6" w:rsidR="00CB1B58" w:rsidRPr="005A4ED9" w:rsidRDefault="00CB1B58" w:rsidP="00697B9C">
      <w:pPr>
        <w:jc w:val="center"/>
        <w:rPr>
          <w:color w:val="FF0000"/>
        </w:rPr>
      </w:pPr>
      <w:r>
        <w:t xml:space="preserve">RFP Release Date: </w:t>
      </w:r>
      <w:r w:rsidR="00233A2C">
        <w:t>April 1, 2026</w:t>
      </w:r>
    </w:p>
    <w:p w14:paraId="3D8AD003" w14:textId="77777777" w:rsidR="00D26438" w:rsidRPr="00937AC7" w:rsidRDefault="00D26438" w:rsidP="00697B9C">
      <w:pPr>
        <w:jc w:val="center"/>
      </w:pPr>
      <w:r w:rsidRPr="00937AC7">
        <w:t>California Department of Education</w:t>
      </w:r>
    </w:p>
    <w:p w14:paraId="3D8AD004" w14:textId="5E300C4C" w:rsidR="00D26438" w:rsidRPr="00233A2C" w:rsidRDefault="00233A2C" w:rsidP="00697B9C">
      <w:pPr>
        <w:jc w:val="center"/>
      </w:pPr>
      <w:r w:rsidRPr="00233A2C">
        <w:rPr>
          <w:rFonts w:cs="Arial"/>
          <w:szCs w:val="24"/>
        </w:rPr>
        <w:t>Government Affairs Division</w:t>
      </w:r>
    </w:p>
    <w:p w14:paraId="3D8AD005" w14:textId="1D0E29BE" w:rsidR="00D26438" w:rsidRPr="00233A2C" w:rsidRDefault="00D26438" w:rsidP="00697B9C">
      <w:pPr>
        <w:jc w:val="center"/>
      </w:pPr>
      <w:r w:rsidRPr="00233A2C">
        <w:t xml:space="preserve">Attention: </w:t>
      </w:r>
      <w:r w:rsidR="00233A2C" w:rsidRPr="00233A2C">
        <w:t>Natasha Middleton</w:t>
      </w:r>
    </w:p>
    <w:p w14:paraId="3D8AD006" w14:textId="2FFEE006" w:rsidR="00D26438" w:rsidRPr="00233A2C" w:rsidRDefault="002E0181" w:rsidP="00697B9C">
      <w:pPr>
        <w:jc w:val="center"/>
      </w:pPr>
      <w:r w:rsidRPr="00233A2C">
        <w:t xml:space="preserve">1430 N Street, Suite </w:t>
      </w:r>
      <w:r w:rsidR="00163AA3">
        <w:t>5602</w:t>
      </w:r>
    </w:p>
    <w:p w14:paraId="3D8AD007" w14:textId="77777777" w:rsidR="00D26438" w:rsidRPr="00233A2C" w:rsidRDefault="00D26438" w:rsidP="00697B9C">
      <w:pPr>
        <w:jc w:val="center"/>
      </w:pPr>
      <w:r w:rsidRPr="00233A2C">
        <w:t>Sacramento, CA 95814</w:t>
      </w:r>
    </w:p>
    <w:p w14:paraId="6B3B56A7" w14:textId="2281654D" w:rsidR="00233A2C" w:rsidRPr="005A4ED9" w:rsidRDefault="00FE53EB" w:rsidP="00233A2C">
      <w:pPr>
        <w:jc w:val="center"/>
        <w:rPr>
          <w:color w:val="FF0000"/>
        </w:rPr>
      </w:pPr>
      <w:r w:rsidRPr="00233A2C">
        <w:t xml:space="preserve">Email: </w:t>
      </w:r>
      <w:hyperlink r:id="rId8" w:history="1">
        <w:r w:rsidR="00233A2C" w:rsidRPr="00951964">
          <w:rPr>
            <w:rStyle w:val="Hyperlink"/>
          </w:rPr>
          <w:t>NMiddleton@cde.ca.gov</w:t>
        </w:r>
      </w:hyperlink>
    </w:p>
    <w:p w14:paraId="45EEB02E" w14:textId="4144FFD5" w:rsidR="00483D58" w:rsidRPr="00233A2C" w:rsidRDefault="00FE53EB" w:rsidP="00233A2C">
      <w:pPr>
        <w:autoSpaceDE w:val="0"/>
        <w:autoSpaceDN w:val="0"/>
        <w:adjustRightInd w:val="0"/>
        <w:jc w:val="center"/>
        <w:rPr>
          <w:rFonts w:cs="Arial"/>
          <w:color w:val="FF0000"/>
          <w:szCs w:val="24"/>
        </w:rPr>
      </w:pPr>
      <w:r w:rsidRPr="00233A2C">
        <w:t xml:space="preserve">Phone: </w:t>
      </w:r>
      <w:r w:rsidR="00233A2C" w:rsidRPr="00233A2C">
        <w:rPr>
          <w:rFonts w:cs="Arial"/>
          <w:szCs w:val="24"/>
        </w:rPr>
        <w:t>916-319-0570</w:t>
      </w:r>
      <w:r w:rsidR="00483D58">
        <w:rPr>
          <w:rFonts w:cs="Arial"/>
        </w:rPr>
        <w:br w:type="page"/>
      </w:r>
    </w:p>
    <w:p w14:paraId="3D8AD00A" w14:textId="6A6F2BC2" w:rsidR="003D2B70" w:rsidRPr="00D22A88" w:rsidRDefault="00FC2FC1" w:rsidP="00D22A88">
      <w:pPr>
        <w:spacing w:before="240" w:after="240"/>
        <w:jc w:val="center"/>
        <w:rPr>
          <w:rFonts w:cs="Arial"/>
        </w:rPr>
      </w:pPr>
      <w:r w:rsidRPr="0097472E">
        <w:rPr>
          <w:rFonts w:cs="Arial"/>
        </w:rPr>
        <w:lastRenderedPageBreak/>
        <w:t>This page intentionally left blank to facilitate double-sided printing</w:t>
      </w:r>
    </w:p>
    <w:p w14:paraId="3D8AD00B" w14:textId="77777777" w:rsidR="00D22A88" w:rsidRDefault="00D22A88">
      <w:pPr>
        <w:rPr>
          <w:rFonts w:eastAsia="Times New Roman" w:cs="Arial"/>
          <w:b/>
          <w:bCs/>
          <w:iCs/>
          <w:sz w:val="32"/>
          <w:szCs w:val="28"/>
        </w:rPr>
      </w:pPr>
      <w:r>
        <w:br w:type="page"/>
      </w:r>
    </w:p>
    <w:p w14:paraId="3D8AD00C" w14:textId="77777777" w:rsidR="00C8242D" w:rsidRPr="00A0036B" w:rsidRDefault="008E39F4" w:rsidP="00E43B4A">
      <w:pPr>
        <w:pStyle w:val="Heading2"/>
      </w:pPr>
      <w:bookmarkStart w:id="1" w:name="_Toc224571218"/>
      <w:r w:rsidRPr="00A0036B">
        <w:lastRenderedPageBreak/>
        <w:t>TABLE OF CONTENTS</w:t>
      </w:r>
      <w:bookmarkEnd w:id="1"/>
    </w:p>
    <w:p w14:paraId="342E0BEE" w14:textId="77A04FED" w:rsidR="0036147F" w:rsidRDefault="003616B1">
      <w:pPr>
        <w:pStyle w:val="TOC1"/>
        <w:rPr>
          <w:rFonts w:asciiTheme="minorHAnsi" w:eastAsiaTheme="minorEastAsia" w:hAnsiTheme="minorHAnsi" w:cstheme="minorBidi"/>
          <w:noProof/>
          <w:kern w:val="2"/>
          <w:szCs w:val="24"/>
          <w14:ligatures w14:val="standardContextual"/>
        </w:rPr>
      </w:pPr>
      <w:r>
        <w:rPr>
          <w:b/>
          <w:bCs/>
          <w:iCs/>
        </w:rPr>
        <w:fldChar w:fldCharType="begin"/>
      </w:r>
      <w:r>
        <w:rPr>
          <w:b/>
          <w:bCs/>
          <w:iCs/>
        </w:rPr>
        <w:instrText xml:space="preserve"> TOC \o "1-2" \h \z \u </w:instrText>
      </w:r>
      <w:r>
        <w:rPr>
          <w:b/>
          <w:bCs/>
          <w:iCs/>
        </w:rPr>
        <w:fldChar w:fldCharType="separate"/>
      </w:r>
      <w:hyperlink w:anchor="_Toc224571217" w:history="1">
        <w:r w:rsidR="0036147F" w:rsidRPr="00BF4D0D">
          <w:rPr>
            <w:rStyle w:val="Hyperlink"/>
            <w:noProof/>
          </w:rPr>
          <w:t>California Department of Education Request for Proposals (RFP) Federal Liaison Officer – CN260025</w:t>
        </w:r>
        <w:r w:rsidR="0036147F">
          <w:rPr>
            <w:noProof/>
            <w:webHidden/>
          </w:rPr>
          <w:tab/>
        </w:r>
        <w:r w:rsidR="0036147F">
          <w:rPr>
            <w:noProof/>
            <w:webHidden/>
          </w:rPr>
          <w:fldChar w:fldCharType="begin"/>
        </w:r>
        <w:r w:rsidR="0036147F">
          <w:rPr>
            <w:noProof/>
            <w:webHidden/>
          </w:rPr>
          <w:instrText xml:space="preserve"> PAGEREF _Toc224571217 \h </w:instrText>
        </w:r>
        <w:r w:rsidR="0036147F">
          <w:rPr>
            <w:noProof/>
            <w:webHidden/>
          </w:rPr>
        </w:r>
        <w:r w:rsidR="0036147F">
          <w:rPr>
            <w:noProof/>
            <w:webHidden/>
          </w:rPr>
          <w:fldChar w:fldCharType="separate"/>
        </w:r>
        <w:r w:rsidR="0036147F">
          <w:rPr>
            <w:noProof/>
            <w:webHidden/>
          </w:rPr>
          <w:t>1</w:t>
        </w:r>
        <w:r w:rsidR="0036147F">
          <w:rPr>
            <w:noProof/>
            <w:webHidden/>
          </w:rPr>
          <w:fldChar w:fldCharType="end"/>
        </w:r>
      </w:hyperlink>
    </w:p>
    <w:p w14:paraId="658C6F5E" w14:textId="658D2D38" w:rsidR="0036147F" w:rsidRDefault="0036147F">
      <w:pPr>
        <w:pStyle w:val="TOC2"/>
        <w:rPr>
          <w:rFonts w:asciiTheme="minorHAnsi" w:eastAsiaTheme="minorEastAsia" w:hAnsiTheme="minorHAnsi" w:cstheme="minorBidi"/>
          <w:noProof/>
          <w:kern w:val="2"/>
          <w:szCs w:val="24"/>
          <w14:ligatures w14:val="standardContextual"/>
        </w:rPr>
      </w:pPr>
      <w:hyperlink w:anchor="_Toc224571218" w:history="1">
        <w:r w:rsidRPr="00BF4D0D">
          <w:rPr>
            <w:rStyle w:val="Hyperlink"/>
            <w:noProof/>
          </w:rPr>
          <w:t>TABLE OF CONTENTS</w:t>
        </w:r>
        <w:r>
          <w:rPr>
            <w:noProof/>
            <w:webHidden/>
          </w:rPr>
          <w:tab/>
        </w:r>
        <w:r>
          <w:rPr>
            <w:noProof/>
            <w:webHidden/>
          </w:rPr>
          <w:fldChar w:fldCharType="begin"/>
        </w:r>
        <w:r>
          <w:rPr>
            <w:noProof/>
            <w:webHidden/>
          </w:rPr>
          <w:instrText xml:space="preserve"> PAGEREF _Toc224571218 \h </w:instrText>
        </w:r>
        <w:r>
          <w:rPr>
            <w:noProof/>
            <w:webHidden/>
          </w:rPr>
        </w:r>
        <w:r>
          <w:rPr>
            <w:noProof/>
            <w:webHidden/>
          </w:rPr>
          <w:fldChar w:fldCharType="separate"/>
        </w:r>
        <w:r>
          <w:rPr>
            <w:noProof/>
            <w:webHidden/>
          </w:rPr>
          <w:t>3</w:t>
        </w:r>
        <w:r>
          <w:rPr>
            <w:noProof/>
            <w:webHidden/>
          </w:rPr>
          <w:fldChar w:fldCharType="end"/>
        </w:r>
      </w:hyperlink>
    </w:p>
    <w:p w14:paraId="5799550B" w14:textId="27045EB7" w:rsidR="0036147F" w:rsidRDefault="0036147F">
      <w:pPr>
        <w:pStyle w:val="TOC2"/>
        <w:rPr>
          <w:rFonts w:asciiTheme="minorHAnsi" w:eastAsiaTheme="minorEastAsia" w:hAnsiTheme="minorHAnsi" w:cstheme="minorBidi"/>
          <w:noProof/>
          <w:kern w:val="2"/>
          <w:szCs w:val="24"/>
          <w14:ligatures w14:val="standardContextual"/>
        </w:rPr>
      </w:pPr>
      <w:hyperlink w:anchor="_Toc224571219" w:history="1">
        <w:r w:rsidRPr="00BF4D0D">
          <w:rPr>
            <w:rStyle w:val="Hyperlink"/>
            <w:noProof/>
          </w:rPr>
          <w:t>ATTACHMENTS</w:t>
        </w:r>
        <w:r>
          <w:rPr>
            <w:noProof/>
            <w:webHidden/>
          </w:rPr>
          <w:tab/>
        </w:r>
        <w:r>
          <w:rPr>
            <w:noProof/>
            <w:webHidden/>
          </w:rPr>
          <w:fldChar w:fldCharType="begin"/>
        </w:r>
        <w:r>
          <w:rPr>
            <w:noProof/>
            <w:webHidden/>
          </w:rPr>
          <w:instrText xml:space="preserve"> PAGEREF _Toc224571219 \h </w:instrText>
        </w:r>
        <w:r>
          <w:rPr>
            <w:noProof/>
            <w:webHidden/>
          </w:rPr>
        </w:r>
        <w:r>
          <w:rPr>
            <w:noProof/>
            <w:webHidden/>
          </w:rPr>
          <w:fldChar w:fldCharType="separate"/>
        </w:r>
        <w:r>
          <w:rPr>
            <w:noProof/>
            <w:webHidden/>
          </w:rPr>
          <w:t>3</w:t>
        </w:r>
        <w:r>
          <w:rPr>
            <w:noProof/>
            <w:webHidden/>
          </w:rPr>
          <w:fldChar w:fldCharType="end"/>
        </w:r>
      </w:hyperlink>
    </w:p>
    <w:p w14:paraId="3060766A" w14:textId="6EBEF0CE" w:rsidR="0036147F" w:rsidRDefault="0036147F">
      <w:pPr>
        <w:pStyle w:val="TOC2"/>
        <w:rPr>
          <w:rFonts w:asciiTheme="minorHAnsi" w:eastAsiaTheme="minorEastAsia" w:hAnsiTheme="minorHAnsi" w:cstheme="minorBidi"/>
          <w:noProof/>
          <w:kern w:val="2"/>
          <w:szCs w:val="24"/>
          <w14:ligatures w14:val="standardContextual"/>
        </w:rPr>
      </w:pPr>
      <w:hyperlink w:anchor="_Toc224571220" w:history="1">
        <w:r w:rsidRPr="00BF4D0D">
          <w:rPr>
            <w:rStyle w:val="Hyperlink"/>
            <w:noProof/>
          </w:rPr>
          <w:t>1. PURPOSE AND BACKGROUND</w:t>
        </w:r>
        <w:r>
          <w:rPr>
            <w:noProof/>
            <w:webHidden/>
          </w:rPr>
          <w:tab/>
        </w:r>
        <w:r>
          <w:rPr>
            <w:noProof/>
            <w:webHidden/>
          </w:rPr>
          <w:fldChar w:fldCharType="begin"/>
        </w:r>
        <w:r>
          <w:rPr>
            <w:noProof/>
            <w:webHidden/>
          </w:rPr>
          <w:instrText xml:space="preserve"> PAGEREF _Toc224571220 \h </w:instrText>
        </w:r>
        <w:r>
          <w:rPr>
            <w:noProof/>
            <w:webHidden/>
          </w:rPr>
        </w:r>
        <w:r>
          <w:rPr>
            <w:noProof/>
            <w:webHidden/>
          </w:rPr>
          <w:fldChar w:fldCharType="separate"/>
        </w:r>
        <w:r>
          <w:rPr>
            <w:noProof/>
            <w:webHidden/>
          </w:rPr>
          <w:t>5</w:t>
        </w:r>
        <w:r>
          <w:rPr>
            <w:noProof/>
            <w:webHidden/>
          </w:rPr>
          <w:fldChar w:fldCharType="end"/>
        </w:r>
      </w:hyperlink>
    </w:p>
    <w:p w14:paraId="7FAB9E2A" w14:textId="7877C146" w:rsidR="0036147F" w:rsidRDefault="0036147F">
      <w:pPr>
        <w:pStyle w:val="TOC2"/>
        <w:rPr>
          <w:rFonts w:asciiTheme="minorHAnsi" w:eastAsiaTheme="minorEastAsia" w:hAnsiTheme="minorHAnsi" w:cstheme="minorBidi"/>
          <w:noProof/>
          <w:kern w:val="2"/>
          <w:szCs w:val="24"/>
          <w14:ligatures w14:val="standardContextual"/>
        </w:rPr>
      </w:pPr>
      <w:hyperlink w:anchor="_Toc224571221" w:history="1">
        <w:r w:rsidRPr="00BF4D0D">
          <w:rPr>
            <w:rStyle w:val="Hyperlink"/>
            <w:noProof/>
          </w:rPr>
          <w:t>2. GENERAL PROPOSAL INFORMATION</w:t>
        </w:r>
        <w:r>
          <w:rPr>
            <w:noProof/>
            <w:webHidden/>
          </w:rPr>
          <w:tab/>
        </w:r>
        <w:r>
          <w:rPr>
            <w:noProof/>
            <w:webHidden/>
          </w:rPr>
          <w:fldChar w:fldCharType="begin"/>
        </w:r>
        <w:r>
          <w:rPr>
            <w:noProof/>
            <w:webHidden/>
          </w:rPr>
          <w:instrText xml:space="preserve"> PAGEREF _Toc224571221 \h </w:instrText>
        </w:r>
        <w:r>
          <w:rPr>
            <w:noProof/>
            <w:webHidden/>
          </w:rPr>
        </w:r>
        <w:r>
          <w:rPr>
            <w:noProof/>
            <w:webHidden/>
          </w:rPr>
          <w:fldChar w:fldCharType="separate"/>
        </w:r>
        <w:r>
          <w:rPr>
            <w:noProof/>
            <w:webHidden/>
          </w:rPr>
          <w:t>7</w:t>
        </w:r>
        <w:r>
          <w:rPr>
            <w:noProof/>
            <w:webHidden/>
          </w:rPr>
          <w:fldChar w:fldCharType="end"/>
        </w:r>
      </w:hyperlink>
    </w:p>
    <w:p w14:paraId="75DFB368" w14:textId="6B6645B3" w:rsidR="0036147F" w:rsidRDefault="0036147F">
      <w:pPr>
        <w:pStyle w:val="TOC2"/>
        <w:rPr>
          <w:rFonts w:asciiTheme="minorHAnsi" w:eastAsiaTheme="minorEastAsia" w:hAnsiTheme="minorHAnsi" w:cstheme="minorBidi"/>
          <w:noProof/>
          <w:kern w:val="2"/>
          <w:szCs w:val="24"/>
          <w14:ligatures w14:val="standardContextual"/>
        </w:rPr>
      </w:pPr>
      <w:hyperlink w:anchor="_Toc224571222" w:history="1">
        <w:r w:rsidRPr="00BF4D0D">
          <w:rPr>
            <w:rStyle w:val="Hyperlink"/>
            <w:noProof/>
            <w:snapToGrid w:val="0"/>
          </w:rPr>
          <w:t>3</w:t>
        </w:r>
        <w:r w:rsidRPr="00BF4D0D">
          <w:rPr>
            <w:rStyle w:val="Hyperlink"/>
            <w:noProof/>
          </w:rPr>
          <w:t>. PROPOSAL SPECIFICATIONS</w:t>
        </w:r>
        <w:r>
          <w:rPr>
            <w:noProof/>
            <w:webHidden/>
          </w:rPr>
          <w:tab/>
        </w:r>
        <w:r>
          <w:rPr>
            <w:noProof/>
            <w:webHidden/>
          </w:rPr>
          <w:fldChar w:fldCharType="begin"/>
        </w:r>
        <w:r>
          <w:rPr>
            <w:noProof/>
            <w:webHidden/>
          </w:rPr>
          <w:instrText xml:space="preserve"> PAGEREF _Toc224571222 \h </w:instrText>
        </w:r>
        <w:r>
          <w:rPr>
            <w:noProof/>
            <w:webHidden/>
          </w:rPr>
        </w:r>
        <w:r>
          <w:rPr>
            <w:noProof/>
            <w:webHidden/>
          </w:rPr>
          <w:fldChar w:fldCharType="separate"/>
        </w:r>
        <w:r>
          <w:rPr>
            <w:noProof/>
            <w:webHidden/>
          </w:rPr>
          <w:t>14</w:t>
        </w:r>
        <w:r>
          <w:rPr>
            <w:noProof/>
            <w:webHidden/>
          </w:rPr>
          <w:fldChar w:fldCharType="end"/>
        </w:r>
      </w:hyperlink>
    </w:p>
    <w:p w14:paraId="21F28A41" w14:textId="2FFA2A52" w:rsidR="0036147F" w:rsidRDefault="0036147F">
      <w:pPr>
        <w:pStyle w:val="TOC2"/>
        <w:rPr>
          <w:rFonts w:asciiTheme="minorHAnsi" w:eastAsiaTheme="minorEastAsia" w:hAnsiTheme="minorHAnsi" w:cstheme="minorBidi"/>
          <w:noProof/>
          <w:kern w:val="2"/>
          <w:szCs w:val="24"/>
          <w14:ligatures w14:val="standardContextual"/>
        </w:rPr>
      </w:pPr>
      <w:hyperlink w:anchor="_Toc224571223" w:history="1">
        <w:r w:rsidRPr="00BF4D0D">
          <w:rPr>
            <w:rStyle w:val="Hyperlink"/>
            <w:noProof/>
          </w:rPr>
          <w:t>4. EVALUATION PROCESS</w:t>
        </w:r>
        <w:r>
          <w:rPr>
            <w:noProof/>
            <w:webHidden/>
          </w:rPr>
          <w:tab/>
        </w:r>
        <w:r>
          <w:rPr>
            <w:noProof/>
            <w:webHidden/>
          </w:rPr>
          <w:fldChar w:fldCharType="begin"/>
        </w:r>
        <w:r>
          <w:rPr>
            <w:noProof/>
            <w:webHidden/>
          </w:rPr>
          <w:instrText xml:space="preserve"> PAGEREF _Toc224571223 \h </w:instrText>
        </w:r>
        <w:r>
          <w:rPr>
            <w:noProof/>
            <w:webHidden/>
          </w:rPr>
        </w:r>
        <w:r>
          <w:rPr>
            <w:noProof/>
            <w:webHidden/>
          </w:rPr>
          <w:fldChar w:fldCharType="separate"/>
        </w:r>
        <w:r>
          <w:rPr>
            <w:noProof/>
            <w:webHidden/>
          </w:rPr>
          <w:t>35</w:t>
        </w:r>
        <w:r>
          <w:rPr>
            <w:noProof/>
            <w:webHidden/>
          </w:rPr>
          <w:fldChar w:fldCharType="end"/>
        </w:r>
      </w:hyperlink>
    </w:p>
    <w:p w14:paraId="70AEA19F" w14:textId="5C4DF80E" w:rsidR="0036147F" w:rsidRDefault="0036147F">
      <w:pPr>
        <w:pStyle w:val="TOC2"/>
        <w:rPr>
          <w:rFonts w:asciiTheme="minorHAnsi" w:eastAsiaTheme="minorEastAsia" w:hAnsiTheme="minorHAnsi" w:cstheme="minorBidi"/>
          <w:noProof/>
          <w:kern w:val="2"/>
          <w:szCs w:val="24"/>
          <w14:ligatures w14:val="standardContextual"/>
        </w:rPr>
      </w:pPr>
      <w:hyperlink w:anchor="_Toc224571224" w:history="1">
        <w:r w:rsidRPr="00BF4D0D">
          <w:rPr>
            <w:rStyle w:val="Hyperlink"/>
            <w:noProof/>
          </w:rPr>
          <w:t>5. AWARD AND PROTEST</w:t>
        </w:r>
        <w:r>
          <w:rPr>
            <w:noProof/>
            <w:webHidden/>
          </w:rPr>
          <w:tab/>
        </w:r>
        <w:r>
          <w:rPr>
            <w:noProof/>
            <w:webHidden/>
          </w:rPr>
          <w:fldChar w:fldCharType="begin"/>
        </w:r>
        <w:r>
          <w:rPr>
            <w:noProof/>
            <w:webHidden/>
          </w:rPr>
          <w:instrText xml:space="preserve"> PAGEREF _Toc224571224 \h </w:instrText>
        </w:r>
        <w:r>
          <w:rPr>
            <w:noProof/>
            <w:webHidden/>
          </w:rPr>
        </w:r>
        <w:r>
          <w:rPr>
            <w:noProof/>
            <w:webHidden/>
          </w:rPr>
          <w:fldChar w:fldCharType="separate"/>
        </w:r>
        <w:r>
          <w:rPr>
            <w:noProof/>
            <w:webHidden/>
          </w:rPr>
          <w:t>39</w:t>
        </w:r>
        <w:r>
          <w:rPr>
            <w:noProof/>
            <w:webHidden/>
          </w:rPr>
          <w:fldChar w:fldCharType="end"/>
        </w:r>
      </w:hyperlink>
    </w:p>
    <w:p w14:paraId="767B51EF" w14:textId="3869DCD0" w:rsidR="0036147F" w:rsidRDefault="0036147F">
      <w:pPr>
        <w:pStyle w:val="TOC2"/>
        <w:rPr>
          <w:rFonts w:asciiTheme="minorHAnsi" w:eastAsiaTheme="minorEastAsia" w:hAnsiTheme="minorHAnsi" w:cstheme="minorBidi"/>
          <w:noProof/>
          <w:kern w:val="2"/>
          <w:szCs w:val="24"/>
          <w14:ligatures w14:val="standardContextual"/>
        </w:rPr>
      </w:pPr>
      <w:hyperlink w:anchor="_Toc224571225" w:history="1">
        <w:r w:rsidRPr="00BF4D0D">
          <w:rPr>
            <w:rStyle w:val="Hyperlink"/>
            <w:noProof/>
          </w:rPr>
          <w:t>6. STANDARD CONDITIONS OF SERVICE</w:t>
        </w:r>
        <w:r>
          <w:rPr>
            <w:noProof/>
            <w:webHidden/>
          </w:rPr>
          <w:tab/>
        </w:r>
        <w:r>
          <w:rPr>
            <w:noProof/>
            <w:webHidden/>
          </w:rPr>
          <w:fldChar w:fldCharType="begin"/>
        </w:r>
        <w:r>
          <w:rPr>
            <w:noProof/>
            <w:webHidden/>
          </w:rPr>
          <w:instrText xml:space="preserve"> PAGEREF _Toc224571225 \h </w:instrText>
        </w:r>
        <w:r>
          <w:rPr>
            <w:noProof/>
            <w:webHidden/>
          </w:rPr>
        </w:r>
        <w:r>
          <w:rPr>
            <w:noProof/>
            <w:webHidden/>
          </w:rPr>
          <w:fldChar w:fldCharType="separate"/>
        </w:r>
        <w:r>
          <w:rPr>
            <w:noProof/>
            <w:webHidden/>
          </w:rPr>
          <w:t>40</w:t>
        </w:r>
        <w:r>
          <w:rPr>
            <w:noProof/>
            <w:webHidden/>
          </w:rPr>
          <w:fldChar w:fldCharType="end"/>
        </w:r>
      </w:hyperlink>
    </w:p>
    <w:p w14:paraId="740343B8" w14:textId="1A676253" w:rsidR="0036147F" w:rsidRDefault="0036147F">
      <w:pPr>
        <w:pStyle w:val="TOC2"/>
        <w:rPr>
          <w:rFonts w:asciiTheme="minorHAnsi" w:eastAsiaTheme="minorEastAsia" w:hAnsiTheme="minorHAnsi" w:cstheme="minorBidi"/>
          <w:noProof/>
          <w:kern w:val="2"/>
          <w:szCs w:val="24"/>
          <w14:ligatures w14:val="standardContextual"/>
        </w:rPr>
      </w:pPr>
      <w:hyperlink w:anchor="_Toc224571226" w:history="1">
        <w:r w:rsidRPr="00BF4D0D">
          <w:rPr>
            <w:rStyle w:val="Hyperlink"/>
            <w:noProof/>
          </w:rPr>
          <w:t>7. SCOPE OF PROJECT</w:t>
        </w:r>
        <w:r>
          <w:rPr>
            <w:noProof/>
            <w:webHidden/>
          </w:rPr>
          <w:tab/>
        </w:r>
        <w:r>
          <w:rPr>
            <w:noProof/>
            <w:webHidden/>
          </w:rPr>
          <w:fldChar w:fldCharType="begin"/>
        </w:r>
        <w:r>
          <w:rPr>
            <w:noProof/>
            <w:webHidden/>
          </w:rPr>
          <w:instrText xml:space="preserve"> PAGEREF _Toc224571226 \h </w:instrText>
        </w:r>
        <w:r>
          <w:rPr>
            <w:noProof/>
            <w:webHidden/>
          </w:rPr>
        </w:r>
        <w:r>
          <w:rPr>
            <w:noProof/>
            <w:webHidden/>
          </w:rPr>
          <w:fldChar w:fldCharType="separate"/>
        </w:r>
        <w:r>
          <w:rPr>
            <w:noProof/>
            <w:webHidden/>
          </w:rPr>
          <w:t>41</w:t>
        </w:r>
        <w:r>
          <w:rPr>
            <w:noProof/>
            <w:webHidden/>
          </w:rPr>
          <w:fldChar w:fldCharType="end"/>
        </w:r>
      </w:hyperlink>
    </w:p>
    <w:p w14:paraId="3C49DA76" w14:textId="5C37ED10" w:rsidR="0036147F" w:rsidRDefault="0036147F">
      <w:pPr>
        <w:pStyle w:val="TOC2"/>
        <w:rPr>
          <w:rFonts w:asciiTheme="minorHAnsi" w:eastAsiaTheme="minorEastAsia" w:hAnsiTheme="minorHAnsi" w:cstheme="minorBidi"/>
          <w:noProof/>
          <w:kern w:val="2"/>
          <w:szCs w:val="24"/>
          <w14:ligatures w14:val="standardContextual"/>
        </w:rPr>
      </w:pPr>
      <w:hyperlink w:anchor="_Toc224571227" w:history="1">
        <w:r w:rsidRPr="00BF4D0D">
          <w:rPr>
            <w:rStyle w:val="Hyperlink"/>
            <w:noProof/>
          </w:rPr>
          <w:t>8. BUDGET DETAIL AND PAYMENT PROVISIONS</w:t>
        </w:r>
        <w:r>
          <w:rPr>
            <w:noProof/>
            <w:webHidden/>
          </w:rPr>
          <w:tab/>
        </w:r>
        <w:r>
          <w:rPr>
            <w:noProof/>
            <w:webHidden/>
          </w:rPr>
          <w:fldChar w:fldCharType="begin"/>
        </w:r>
        <w:r>
          <w:rPr>
            <w:noProof/>
            <w:webHidden/>
          </w:rPr>
          <w:instrText xml:space="preserve"> PAGEREF _Toc224571227 \h </w:instrText>
        </w:r>
        <w:r>
          <w:rPr>
            <w:noProof/>
            <w:webHidden/>
          </w:rPr>
        </w:r>
        <w:r>
          <w:rPr>
            <w:noProof/>
            <w:webHidden/>
          </w:rPr>
          <w:fldChar w:fldCharType="separate"/>
        </w:r>
        <w:r>
          <w:rPr>
            <w:noProof/>
            <w:webHidden/>
          </w:rPr>
          <w:t>55</w:t>
        </w:r>
        <w:r>
          <w:rPr>
            <w:noProof/>
            <w:webHidden/>
          </w:rPr>
          <w:fldChar w:fldCharType="end"/>
        </w:r>
      </w:hyperlink>
    </w:p>
    <w:p w14:paraId="784EBB01" w14:textId="3986DDD9" w:rsidR="0036147F" w:rsidRDefault="0036147F">
      <w:pPr>
        <w:pStyle w:val="TOC2"/>
        <w:rPr>
          <w:rFonts w:asciiTheme="minorHAnsi" w:eastAsiaTheme="minorEastAsia" w:hAnsiTheme="minorHAnsi" w:cstheme="minorBidi"/>
          <w:noProof/>
          <w:kern w:val="2"/>
          <w:szCs w:val="24"/>
          <w14:ligatures w14:val="standardContextual"/>
        </w:rPr>
      </w:pPr>
      <w:hyperlink w:anchor="_Toc224571228" w:history="1">
        <w:r w:rsidRPr="00BF4D0D">
          <w:rPr>
            <w:rStyle w:val="Hyperlink"/>
            <w:noProof/>
          </w:rPr>
          <w:t>9. GENERAL TERMS AND CONDITIONS</w:t>
        </w:r>
        <w:r>
          <w:rPr>
            <w:noProof/>
            <w:webHidden/>
          </w:rPr>
          <w:tab/>
        </w:r>
        <w:r>
          <w:rPr>
            <w:noProof/>
            <w:webHidden/>
          </w:rPr>
          <w:fldChar w:fldCharType="begin"/>
        </w:r>
        <w:r>
          <w:rPr>
            <w:noProof/>
            <w:webHidden/>
          </w:rPr>
          <w:instrText xml:space="preserve"> PAGEREF _Toc224571228 \h </w:instrText>
        </w:r>
        <w:r>
          <w:rPr>
            <w:noProof/>
            <w:webHidden/>
          </w:rPr>
        </w:r>
        <w:r>
          <w:rPr>
            <w:noProof/>
            <w:webHidden/>
          </w:rPr>
          <w:fldChar w:fldCharType="separate"/>
        </w:r>
        <w:r>
          <w:rPr>
            <w:noProof/>
            <w:webHidden/>
          </w:rPr>
          <w:t>58</w:t>
        </w:r>
        <w:r>
          <w:rPr>
            <w:noProof/>
            <w:webHidden/>
          </w:rPr>
          <w:fldChar w:fldCharType="end"/>
        </w:r>
      </w:hyperlink>
    </w:p>
    <w:p w14:paraId="7F6902E8" w14:textId="537D3BDB" w:rsidR="0036147F" w:rsidRDefault="0036147F">
      <w:pPr>
        <w:pStyle w:val="TOC2"/>
        <w:rPr>
          <w:rFonts w:asciiTheme="minorHAnsi" w:eastAsiaTheme="minorEastAsia" w:hAnsiTheme="minorHAnsi" w:cstheme="minorBidi"/>
          <w:noProof/>
          <w:kern w:val="2"/>
          <w:szCs w:val="24"/>
          <w14:ligatures w14:val="standardContextual"/>
        </w:rPr>
      </w:pPr>
      <w:hyperlink w:anchor="_Toc224571229" w:history="1">
        <w:r w:rsidRPr="00BF4D0D">
          <w:rPr>
            <w:rStyle w:val="Hyperlink"/>
            <w:noProof/>
          </w:rPr>
          <w:t>10. SPECIAL TERMS AND CONDITIONS</w:t>
        </w:r>
        <w:r>
          <w:rPr>
            <w:noProof/>
            <w:webHidden/>
          </w:rPr>
          <w:tab/>
        </w:r>
        <w:r>
          <w:rPr>
            <w:noProof/>
            <w:webHidden/>
          </w:rPr>
          <w:fldChar w:fldCharType="begin"/>
        </w:r>
        <w:r>
          <w:rPr>
            <w:noProof/>
            <w:webHidden/>
          </w:rPr>
          <w:instrText xml:space="preserve"> PAGEREF _Toc224571229 \h </w:instrText>
        </w:r>
        <w:r>
          <w:rPr>
            <w:noProof/>
            <w:webHidden/>
          </w:rPr>
        </w:r>
        <w:r>
          <w:rPr>
            <w:noProof/>
            <w:webHidden/>
          </w:rPr>
          <w:fldChar w:fldCharType="separate"/>
        </w:r>
        <w:r>
          <w:rPr>
            <w:noProof/>
            <w:webHidden/>
          </w:rPr>
          <w:t>59</w:t>
        </w:r>
        <w:r>
          <w:rPr>
            <w:noProof/>
            <w:webHidden/>
          </w:rPr>
          <w:fldChar w:fldCharType="end"/>
        </w:r>
      </w:hyperlink>
    </w:p>
    <w:p w14:paraId="7AA16DB2" w14:textId="4BE00B3B" w:rsidR="0036147F" w:rsidRDefault="0036147F">
      <w:pPr>
        <w:pStyle w:val="TOC2"/>
        <w:rPr>
          <w:rFonts w:asciiTheme="minorHAnsi" w:eastAsiaTheme="minorEastAsia" w:hAnsiTheme="minorHAnsi" w:cstheme="minorBidi"/>
          <w:noProof/>
          <w:kern w:val="2"/>
          <w:szCs w:val="24"/>
          <w14:ligatures w14:val="standardContextual"/>
        </w:rPr>
      </w:pPr>
      <w:hyperlink w:anchor="_Toc224571230" w:history="1">
        <w:r w:rsidRPr="00BF4D0D">
          <w:rPr>
            <w:rStyle w:val="Hyperlink"/>
            <w:noProof/>
          </w:rPr>
          <w:t>11. ADDITIONAL PROVISIONS</w:t>
        </w:r>
        <w:r>
          <w:rPr>
            <w:noProof/>
            <w:webHidden/>
          </w:rPr>
          <w:tab/>
        </w:r>
        <w:r>
          <w:rPr>
            <w:noProof/>
            <w:webHidden/>
          </w:rPr>
          <w:fldChar w:fldCharType="begin"/>
        </w:r>
        <w:r>
          <w:rPr>
            <w:noProof/>
            <w:webHidden/>
          </w:rPr>
          <w:instrText xml:space="preserve"> PAGEREF _Toc224571230 \h </w:instrText>
        </w:r>
        <w:r>
          <w:rPr>
            <w:noProof/>
            <w:webHidden/>
          </w:rPr>
        </w:r>
        <w:r>
          <w:rPr>
            <w:noProof/>
            <w:webHidden/>
          </w:rPr>
          <w:fldChar w:fldCharType="separate"/>
        </w:r>
        <w:r>
          <w:rPr>
            <w:noProof/>
            <w:webHidden/>
          </w:rPr>
          <w:t>67</w:t>
        </w:r>
        <w:r>
          <w:rPr>
            <w:noProof/>
            <w:webHidden/>
          </w:rPr>
          <w:fldChar w:fldCharType="end"/>
        </w:r>
      </w:hyperlink>
    </w:p>
    <w:p w14:paraId="70E23F59" w14:textId="1DFA49C4" w:rsidR="0008572D" w:rsidRDefault="003616B1" w:rsidP="00E43B4A">
      <w:pPr>
        <w:pStyle w:val="Heading2"/>
      </w:pPr>
      <w:r>
        <w:rPr>
          <w:rFonts w:eastAsia="Calibri" w:cs="Times New Roman"/>
          <w:sz w:val="24"/>
          <w:szCs w:val="22"/>
        </w:rPr>
        <w:fldChar w:fldCharType="end"/>
      </w:r>
      <w:bookmarkStart w:id="2" w:name="_Toc224571219"/>
      <w:r w:rsidR="00D658A4" w:rsidRPr="001F3F42">
        <w:t>ATTACHMENTS</w:t>
      </w:r>
      <w:bookmarkEnd w:id="2"/>
      <w:r w:rsidR="00CF34C8" w:rsidRPr="001F3F42">
        <w:t xml:space="preserve"> </w:t>
      </w:r>
    </w:p>
    <w:p w14:paraId="3D8AD023" w14:textId="3C869E61" w:rsidR="00D658A4" w:rsidRPr="00BC514B" w:rsidRDefault="0008572D" w:rsidP="0008572D">
      <w:r>
        <w:t xml:space="preserve">Attachments are </w:t>
      </w:r>
      <w:r w:rsidR="00E43B4A">
        <w:t xml:space="preserve">incorporated herein and </w:t>
      </w:r>
      <w:r w:rsidR="00CF34C8" w:rsidRPr="001F3F42">
        <w:t>attached as separate document(s)</w:t>
      </w:r>
      <w:r w:rsidR="00E43B4A">
        <w:t>:</w:t>
      </w:r>
    </w:p>
    <w:p w14:paraId="6103E903" w14:textId="046E7CD2" w:rsidR="005E7F9B" w:rsidRDefault="005E7F9B" w:rsidP="005E7F9B">
      <w:pPr>
        <w:numPr>
          <w:ilvl w:val="0"/>
          <w:numId w:val="5"/>
        </w:numPr>
        <w:spacing w:before="240" w:after="240"/>
        <w:ind w:left="360" w:right="720"/>
      </w:pPr>
      <w:r w:rsidRPr="00FE5D24">
        <w:t>Intent to Submit a Proposal</w:t>
      </w:r>
    </w:p>
    <w:p w14:paraId="3FF87874" w14:textId="100AABD3" w:rsidR="005E7F9B" w:rsidRDefault="005E7F9B" w:rsidP="00DB77A8">
      <w:pPr>
        <w:numPr>
          <w:ilvl w:val="0"/>
          <w:numId w:val="5"/>
        </w:numPr>
        <w:spacing w:before="240" w:after="240"/>
        <w:ind w:left="360" w:right="720"/>
      </w:pPr>
      <w:r w:rsidRPr="00FE5D24">
        <w:t>Attachment Checklist</w:t>
      </w:r>
    </w:p>
    <w:p w14:paraId="3D8AD024" w14:textId="18CE570A" w:rsidR="00FE5D24" w:rsidRPr="00FE5D24" w:rsidRDefault="00FE5D24" w:rsidP="00DB77A8">
      <w:pPr>
        <w:numPr>
          <w:ilvl w:val="0"/>
          <w:numId w:val="5"/>
        </w:numPr>
        <w:spacing w:before="240" w:after="240"/>
        <w:ind w:left="360" w:right="720"/>
      </w:pPr>
      <w:r w:rsidRPr="00FE5D24">
        <w:t>Bidder Certification Sheet</w:t>
      </w:r>
    </w:p>
    <w:p w14:paraId="3D8AD025" w14:textId="639839CE" w:rsidR="00FE5D24" w:rsidRPr="00FE5D24" w:rsidRDefault="00FE5D24" w:rsidP="00DB77A8">
      <w:pPr>
        <w:numPr>
          <w:ilvl w:val="0"/>
          <w:numId w:val="5"/>
        </w:numPr>
        <w:spacing w:before="240" w:after="240"/>
        <w:ind w:left="360" w:right="720"/>
      </w:pPr>
      <w:r w:rsidRPr="00FE5D24">
        <w:t xml:space="preserve">Sample </w:t>
      </w:r>
      <w:r w:rsidR="001D2B2B">
        <w:t xml:space="preserve">– Technical </w:t>
      </w:r>
      <w:r w:rsidR="0086591D">
        <w:t>Proposal</w:t>
      </w:r>
      <w:r w:rsidRPr="00FE5D24">
        <w:t xml:space="preserve"> Staffing Labor Hours Worksheet</w:t>
      </w:r>
      <w:r w:rsidR="00BF2B9B">
        <w:t>s</w:t>
      </w:r>
    </w:p>
    <w:p w14:paraId="3D8AD028" w14:textId="77777777" w:rsidR="00FE5D24" w:rsidRDefault="00FE5D24" w:rsidP="00DB77A8">
      <w:pPr>
        <w:numPr>
          <w:ilvl w:val="0"/>
          <w:numId w:val="5"/>
        </w:numPr>
        <w:spacing w:before="240" w:after="240"/>
        <w:ind w:left="360" w:right="720"/>
      </w:pPr>
      <w:r w:rsidRPr="00FE5D24">
        <w:t>Federal Certifications</w:t>
      </w:r>
    </w:p>
    <w:p w14:paraId="3D8AD029" w14:textId="4E2AFC9C" w:rsidR="002E6367" w:rsidRPr="00FE5D24" w:rsidRDefault="002E6367" w:rsidP="00DB77A8">
      <w:pPr>
        <w:numPr>
          <w:ilvl w:val="0"/>
          <w:numId w:val="5"/>
        </w:numPr>
        <w:spacing w:before="240" w:after="240"/>
        <w:ind w:left="360" w:right="720"/>
      </w:pPr>
      <w:r w:rsidRPr="00FE5D24">
        <w:t>Darfur Contracting Act</w:t>
      </w:r>
      <w:r w:rsidR="00BF2B9B">
        <w:t xml:space="preserve"> Certification</w:t>
      </w:r>
      <w:r w:rsidR="001D2B2B">
        <w:t>, and 6a Darfur Contracting Act Certification Supplemental</w:t>
      </w:r>
    </w:p>
    <w:p w14:paraId="4D06C566" w14:textId="5E34C49D" w:rsidR="009B75B7" w:rsidRDefault="009B75B7" w:rsidP="00DB77A8">
      <w:pPr>
        <w:numPr>
          <w:ilvl w:val="0"/>
          <w:numId w:val="5"/>
        </w:numPr>
        <w:spacing w:before="240" w:after="240"/>
        <w:ind w:left="360" w:right="720"/>
      </w:pPr>
      <w:r>
        <w:t>Iran Contracting Act Certification</w:t>
      </w:r>
    </w:p>
    <w:p w14:paraId="3D8AD02A" w14:textId="28AE97EA" w:rsidR="00A70613" w:rsidRPr="00FE5D24" w:rsidRDefault="00A70613" w:rsidP="00DB77A8">
      <w:pPr>
        <w:numPr>
          <w:ilvl w:val="0"/>
          <w:numId w:val="5"/>
        </w:numPr>
        <w:spacing w:before="240" w:after="240"/>
        <w:ind w:left="360" w:right="720"/>
      </w:pPr>
      <w:r>
        <w:t>California Civil Rights Laws Certification</w:t>
      </w:r>
    </w:p>
    <w:p w14:paraId="3D8AD02B" w14:textId="77777777" w:rsidR="00FE5D24" w:rsidRDefault="00FE5D24" w:rsidP="00DB77A8">
      <w:pPr>
        <w:numPr>
          <w:ilvl w:val="0"/>
          <w:numId w:val="5"/>
        </w:numPr>
        <w:spacing w:before="240" w:after="240"/>
        <w:ind w:left="360" w:right="720"/>
      </w:pPr>
      <w:r w:rsidRPr="00FE5D24">
        <w:t>Bidder References</w:t>
      </w:r>
    </w:p>
    <w:p w14:paraId="66DD0B8D" w14:textId="6A350B98" w:rsidR="000F18CF" w:rsidRDefault="000F18CF" w:rsidP="00DB77A8">
      <w:pPr>
        <w:numPr>
          <w:ilvl w:val="0"/>
          <w:numId w:val="5"/>
        </w:numPr>
        <w:spacing w:before="240" w:after="240"/>
        <w:ind w:left="360" w:right="720"/>
      </w:pPr>
      <w:r w:rsidRPr="00FE5D24">
        <w:t xml:space="preserve">California Disabled Veteran Business Enterprise </w:t>
      </w:r>
      <w:r w:rsidR="001D2B2B" w:rsidRPr="00FE5D24">
        <w:t>(DVBE)</w:t>
      </w:r>
      <w:r w:rsidR="001D2B2B">
        <w:t xml:space="preserve"> </w:t>
      </w:r>
      <w:r w:rsidRPr="00FE5D24">
        <w:t>Program Requirements</w:t>
      </w:r>
    </w:p>
    <w:p w14:paraId="3D8AD02C" w14:textId="3AF1BC99" w:rsidR="00FE5D24" w:rsidRPr="00FE5D24" w:rsidRDefault="00FE5D24" w:rsidP="00DB77A8">
      <w:pPr>
        <w:numPr>
          <w:ilvl w:val="0"/>
          <w:numId w:val="5"/>
        </w:numPr>
        <w:spacing w:before="240" w:after="240"/>
        <w:ind w:left="360" w:right="720"/>
      </w:pPr>
      <w:r w:rsidRPr="00FE5D24">
        <w:t xml:space="preserve">Small Business </w:t>
      </w:r>
      <w:r w:rsidR="001C7324">
        <w:t>and Non-Small Business Subcontractor Preferences</w:t>
      </w:r>
    </w:p>
    <w:p w14:paraId="3D8AD02F" w14:textId="77777777" w:rsidR="00FE5D24" w:rsidRPr="00FE5D24" w:rsidRDefault="00FE5D24" w:rsidP="00DB77A8">
      <w:pPr>
        <w:numPr>
          <w:ilvl w:val="0"/>
          <w:numId w:val="5"/>
        </w:numPr>
        <w:spacing w:before="240" w:after="240"/>
        <w:ind w:left="360" w:right="720"/>
      </w:pPr>
      <w:r w:rsidRPr="00FE5D24">
        <w:t>Conflict of Interest and Confidentiality Statement</w:t>
      </w:r>
    </w:p>
    <w:p w14:paraId="3D8AD030" w14:textId="77777777" w:rsidR="00FE5D24" w:rsidRPr="00FE5D24" w:rsidRDefault="00FE5D24" w:rsidP="00DB77A8">
      <w:pPr>
        <w:numPr>
          <w:ilvl w:val="0"/>
          <w:numId w:val="5"/>
        </w:numPr>
        <w:spacing w:before="240" w:after="240"/>
        <w:ind w:left="360" w:right="720"/>
      </w:pPr>
      <w:r w:rsidRPr="00FE5D24">
        <w:t>California Department of Education Computer Security Policy</w:t>
      </w:r>
    </w:p>
    <w:p w14:paraId="3D8AD032" w14:textId="4BA09305" w:rsidR="00BF2B9B" w:rsidRDefault="00FE5D24" w:rsidP="00DB77A8">
      <w:pPr>
        <w:numPr>
          <w:ilvl w:val="0"/>
          <w:numId w:val="5"/>
        </w:numPr>
        <w:spacing w:before="240" w:after="240"/>
        <w:ind w:left="360" w:right="720"/>
      </w:pPr>
      <w:r w:rsidRPr="00FE5D24">
        <w:t>Evaluation Criteria</w:t>
      </w:r>
    </w:p>
    <w:p w14:paraId="3D8AD033" w14:textId="77777777" w:rsidR="00BF2B9B" w:rsidRDefault="00FE5D24" w:rsidP="00DB77A8">
      <w:pPr>
        <w:numPr>
          <w:ilvl w:val="1"/>
          <w:numId w:val="5"/>
        </w:numPr>
        <w:spacing w:before="240" w:after="240"/>
        <w:ind w:left="720" w:right="720"/>
      </w:pPr>
      <w:r w:rsidRPr="00FE5D24">
        <w:lastRenderedPageBreak/>
        <w:t>Phase I</w:t>
      </w:r>
      <w:r w:rsidR="00BF2B9B">
        <w:t xml:space="preserve"> Pre-Evaluation Review – Attachment Checklist,</w:t>
      </w:r>
    </w:p>
    <w:p w14:paraId="3D8AD034" w14:textId="3671ED12" w:rsidR="008E39F4" w:rsidRPr="00E908C4" w:rsidRDefault="00BF2B9B" w:rsidP="00DB77A8">
      <w:pPr>
        <w:numPr>
          <w:ilvl w:val="1"/>
          <w:numId w:val="5"/>
        </w:numPr>
        <w:spacing w:before="240" w:after="240"/>
        <w:ind w:left="720" w:right="720"/>
      </w:pPr>
      <w:r w:rsidRPr="00E908C4">
        <w:t>Phase II Technical Proposal Evaluation,</w:t>
      </w:r>
    </w:p>
    <w:p w14:paraId="69562BC2" w14:textId="39D39F70" w:rsidR="00883AD3" w:rsidRDefault="004C0AF6" w:rsidP="00DB77A8">
      <w:pPr>
        <w:numPr>
          <w:ilvl w:val="1"/>
          <w:numId w:val="5"/>
        </w:numPr>
        <w:spacing w:before="240" w:after="240"/>
        <w:ind w:left="720" w:right="720"/>
      </w:pPr>
      <w:r w:rsidRPr="00E908C4">
        <w:t xml:space="preserve">Phase III </w:t>
      </w:r>
      <w:r w:rsidR="00883AD3">
        <w:t>Technical Evaluation</w:t>
      </w:r>
      <w:r w:rsidRPr="00E908C4">
        <w:t xml:space="preserve"> Interview</w:t>
      </w:r>
      <w:r w:rsidR="001D2B2B" w:rsidRPr="00E908C4">
        <w:t xml:space="preserve">, </w:t>
      </w:r>
      <w:r w:rsidR="00883AD3">
        <w:t>Washington D.C.,</w:t>
      </w:r>
    </w:p>
    <w:p w14:paraId="615A0A2B" w14:textId="080F9AF7" w:rsidR="004C0AF6" w:rsidRPr="00E908C4" w:rsidRDefault="00883AD3" w:rsidP="00DB77A8">
      <w:pPr>
        <w:numPr>
          <w:ilvl w:val="1"/>
          <w:numId w:val="5"/>
        </w:numPr>
        <w:spacing w:before="240" w:after="240"/>
        <w:ind w:left="720" w:right="720"/>
      </w:pPr>
      <w:r>
        <w:t xml:space="preserve">Phase IV Technical Evaluation Interview, SSPI, </w:t>
      </w:r>
      <w:r w:rsidR="001D2B2B" w:rsidRPr="00E908C4">
        <w:t>and</w:t>
      </w:r>
    </w:p>
    <w:p w14:paraId="3D8AD035" w14:textId="52E85782" w:rsidR="00BC514B" w:rsidRPr="00E908C4" w:rsidRDefault="00BF2B9B" w:rsidP="00DB77A8">
      <w:pPr>
        <w:numPr>
          <w:ilvl w:val="1"/>
          <w:numId w:val="5"/>
        </w:numPr>
        <w:spacing w:before="240" w:after="240"/>
        <w:ind w:left="720" w:right="720"/>
      </w:pPr>
      <w:r w:rsidRPr="00E908C4">
        <w:t>Cost Proposal Evaluation</w:t>
      </w:r>
    </w:p>
    <w:p w14:paraId="3D8AD036" w14:textId="77777777" w:rsidR="001D3DF9" w:rsidRDefault="001D3DF9">
      <w:pPr>
        <w:rPr>
          <w:rFonts w:cs="Arial"/>
          <w:sz w:val="18"/>
          <w:szCs w:val="18"/>
        </w:rPr>
      </w:pPr>
      <w:r>
        <w:rPr>
          <w:rFonts w:cs="Arial"/>
          <w:sz w:val="18"/>
          <w:szCs w:val="18"/>
        </w:rPr>
        <w:br w:type="page"/>
      </w:r>
    </w:p>
    <w:p w14:paraId="3D8AD037" w14:textId="6993F1B2" w:rsidR="00951A77" w:rsidRPr="00974EA8" w:rsidRDefault="00E908C4" w:rsidP="00974EA8">
      <w:pPr>
        <w:rPr>
          <w:b/>
          <w:sz w:val="40"/>
        </w:rPr>
      </w:pPr>
      <w:r w:rsidRPr="00E908C4">
        <w:rPr>
          <w:b/>
          <w:sz w:val="40"/>
        </w:rPr>
        <w:lastRenderedPageBreak/>
        <w:t>Federal Liaison Officer</w:t>
      </w:r>
      <w:r w:rsidR="00FE53EB" w:rsidRPr="00E908C4">
        <w:rPr>
          <w:b/>
          <w:sz w:val="40"/>
        </w:rPr>
        <w:t xml:space="preserve"> </w:t>
      </w:r>
      <w:r w:rsidR="008E39F4" w:rsidRPr="00E908C4">
        <w:rPr>
          <w:b/>
          <w:sz w:val="40"/>
        </w:rPr>
        <w:t xml:space="preserve">Request for </w:t>
      </w:r>
      <w:r w:rsidR="008E39F4" w:rsidRPr="00974EA8">
        <w:rPr>
          <w:b/>
          <w:sz w:val="40"/>
        </w:rPr>
        <w:t>Proposals</w:t>
      </w:r>
    </w:p>
    <w:p w14:paraId="3D8AD038" w14:textId="3DC05A0C" w:rsidR="00756A5B" w:rsidRPr="00BC514B" w:rsidRDefault="00756A5B" w:rsidP="00E43B4A">
      <w:pPr>
        <w:pStyle w:val="Heading2"/>
        <w:rPr>
          <w:sz w:val="24"/>
        </w:rPr>
      </w:pPr>
      <w:bookmarkStart w:id="3" w:name="_Toc224571220"/>
      <w:r>
        <w:t>1. PURPOSE</w:t>
      </w:r>
      <w:r w:rsidR="00E80D18">
        <w:t xml:space="preserve"> AND BACKGROUND</w:t>
      </w:r>
      <w:bookmarkEnd w:id="3"/>
    </w:p>
    <w:p w14:paraId="4A4D1DD2" w14:textId="62F9F345" w:rsidR="00E80D18" w:rsidRDefault="00E80D18" w:rsidP="00F67ED5">
      <w:pPr>
        <w:pStyle w:val="Heading3"/>
      </w:pPr>
      <w:r>
        <w:t>PURPOSE</w:t>
      </w:r>
    </w:p>
    <w:p w14:paraId="1B696D6A" w14:textId="45872BC0" w:rsidR="00457DAB" w:rsidRPr="000777A9" w:rsidRDefault="00457DAB" w:rsidP="00457DAB">
      <w:pPr>
        <w:spacing w:after="240"/>
      </w:pPr>
      <w:r>
        <w:t xml:space="preserve">The California </w:t>
      </w:r>
      <w:r w:rsidRPr="000777A9">
        <w:t>Department of Education (CDE), Government Affairs Division (GAD) is seeking proposals from eligible bidders for a Federal Liaison Officer who represents the California Department of Education (CDE) and the State Superintendent of Public Instruction (SSPI) in Washington D.C.</w:t>
      </w:r>
    </w:p>
    <w:p w14:paraId="7E6251C2" w14:textId="79896863" w:rsidR="00457DAB" w:rsidRPr="000777A9" w:rsidRDefault="00457DAB" w:rsidP="00457DAB">
      <w:pPr>
        <w:spacing w:after="240"/>
      </w:pPr>
      <w:r w:rsidRPr="000777A9">
        <w:t xml:space="preserve">The Federal Liaison Officer represents the interests of the CDE and the SSPI in Washington D.C. The Federal Liaison Officer works independently, but under the direction of CDE leadership staff and is responsible for providing analysis and support to the CDE and the SSPI on issues directly affecting public education, advocating on behalf of the CDE and the SSPI with Congress to establish or change education policy and funding, including but not limited to, pre-kindergarten through twelfth grade education, higher education, early education, child nutrition, and other issue areas that complement the mission statement of the CDE, “California will provide a world-class education for all students, from early childhood to adulthood. The Department of Education serves our state by innovating and collaborating with educators, schools, parents, and community partners. Together, as a team, we prepare students to live, work, and thrive in a multicultural, multilingual, and highly connected world. </w:t>
      </w:r>
      <w:proofErr w:type="gramStart"/>
      <w:r w:rsidRPr="000777A9">
        <w:t>”The</w:t>
      </w:r>
      <w:proofErr w:type="gramEnd"/>
      <w:r w:rsidRPr="000777A9">
        <w:t xml:space="preserve"> Federal Liaison Officer works closely with members of the California Congressional Delegation and their staff to address educational needs in California and facilitates ongoing communication of technical information between the CDE and appropriate federal governmental entities. The services will be provided with oversight from the Director of Government Affairs and the Federal Policy Liaison of the CDE in Sacramento, California.</w:t>
      </w:r>
    </w:p>
    <w:p w14:paraId="36973B33" w14:textId="70C2DB41" w:rsidR="00457DAB" w:rsidRPr="000777A9" w:rsidRDefault="00457DAB" w:rsidP="00457DAB">
      <w:pPr>
        <w:spacing w:after="240"/>
        <w:rPr>
          <w:rFonts w:cs="Arial"/>
          <w:szCs w:val="24"/>
        </w:rPr>
      </w:pPr>
      <w:r w:rsidRPr="000777A9">
        <w:rPr>
          <w:rFonts w:cs="Arial"/>
          <w:szCs w:val="24"/>
        </w:rPr>
        <w:t>In accordance with efforts by the State of California to reduce paper waste, information available on the internet will be referenced in this document and will not be appended. All documents referenced are hereby incorporated herein.</w:t>
      </w:r>
    </w:p>
    <w:p w14:paraId="62C6D623" w14:textId="2E76295D" w:rsidR="00457DAB" w:rsidRPr="000777A9" w:rsidRDefault="00457DAB" w:rsidP="00457DAB">
      <w:pPr>
        <w:spacing w:after="240"/>
      </w:pPr>
      <w:r w:rsidRPr="000777A9">
        <w:rPr>
          <w:rFonts w:cs="Arial"/>
        </w:rPr>
        <w:t xml:space="preserve">It is anticipated that the contract start date will begin approximately on January 1, 2027. The actual start date of the contract is contingent upon approval of the agreement by the Department of General Services (DGS). </w:t>
      </w:r>
      <w:r w:rsidRPr="000777A9">
        <w:t xml:space="preserve">The CDE reserves the right to extend the contract for </w:t>
      </w:r>
      <w:r w:rsidR="0036147F">
        <w:t>two</w:t>
      </w:r>
      <w:r w:rsidRPr="000777A9">
        <w:t xml:space="preserve"> additional year</w:t>
      </w:r>
      <w:r w:rsidR="0036147F">
        <w:t xml:space="preserve">s (in </w:t>
      </w:r>
      <w:proofErr w:type="gramStart"/>
      <w:r w:rsidR="0036147F">
        <w:t>one year</w:t>
      </w:r>
      <w:proofErr w:type="gramEnd"/>
      <w:r w:rsidR="0036147F">
        <w:t xml:space="preserve"> increments)</w:t>
      </w:r>
      <w:r w:rsidRPr="000777A9">
        <w:t xml:space="preserve">, specifically, from January 1, </w:t>
      </w:r>
      <w:proofErr w:type="gramStart"/>
      <w:r w:rsidRPr="000777A9">
        <w:t>2029</w:t>
      </w:r>
      <w:proofErr w:type="gramEnd"/>
      <w:r w:rsidRPr="000777A9">
        <w:t xml:space="preserve"> to December 31, 2029</w:t>
      </w:r>
      <w:r w:rsidR="0036147F">
        <w:t xml:space="preserve">, and January 1, </w:t>
      </w:r>
      <w:proofErr w:type="gramStart"/>
      <w:r w:rsidR="0036147F">
        <w:t>2030</w:t>
      </w:r>
      <w:proofErr w:type="gramEnd"/>
      <w:r w:rsidR="0036147F">
        <w:t xml:space="preserve"> to December 31, </w:t>
      </w:r>
      <w:proofErr w:type="gramStart"/>
      <w:r w:rsidR="0036147F">
        <w:t>2030</w:t>
      </w:r>
      <w:proofErr w:type="gramEnd"/>
      <w:r w:rsidR="0036147F">
        <w:t xml:space="preserve"> </w:t>
      </w:r>
      <w:r w:rsidRPr="000777A9">
        <w:t>at the same or lower rates, under the same conditions.</w:t>
      </w:r>
    </w:p>
    <w:p w14:paraId="47B5CF5F" w14:textId="0342BFFE" w:rsidR="006641D9" w:rsidRDefault="006641D9" w:rsidP="006641D9">
      <w:pPr>
        <w:spacing w:after="240"/>
      </w:pPr>
      <w:r w:rsidRPr="000777A9">
        <w:t xml:space="preserve">Award of a contract </w:t>
      </w:r>
      <w:proofErr w:type="gramStart"/>
      <w:r w:rsidRPr="000777A9">
        <w:t>as a result of</w:t>
      </w:r>
      <w:proofErr w:type="gramEnd"/>
      <w:r w:rsidRPr="000777A9">
        <w:t xml:space="preserve"> the </w:t>
      </w:r>
      <w:r w:rsidR="006C6950" w:rsidRPr="000777A9">
        <w:t>Request for Proposals (</w:t>
      </w:r>
      <w:r w:rsidRPr="000777A9">
        <w:t>RFP</w:t>
      </w:r>
      <w:r w:rsidR="006C6950" w:rsidRPr="000777A9">
        <w:t>)</w:t>
      </w:r>
      <w:r w:rsidRPr="000777A9">
        <w:t xml:space="preserve"> shall be contingent on DGS approval, CDE executive approval, funding and program authorization provided </w:t>
      </w:r>
      <w:r w:rsidRPr="00EE2F9F">
        <w:t xml:space="preserve">to and by the CDE. </w:t>
      </w:r>
      <w:r>
        <w:t xml:space="preserve">Funding is described in Section </w:t>
      </w:r>
      <w:r w:rsidR="00E43B4A">
        <w:t>2.4</w:t>
      </w:r>
      <w:r>
        <w:t xml:space="preserve"> of this RFP. </w:t>
      </w:r>
      <w:r w:rsidRPr="00E80D18">
        <w:t>The successful bidder’s Technical and Cost Proposals for the contract will be incorporated into the final contract, which is a public document.</w:t>
      </w:r>
    </w:p>
    <w:p w14:paraId="29F68CE3" w14:textId="311004D2" w:rsidR="00E80D18" w:rsidRDefault="006641D9" w:rsidP="006641D9">
      <w:pPr>
        <w:spacing w:after="240"/>
      </w:pPr>
      <w:r>
        <w:t xml:space="preserve">All proposals and related documents submitted in response to this RFP shall become the property of the State of California. Pursuant to the Public Contract Code and all other applicable laws, all proposals and related documents will be made available in their entirety for public </w:t>
      </w:r>
      <w:r>
        <w:lastRenderedPageBreak/>
        <w:t>inspection and reproduction. Submission of a proposal constitutes acceptance of the terms</w:t>
      </w:r>
      <w:r w:rsidR="00E43B4A">
        <w:t xml:space="preserve"> outlined herein</w:t>
      </w:r>
      <w:r>
        <w:t>.</w:t>
      </w:r>
    </w:p>
    <w:p w14:paraId="6B27F184" w14:textId="77777777" w:rsidR="00E80D18" w:rsidRDefault="00E80D18" w:rsidP="00F67ED5">
      <w:pPr>
        <w:pStyle w:val="Heading3"/>
      </w:pPr>
      <w:r>
        <w:t>BACKGROUND</w:t>
      </w:r>
    </w:p>
    <w:p w14:paraId="3159C86A" w14:textId="2E417B6A" w:rsidR="000777A9" w:rsidRPr="000777A9" w:rsidRDefault="000777A9" w:rsidP="000777A9">
      <w:pPr>
        <w:widowControl w:val="0"/>
        <w:spacing w:after="240"/>
        <w:rPr>
          <w:bCs/>
        </w:rPr>
      </w:pPr>
      <w:r w:rsidRPr="000777A9">
        <w:rPr>
          <w:bCs/>
        </w:rPr>
        <w:t xml:space="preserve">California has the largest and most diverse public school system in the nation. The impact of federal education legislation and federal funding on this system makes it imperative that the CDE maintain direct communications with Congress, the U.S. Department of Education (ED), the U.S. Department of Agriculture (USDA), the US. Department of Labor, and other federal agencies that administer public education programs or funding. California has recently made substantial statutory changes to its assessment, funding, state and local accountability systems. Moving forward, it is imperative federal policies and programs complement the implementation of the State’s system of local control, as outlined in the Local Control Funding Formula and Local Control Accountability Plans. In the immediate future, several federal programs require constant monitoring and immediate action. The potential changes to the Individuals with Disabilities Education Act (IDEA) funding, Title I </w:t>
      </w:r>
      <w:proofErr w:type="gramStart"/>
      <w:r w:rsidRPr="000777A9">
        <w:rPr>
          <w:bCs/>
        </w:rPr>
        <w:t>funding</w:t>
      </w:r>
      <w:proofErr w:type="gramEnd"/>
      <w:r w:rsidRPr="000777A9">
        <w:rPr>
          <w:bCs/>
        </w:rPr>
        <w:t xml:space="preserve">, implementation of </w:t>
      </w:r>
      <w:proofErr w:type="gramStart"/>
      <w:r w:rsidRPr="000777A9">
        <w:rPr>
          <w:bCs/>
        </w:rPr>
        <w:t>the Every</w:t>
      </w:r>
      <w:proofErr w:type="gramEnd"/>
      <w:r w:rsidRPr="000777A9">
        <w:rPr>
          <w:bCs/>
        </w:rPr>
        <w:t xml:space="preserve"> Student Succeeds Act (ESSA), and continuing changes to the U.S. Department of Education and federal funding, are just a few of the current issues of which the CDE has a vested interest. The Federal Liaison Officer will be an integral part of the CDE team offering policy and strategy expertise while ensuring CDE leadership has a seat at the table during these pivotal negotiations, from program development through implementation and beyond.</w:t>
      </w:r>
    </w:p>
    <w:p w14:paraId="3D8AD03B" w14:textId="66FA74A5" w:rsidR="00D22A88" w:rsidRPr="00FE53EB" w:rsidRDefault="00D22A88" w:rsidP="00C44B39">
      <w:pPr>
        <w:pStyle w:val="ListParagraph"/>
        <w:numPr>
          <w:ilvl w:val="0"/>
          <w:numId w:val="46"/>
        </w:numPr>
        <w:spacing w:after="240"/>
        <w:ind w:left="360" w:hanging="360"/>
      </w:pPr>
      <w:r>
        <w:br w:type="page"/>
      </w:r>
    </w:p>
    <w:p w14:paraId="0F4739BF" w14:textId="14C208C7" w:rsidR="00537458" w:rsidRPr="00605C83" w:rsidRDefault="00C55645" w:rsidP="00E43B4A">
      <w:pPr>
        <w:pStyle w:val="Heading2"/>
      </w:pPr>
      <w:bookmarkStart w:id="4" w:name="_Toc224571221"/>
      <w:r>
        <w:lastRenderedPageBreak/>
        <w:t>2</w:t>
      </w:r>
      <w:r w:rsidR="00B32A0B">
        <w:t xml:space="preserve">. </w:t>
      </w:r>
      <w:r w:rsidR="00537458" w:rsidRPr="00605C83">
        <w:t>GENERAL PROPOSAL INFORMATION</w:t>
      </w:r>
      <w:bookmarkEnd w:id="4"/>
    </w:p>
    <w:p w14:paraId="3A7F0325" w14:textId="3226AF4B" w:rsidR="00537458" w:rsidRPr="00BC514B" w:rsidRDefault="00537458" w:rsidP="00F67ED5">
      <w:pPr>
        <w:pStyle w:val="Heading3"/>
        <w:rPr>
          <w:sz w:val="24"/>
        </w:rPr>
      </w:pPr>
      <w:r>
        <w:t>2.1 Bidder Eligibility</w:t>
      </w:r>
    </w:p>
    <w:p w14:paraId="35A8631B" w14:textId="5D83E967" w:rsidR="00537458" w:rsidRPr="00A80331" w:rsidRDefault="00537458" w:rsidP="00537458">
      <w:pPr>
        <w:spacing w:after="240"/>
        <w:rPr>
          <w:rFonts w:cs="Arial"/>
          <w:color w:val="000000"/>
          <w:szCs w:val="24"/>
        </w:rPr>
      </w:pPr>
      <w:r w:rsidRPr="00D14CDD">
        <w:rPr>
          <w:rFonts w:cs="Arial"/>
          <w:color w:val="000000"/>
          <w:szCs w:val="24"/>
        </w:rPr>
        <w:t>Sole proprietorships, partnerships, public or private agencies, unincorporated organizations or associations</w:t>
      </w:r>
      <w:r w:rsidRPr="00A80331">
        <w:rPr>
          <w:rFonts w:cs="Arial"/>
          <w:color w:val="000000"/>
          <w:szCs w:val="24"/>
        </w:rPr>
        <w:t xml:space="preserve"> may submit proposals in response to this RFP. The bidder must be legally constituted and qualified to do business within the State of California. If required by law, any business entity required to be registered with the California Secretary of State must submit a current Certificate of Good Standing issued by the California Secretary of State. </w:t>
      </w:r>
      <w:r w:rsidRPr="00A80331">
        <w:rPr>
          <w:rFonts w:cs="Arial"/>
          <w:szCs w:val="24"/>
        </w:rPr>
        <w:t xml:space="preserve">The required document(s) may be obtained through </w:t>
      </w:r>
      <w:r>
        <w:rPr>
          <w:rFonts w:cs="Arial"/>
          <w:szCs w:val="24"/>
        </w:rPr>
        <w:t xml:space="preserve">the Certification Unit </w:t>
      </w:r>
      <w:r w:rsidR="004C1C79">
        <w:rPr>
          <w:rFonts w:cs="Arial"/>
          <w:szCs w:val="24"/>
        </w:rPr>
        <w:t>by phone at</w:t>
      </w:r>
      <w:r>
        <w:rPr>
          <w:rFonts w:cs="Arial"/>
          <w:szCs w:val="24"/>
        </w:rPr>
        <w:t xml:space="preserve"> 916-</w:t>
      </w:r>
      <w:r w:rsidRPr="00A80331">
        <w:rPr>
          <w:rFonts w:cs="Arial"/>
          <w:szCs w:val="24"/>
        </w:rPr>
        <w:t>657-</w:t>
      </w:r>
      <w:r w:rsidR="00364292">
        <w:rPr>
          <w:rFonts w:cs="Arial"/>
          <w:szCs w:val="24"/>
        </w:rPr>
        <w:t>5448</w:t>
      </w:r>
      <w:r w:rsidRPr="00A80331">
        <w:rPr>
          <w:rFonts w:cs="Arial"/>
          <w:szCs w:val="24"/>
        </w:rPr>
        <w:t xml:space="preserve"> or through the </w:t>
      </w:r>
      <w:r>
        <w:rPr>
          <w:rFonts w:cs="Arial"/>
          <w:szCs w:val="24"/>
        </w:rPr>
        <w:t>California Secretary of State</w:t>
      </w:r>
      <w:r w:rsidR="004C1C79">
        <w:rPr>
          <w:rFonts w:cs="Arial"/>
          <w:szCs w:val="24"/>
        </w:rPr>
        <w:t>, Business Entities Records Request</w:t>
      </w:r>
      <w:r w:rsidRPr="00A80331">
        <w:rPr>
          <w:rFonts w:cs="Arial"/>
          <w:szCs w:val="24"/>
        </w:rPr>
        <w:t xml:space="preserve"> web</w:t>
      </w:r>
      <w:r w:rsidR="004C1C79">
        <w:rPr>
          <w:rFonts w:cs="Arial"/>
          <w:szCs w:val="24"/>
        </w:rPr>
        <w:t xml:space="preserve"> page</w:t>
      </w:r>
      <w:r w:rsidRPr="00A80331">
        <w:rPr>
          <w:rFonts w:cs="Arial"/>
          <w:szCs w:val="24"/>
        </w:rPr>
        <w:t xml:space="preserve"> </w:t>
      </w:r>
      <w:hyperlink r:id="rId9" w:tooltip="California Secretary of State website" w:history="1">
        <w:r w:rsidRPr="00A80331">
          <w:rPr>
            <w:rStyle w:val="Hyperlink"/>
            <w:rFonts w:cs="Arial"/>
            <w:szCs w:val="24"/>
          </w:rPr>
          <w:t>https://www.sos.ca.gov/business-programs/business-entities/information-requests/</w:t>
        </w:r>
      </w:hyperlink>
      <w:r w:rsidRPr="00A80331">
        <w:rPr>
          <w:rFonts w:cs="Arial"/>
          <w:szCs w:val="24"/>
        </w:rPr>
        <w:t>.</w:t>
      </w:r>
    </w:p>
    <w:p w14:paraId="17EED349" w14:textId="4724769D" w:rsidR="00537458" w:rsidRPr="00A80331" w:rsidRDefault="00537458" w:rsidP="00537458">
      <w:pPr>
        <w:autoSpaceDE w:val="0"/>
        <w:autoSpaceDN w:val="0"/>
        <w:adjustRightInd w:val="0"/>
        <w:spacing w:after="240"/>
        <w:rPr>
          <w:rFonts w:cs="Arial"/>
          <w:color w:val="000000"/>
          <w:szCs w:val="24"/>
        </w:rPr>
      </w:pPr>
      <w:r w:rsidRPr="00A80331">
        <w:rPr>
          <w:rFonts w:cs="Arial"/>
          <w:color w:val="000000"/>
          <w:szCs w:val="24"/>
        </w:rPr>
        <w:t>Note: Allow sufficient time to obtain the certificate from the California Secretary of State.</w:t>
      </w:r>
    </w:p>
    <w:p w14:paraId="402C4E24" w14:textId="1C2B6092" w:rsidR="00537458" w:rsidRPr="00A80331" w:rsidRDefault="00537458" w:rsidP="00537458">
      <w:pPr>
        <w:tabs>
          <w:tab w:val="left" w:pos="720"/>
        </w:tabs>
        <w:spacing w:after="240"/>
        <w:rPr>
          <w:rFonts w:cs="Arial"/>
          <w:szCs w:val="24"/>
        </w:rPr>
      </w:pPr>
      <w:r w:rsidRPr="00A80331">
        <w:rPr>
          <w:rFonts w:cs="Arial"/>
          <w:color w:val="000000"/>
          <w:szCs w:val="24"/>
        </w:rPr>
        <w:t xml:space="preserve">If the bidder’s legal status does not require a filing or registration with the California Secretary of State, a separate paragraph in the Technical Proposal must clearly state the bidder’s legal status and evidence that it is legally constituted and qualified to do business with the State of California. </w:t>
      </w:r>
      <w:proofErr w:type="gramStart"/>
      <w:r w:rsidRPr="00A80331">
        <w:rPr>
          <w:rFonts w:cs="Arial"/>
          <w:color w:val="000000"/>
          <w:szCs w:val="24"/>
        </w:rPr>
        <w:t>With the exception of</w:t>
      </w:r>
      <w:proofErr w:type="gramEnd"/>
      <w:r w:rsidRPr="00A80331">
        <w:rPr>
          <w:rFonts w:cs="Arial"/>
          <w:color w:val="000000"/>
          <w:szCs w:val="24"/>
        </w:rPr>
        <w:t xml:space="preserve"> organizations whose legal status precludes incorporation (i.e., public agencies, sole proprietorships, partnerships) bidders that are not fully incorporated by the deadline for submitting proposals will be disqualified.</w:t>
      </w:r>
    </w:p>
    <w:p w14:paraId="7EBEA4E0" w14:textId="485B2511" w:rsidR="00537458" w:rsidRDefault="00537458" w:rsidP="00537458">
      <w:pPr>
        <w:tabs>
          <w:tab w:val="left" w:pos="720"/>
        </w:tabs>
        <w:spacing w:after="240"/>
      </w:pPr>
      <w:r w:rsidRPr="00A80331">
        <w:rPr>
          <w:rFonts w:cs="Arial"/>
          <w:szCs w:val="24"/>
        </w:rPr>
        <w:t xml:space="preserve">The bidder responding to this RFP must serve as the Prime Contractor and will be the </w:t>
      </w:r>
      <w:r w:rsidR="00EC56E2">
        <w:rPr>
          <w:rFonts w:cs="Arial"/>
          <w:szCs w:val="24"/>
        </w:rPr>
        <w:t xml:space="preserve">entity </w:t>
      </w:r>
      <w:r w:rsidRPr="00A80331">
        <w:rPr>
          <w:rFonts w:cs="Arial"/>
          <w:szCs w:val="24"/>
        </w:rPr>
        <w:t xml:space="preserve">responsible </w:t>
      </w:r>
      <w:r w:rsidR="00EC56E2">
        <w:rPr>
          <w:rFonts w:cs="Arial"/>
          <w:szCs w:val="24"/>
        </w:rPr>
        <w:t>for</w:t>
      </w:r>
      <w:r w:rsidRPr="00A80331">
        <w:rPr>
          <w:rFonts w:cs="Arial"/>
          <w:szCs w:val="24"/>
        </w:rPr>
        <w:t xml:space="preserve"> ensuring that all tasks and activities are competently and successfully completed. In the event the bidder is subcontracting more than 25 percent to any one subcontractor, then that subcontractor must also meet the minimum qualifications listed in Section </w:t>
      </w:r>
      <w:r w:rsidR="00A40EF1">
        <w:rPr>
          <w:rFonts w:cs="Arial"/>
          <w:szCs w:val="24"/>
        </w:rPr>
        <w:t>2</w:t>
      </w:r>
      <w:r w:rsidRPr="00A80331">
        <w:rPr>
          <w:rFonts w:cs="Arial"/>
          <w:szCs w:val="24"/>
        </w:rPr>
        <w:t xml:space="preserve">.2 below. </w:t>
      </w:r>
      <w:r>
        <w:t>(Refer to RFP</w:t>
      </w:r>
      <w:r w:rsidRPr="00E85B4A">
        <w:t xml:space="preserve"> </w:t>
      </w:r>
      <w:r>
        <w:t xml:space="preserve">– Section </w:t>
      </w:r>
      <w:r w:rsidR="00A40EF1">
        <w:t>2</w:t>
      </w:r>
      <w:r>
        <w:t>.8 for the definition of “Prime Contractor”</w:t>
      </w:r>
      <w:r w:rsidRPr="004C3DC3">
        <w:t>.</w:t>
      </w:r>
      <w:r>
        <w:t>)</w:t>
      </w:r>
    </w:p>
    <w:p w14:paraId="29666720" w14:textId="67F4D6DA" w:rsidR="004C287D" w:rsidRDefault="004C287D" w:rsidP="004C287D">
      <w:pPr>
        <w:pStyle w:val="Heading4"/>
      </w:pPr>
      <w:bookmarkStart w:id="5" w:name="_Hlk115883852"/>
      <w:r>
        <w:t xml:space="preserve">2.1.1 </w:t>
      </w:r>
      <w:r w:rsidR="007813DC">
        <w:t xml:space="preserve">Targets of Economic Sanctions; </w:t>
      </w:r>
      <w:r>
        <w:t>Executive Order N-6-22 – Russia Sanctions</w:t>
      </w:r>
    </w:p>
    <w:p w14:paraId="77C00AB8" w14:textId="542281AD" w:rsidR="004C287D" w:rsidRPr="004C287D" w:rsidRDefault="004C287D" w:rsidP="004C287D">
      <w:pPr>
        <w:rPr>
          <w:sz w:val="28"/>
        </w:rPr>
      </w:pPr>
      <w:r w:rsidRPr="004C287D">
        <w:rPr>
          <w:szCs w:val="23"/>
        </w:rPr>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By submitting a bid or proposal, Contractor represents that it is not a target of Economic Sanctions. Should the State determine Contractor is a target of Economic Sanctions or </w:t>
      </w:r>
      <w:proofErr w:type="gramStart"/>
      <w:r w:rsidRPr="004C287D">
        <w:rPr>
          <w:szCs w:val="23"/>
        </w:rPr>
        <w:t>is conducting</w:t>
      </w:r>
      <w:proofErr w:type="gramEnd"/>
      <w:r w:rsidRPr="004C287D">
        <w:rPr>
          <w:szCs w:val="23"/>
        </w:rPr>
        <w:t xml:space="preserve"> prohibited transactions with sanctioned individuals or entities, that shall be grounds for rejection of the Contractor’s bid/proposal any time prior to contract execution, or, if determined after contract execution, shall be grounds for </w:t>
      </w:r>
      <w:bookmarkEnd w:id="5"/>
      <w:r w:rsidRPr="004C287D">
        <w:rPr>
          <w:szCs w:val="23"/>
        </w:rPr>
        <w:t>termination by the State.</w:t>
      </w:r>
    </w:p>
    <w:p w14:paraId="72C8117E" w14:textId="07E692FE" w:rsidR="00537458" w:rsidRPr="00BC514B" w:rsidRDefault="00537458" w:rsidP="00F67ED5">
      <w:pPr>
        <w:pStyle w:val="Heading3"/>
        <w:rPr>
          <w:sz w:val="24"/>
        </w:rPr>
      </w:pPr>
      <w:r>
        <w:t xml:space="preserve">2.2 </w:t>
      </w:r>
      <w:r w:rsidRPr="00F02100">
        <w:t>Minimum Qualifications for Bidders</w:t>
      </w:r>
    </w:p>
    <w:p w14:paraId="0054132D" w14:textId="32A0A58A" w:rsidR="00537458" w:rsidRDefault="00537458" w:rsidP="00537458">
      <w:pPr>
        <w:spacing w:after="240"/>
        <w:rPr>
          <w:rFonts w:cs="Arial"/>
          <w:szCs w:val="24"/>
        </w:rPr>
      </w:pPr>
      <w:r>
        <w:rPr>
          <w:rFonts w:cs="Arial"/>
          <w:szCs w:val="24"/>
        </w:rPr>
        <w:t>The bidder responding to this RFP must serve as the Prime Contractor and therefore must meet the Minimum Qualification</w:t>
      </w:r>
      <w:r w:rsidR="006C6950">
        <w:rPr>
          <w:rFonts w:cs="Arial"/>
          <w:szCs w:val="24"/>
        </w:rPr>
        <w:t>s</w:t>
      </w:r>
      <w:r>
        <w:rPr>
          <w:rFonts w:cs="Arial"/>
          <w:szCs w:val="24"/>
        </w:rPr>
        <w:t xml:space="preserve"> for Bidders as stated in this section. The Prime Contractor must have the experience and qualifications to provide oversight to all proposed subcontractors and review and approve work products created by all proposed subcontractors.</w:t>
      </w:r>
    </w:p>
    <w:p w14:paraId="34705753" w14:textId="3FD94F5B" w:rsidR="00537458" w:rsidRPr="000777A9" w:rsidRDefault="00537458" w:rsidP="00537458">
      <w:pPr>
        <w:spacing w:after="240"/>
        <w:rPr>
          <w:rFonts w:cs="Arial"/>
          <w:szCs w:val="24"/>
        </w:rPr>
      </w:pPr>
      <w:r w:rsidRPr="00A80331">
        <w:rPr>
          <w:rFonts w:cs="Arial"/>
          <w:szCs w:val="24"/>
        </w:rPr>
        <w:lastRenderedPageBreak/>
        <w:t xml:space="preserve">Bidders </w:t>
      </w:r>
      <w:r w:rsidRPr="000777A9">
        <w:rPr>
          <w:rFonts w:cs="Arial"/>
          <w:szCs w:val="24"/>
        </w:rPr>
        <w:t xml:space="preserve">must have a minimum of </w:t>
      </w:r>
      <w:r w:rsidR="000777A9" w:rsidRPr="000777A9">
        <w:rPr>
          <w:rFonts w:cs="Arial"/>
          <w:szCs w:val="24"/>
        </w:rPr>
        <w:t>seven</w:t>
      </w:r>
      <w:r w:rsidRPr="000777A9">
        <w:rPr>
          <w:rFonts w:cs="Arial"/>
          <w:szCs w:val="24"/>
        </w:rPr>
        <w:t xml:space="preserve"> years (within the last </w:t>
      </w:r>
      <w:r w:rsidR="000777A9" w:rsidRPr="000777A9">
        <w:rPr>
          <w:rFonts w:cs="Arial"/>
          <w:szCs w:val="24"/>
        </w:rPr>
        <w:t>ten</w:t>
      </w:r>
      <w:r w:rsidRPr="000777A9">
        <w:rPr>
          <w:rFonts w:cs="Arial"/>
          <w:szCs w:val="24"/>
        </w:rPr>
        <w:t xml:space="preserve"> years) of recent full-time experience in:</w:t>
      </w:r>
    </w:p>
    <w:p w14:paraId="371C04FC" w14:textId="77777777" w:rsidR="000777A9" w:rsidRPr="000777A9" w:rsidRDefault="000777A9" w:rsidP="000777A9">
      <w:pPr>
        <w:pStyle w:val="ListParagraph"/>
        <w:numPr>
          <w:ilvl w:val="0"/>
          <w:numId w:val="56"/>
        </w:numPr>
        <w:spacing w:after="240"/>
        <w:ind w:left="720"/>
      </w:pPr>
      <w:r w:rsidRPr="000777A9">
        <w:t>Establishing good working relationships with Members of Congress and their staffs on a bipartisan basis, Committee staffs in the U.S. Senate and U.S. House of Representatives on a bipartisan basis, and Federal agencies.</w:t>
      </w:r>
    </w:p>
    <w:p w14:paraId="48F8053F" w14:textId="77777777" w:rsidR="000777A9" w:rsidRPr="000777A9" w:rsidRDefault="000777A9" w:rsidP="000777A9">
      <w:pPr>
        <w:pStyle w:val="ListParagraph"/>
        <w:numPr>
          <w:ilvl w:val="0"/>
          <w:numId w:val="56"/>
        </w:numPr>
        <w:spacing w:after="240"/>
        <w:ind w:left="720"/>
      </w:pPr>
      <w:r w:rsidRPr="000777A9">
        <w:t>Drafting, monitoring, and amending legislation and/or regulations.</w:t>
      </w:r>
    </w:p>
    <w:p w14:paraId="6DEE2996" w14:textId="77777777" w:rsidR="000777A9" w:rsidRPr="000777A9" w:rsidRDefault="000777A9" w:rsidP="000777A9">
      <w:pPr>
        <w:pStyle w:val="ListParagraph"/>
        <w:numPr>
          <w:ilvl w:val="0"/>
          <w:numId w:val="56"/>
        </w:numPr>
        <w:spacing w:after="240"/>
        <w:ind w:left="720"/>
      </w:pPr>
      <w:r w:rsidRPr="000777A9">
        <w:t>Thorough knowledge of the Congressional legislative, budgeting, and appropriations processes.</w:t>
      </w:r>
    </w:p>
    <w:p w14:paraId="7FC169F9" w14:textId="50D930BC" w:rsidR="00537458" w:rsidRDefault="000777A9" w:rsidP="000777A9">
      <w:pPr>
        <w:pStyle w:val="ListParagraph"/>
        <w:numPr>
          <w:ilvl w:val="0"/>
          <w:numId w:val="56"/>
        </w:numPr>
        <w:spacing w:after="240"/>
        <w:ind w:left="720"/>
      </w:pPr>
      <w:r w:rsidRPr="000777A9">
        <w:t>Experience in coalition building and participation at the federal/national level.</w:t>
      </w:r>
    </w:p>
    <w:p w14:paraId="224041E0" w14:textId="4A4863BC" w:rsidR="003915B8" w:rsidRPr="000777A9" w:rsidRDefault="003915B8" w:rsidP="000777A9">
      <w:pPr>
        <w:pStyle w:val="ListParagraph"/>
        <w:numPr>
          <w:ilvl w:val="0"/>
          <w:numId w:val="56"/>
        </w:numPr>
        <w:spacing w:after="240"/>
        <w:ind w:left="720"/>
      </w:pPr>
      <w:r>
        <w:t>Thorough knowledge of education and nutrition law and policy.</w:t>
      </w:r>
    </w:p>
    <w:p w14:paraId="3A0B7057" w14:textId="222AE2A5" w:rsidR="00537458" w:rsidRPr="000777A9" w:rsidRDefault="00537458" w:rsidP="00537458">
      <w:r w:rsidRPr="000777A9">
        <w:t xml:space="preserve">Refer to RFP Section </w:t>
      </w:r>
      <w:r w:rsidR="00A40EF1" w:rsidRPr="000777A9">
        <w:t>3</w:t>
      </w:r>
      <w:r w:rsidRPr="000777A9">
        <w:t>.1 Technical Proposal Requirements for additional information pertaining to personnel requirements.</w:t>
      </w:r>
    </w:p>
    <w:p w14:paraId="63E19AC9" w14:textId="77777777" w:rsidR="00537458" w:rsidRPr="000D0658" w:rsidRDefault="00537458" w:rsidP="00537458">
      <w:r>
        <w:br w:type="page"/>
      </w:r>
    </w:p>
    <w:p w14:paraId="60FC0169" w14:textId="640571E6" w:rsidR="00537458" w:rsidRPr="00BC514B" w:rsidRDefault="00537458" w:rsidP="00F67ED5">
      <w:pPr>
        <w:pStyle w:val="Heading3"/>
        <w:rPr>
          <w:sz w:val="24"/>
        </w:rPr>
      </w:pPr>
      <w:r>
        <w:lastRenderedPageBreak/>
        <w:t>2</w:t>
      </w:r>
      <w:r w:rsidRPr="00AA13FF">
        <w:t>.3 RFP Schedule of Events</w:t>
      </w:r>
    </w:p>
    <w:tbl>
      <w:tblPr>
        <w:tblStyle w:val="TableGrid"/>
        <w:tblW w:w="10710" w:type="dxa"/>
        <w:tblLook w:val="01E0" w:firstRow="1" w:lastRow="1" w:firstColumn="1" w:lastColumn="1" w:noHBand="0" w:noVBand="0"/>
        <w:tblDescription w:val="RFP Schedule of Events."/>
      </w:tblPr>
      <w:tblGrid>
        <w:gridCol w:w="5220"/>
        <w:gridCol w:w="5490"/>
      </w:tblGrid>
      <w:tr w:rsidR="00F67ED5" w:rsidRPr="006D49ED" w14:paraId="7675D62C" w14:textId="77777777" w:rsidTr="00597C32">
        <w:trPr>
          <w:cantSplit/>
          <w:trHeight w:val="295"/>
          <w:tblHeader/>
        </w:trPr>
        <w:tc>
          <w:tcPr>
            <w:tcW w:w="5220" w:type="dxa"/>
          </w:tcPr>
          <w:p w14:paraId="4A840CA4" w14:textId="77777777" w:rsidR="00F67ED5" w:rsidRPr="006D49ED" w:rsidRDefault="00F67ED5" w:rsidP="00597C32">
            <w:pPr>
              <w:keepNext/>
              <w:keepLines/>
              <w:spacing w:before="240" w:after="240"/>
              <w:rPr>
                <w:b/>
              </w:rPr>
            </w:pPr>
            <w:r w:rsidRPr="006D49ED">
              <w:rPr>
                <w:b/>
              </w:rPr>
              <w:t>Activity</w:t>
            </w:r>
          </w:p>
        </w:tc>
        <w:tc>
          <w:tcPr>
            <w:tcW w:w="5490" w:type="dxa"/>
          </w:tcPr>
          <w:p w14:paraId="46E5BC4E" w14:textId="77777777" w:rsidR="00F67ED5" w:rsidRPr="006D49ED" w:rsidRDefault="00F67ED5" w:rsidP="00597C32">
            <w:pPr>
              <w:keepNext/>
              <w:keepLines/>
              <w:spacing w:before="240" w:after="240"/>
              <w:rPr>
                <w:b/>
              </w:rPr>
            </w:pPr>
            <w:r w:rsidRPr="006D49ED">
              <w:rPr>
                <w:b/>
              </w:rPr>
              <w:t>Action Date</w:t>
            </w:r>
          </w:p>
        </w:tc>
      </w:tr>
      <w:tr w:rsidR="00F67ED5" w:rsidRPr="006D49ED" w14:paraId="58EA5238" w14:textId="77777777" w:rsidTr="00512280">
        <w:trPr>
          <w:cantSplit/>
          <w:trHeight w:val="279"/>
          <w:tblHeader/>
        </w:trPr>
        <w:tc>
          <w:tcPr>
            <w:tcW w:w="5220" w:type="dxa"/>
            <w:vAlign w:val="center"/>
          </w:tcPr>
          <w:p w14:paraId="21A64E06" w14:textId="77777777" w:rsidR="00F67ED5" w:rsidRPr="00512280" w:rsidRDefault="00F67ED5" w:rsidP="00512280">
            <w:pPr>
              <w:keepNext/>
              <w:keepLines/>
              <w:spacing w:before="240" w:after="240"/>
              <w:rPr>
                <w:b/>
              </w:rPr>
            </w:pPr>
            <w:r w:rsidRPr="00512280">
              <w:t>Request for Proposal Released</w:t>
            </w:r>
          </w:p>
        </w:tc>
        <w:tc>
          <w:tcPr>
            <w:tcW w:w="5490" w:type="dxa"/>
            <w:vAlign w:val="center"/>
          </w:tcPr>
          <w:p w14:paraId="040BEF5C" w14:textId="6B0CF8FF" w:rsidR="00F67ED5" w:rsidRPr="00512280" w:rsidRDefault="000777A9" w:rsidP="00512280">
            <w:pPr>
              <w:keepNext/>
              <w:keepLines/>
              <w:spacing w:before="240" w:after="240"/>
              <w:rPr>
                <w:highlight w:val="lightGray"/>
              </w:rPr>
            </w:pPr>
            <w:r w:rsidRPr="00512280">
              <w:rPr>
                <w:rFonts w:cs="Arial"/>
              </w:rPr>
              <w:t>April 1, 2026</w:t>
            </w:r>
          </w:p>
        </w:tc>
      </w:tr>
      <w:tr w:rsidR="00F67ED5" w:rsidRPr="006D49ED" w14:paraId="29FC3161" w14:textId="77777777" w:rsidTr="00512280">
        <w:trPr>
          <w:cantSplit/>
          <w:trHeight w:val="295"/>
          <w:tblHeader/>
        </w:trPr>
        <w:tc>
          <w:tcPr>
            <w:tcW w:w="5220" w:type="dxa"/>
            <w:vAlign w:val="center"/>
          </w:tcPr>
          <w:p w14:paraId="30611838" w14:textId="17320D26" w:rsidR="00F67ED5" w:rsidRPr="00512280" w:rsidRDefault="00F67ED5" w:rsidP="00512280">
            <w:pPr>
              <w:keepNext/>
              <w:keepLines/>
              <w:spacing w:before="240" w:after="240"/>
              <w:rPr>
                <w:b/>
              </w:rPr>
            </w:pPr>
            <w:r w:rsidRPr="00512280">
              <w:t>Intent to Submit a Proposal</w:t>
            </w:r>
          </w:p>
        </w:tc>
        <w:tc>
          <w:tcPr>
            <w:tcW w:w="5490" w:type="dxa"/>
            <w:vAlign w:val="center"/>
          </w:tcPr>
          <w:p w14:paraId="17EAE913" w14:textId="669E8FF3" w:rsidR="00F67ED5" w:rsidRPr="00512280" w:rsidRDefault="000777A9" w:rsidP="00512280">
            <w:pPr>
              <w:keepNext/>
              <w:keepLines/>
              <w:spacing w:before="240" w:after="240"/>
            </w:pPr>
            <w:r w:rsidRPr="00512280">
              <w:t xml:space="preserve">April 22, </w:t>
            </w:r>
            <w:proofErr w:type="gramStart"/>
            <w:r w:rsidRPr="00512280">
              <w:t>2026</w:t>
            </w:r>
            <w:proofErr w:type="gramEnd"/>
            <w:r w:rsidR="00F67ED5" w:rsidRPr="00512280">
              <w:t xml:space="preserve"> at 5pm</w:t>
            </w:r>
          </w:p>
        </w:tc>
      </w:tr>
      <w:tr w:rsidR="00F67ED5" w:rsidRPr="006D49ED" w14:paraId="6DA0FA7E" w14:textId="77777777" w:rsidTr="00512280">
        <w:trPr>
          <w:cantSplit/>
          <w:trHeight w:val="279"/>
          <w:tblHeader/>
        </w:trPr>
        <w:tc>
          <w:tcPr>
            <w:tcW w:w="5220" w:type="dxa"/>
            <w:vAlign w:val="center"/>
          </w:tcPr>
          <w:p w14:paraId="4AFF27E9" w14:textId="77777777" w:rsidR="00F67ED5" w:rsidRPr="00512280" w:rsidRDefault="00F67ED5" w:rsidP="00512280">
            <w:pPr>
              <w:keepNext/>
              <w:keepLines/>
              <w:spacing w:before="240" w:after="240"/>
              <w:rPr>
                <w:b/>
              </w:rPr>
            </w:pPr>
            <w:r w:rsidRPr="00512280">
              <w:t>Receipt of Questions from Bidders Due</w:t>
            </w:r>
          </w:p>
        </w:tc>
        <w:tc>
          <w:tcPr>
            <w:tcW w:w="5490" w:type="dxa"/>
            <w:vAlign w:val="center"/>
          </w:tcPr>
          <w:p w14:paraId="39AAEF09" w14:textId="24866650" w:rsidR="00F67ED5" w:rsidRPr="00512280" w:rsidRDefault="000777A9" w:rsidP="00512280">
            <w:pPr>
              <w:keepNext/>
              <w:keepLines/>
              <w:spacing w:before="240" w:after="240"/>
            </w:pPr>
            <w:r w:rsidRPr="00512280">
              <w:t xml:space="preserve">April 22, </w:t>
            </w:r>
            <w:proofErr w:type="gramStart"/>
            <w:r w:rsidRPr="00512280">
              <w:t>2026</w:t>
            </w:r>
            <w:proofErr w:type="gramEnd"/>
            <w:r w:rsidR="00F67ED5" w:rsidRPr="00512280">
              <w:t xml:space="preserve"> at 5pm</w:t>
            </w:r>
          </w:p>
        </w:tc>
      </w:tr>
      <w:tr w:rsidR="00F67ED5" w:rsidRPr="006D49ED" w14:paraId="20FA8A97" w14:textId="77777777" w:rsidTr="00512280">
        <w:trPr>
          <w:cantSplit/>
          <w:trHeight w:val="295"/>
          <w:tblHeader/>
        </w:trPr>
        <w:tc>
          <w:tcPr>
            <w:tcW w:w="5220" w:type="dxa"/>
            <w:vAlign w:val="center"/>
          </w:tcPr>
          <w:p w14:paraId="53B6A5E3" w14:textId="77777777" w:rsidR="00F67ED5" w:rsidRPr="00512280" w:rsidRDefault="00F67ED5" w:rsidP="00512280">
            <w:pPr>
              <w:keepNext/>
              <w:keepLines/>
              <w:spacing w:before="240" w:after="240"/>
              <w:rPr>
                <w:b/>
              </w:rPr>
            </w:pPr>
            <w:r w:rsidRPr="00512280">
              <w:t>CDE Response to Questions Received</w:t>
            </w:r>
          </w:p>
        </w:tc>
        <w:tc>
          <w:tcPr>
            <w:tcW w:w="5490" w:type="dxa"/>
            <w:vAlign w:val="center"/>
          </w:tcPr>
          <w:p w14:paraId="2106E7E2" w14:textId="5ABC5669" w:rsidR="00F67ED5" w:rsidRPr="00512280" w:rsidRDefault="000777A9" w:rsidP="00512280">
            <w:pPr>
              <w:keepNext/>
              <w:keepLines/>
              <w:spacing w:before="240" w:after="240"/>
            </w:pPr>
            <w:r w:rsidRPr="00512280">
              <w:t>May 6, 2026</w:t>
            </w:r>
            <w:r w:rsidR="00F67ED5" w:rsidRPr="00512280">
              <w:t xml:space="preserve"> (Tentative)</w:t>
            </w:r>
          </w:p>
        </w:tc>
      </w:tr>
      <w:tr w:rsidR="00F67ED5" w:rsidRPr="006D49ED" w14:paraId="331FE069" w14:textId="77777777" w:rsidTr="00512280">
        <w:trPr>
          <w:cantSplit/>
          <w:trHeight w:val="295"/>
          <w:tblHeader/>
        </w:trPr>
        <w:tc>
          <w:tcPr>
            <w:tcW w:w="5220" w:type="dxa"/>
            <w:vAlign w:val="center"/>
          </w:tcPr>
          <w:p w14:paraId="46A39341" w14:textId="6D7DBE18" w:rsidR="00F67ED5" w:rsidRPr="00512280" w:rsidRDefault="00F67ED5" w:rsidP="00512280">
            <w:pPr>
              <w:keepNext/>
              <w:keepLines/>
              <w:spacing w:before="240" w:after="240"/>
              <w:rPr>
                <w:b/>
              </w:rPr>
            </w:pPr>
            <w:r w:rsidRPr="00512280">
              <w:t>Proposals Due</w:t>
            </w:r>
          </w:p>
        </w:tc>
        <w:tc>
          <w:tcPr>
            <w:tcW w:w="5490" w:type="dxa"/>
            <w:vAlign w:val="center"/>
          </w:tcPr>
          <w:p w14:paraId="0C54FAA2" w14:textId="1C4F902B" w:rsidR="00F67ED5" w:rsidRPr="00512280" w:rsidRDefault="00F67ED5" w:rsidP="00512280">
            <w:pPr>
              <w:keepNext/>
              <w:keepLines/>
              <w:spacing w:before="240" w:after="240"/>
            </w:pPr>
            <w:r w:rsidRPr="00512280">
              <w:t>J</w:t>
            </w:r>
            <w:r w:rsidR="000777A9" w:rsidRPr="00512280">
              <w:t xml:space="preserve">une 10, </w:t>
            </w:r>
            <w:proofErr w:type="gramStart"/>
            <w:r w:rsidR="000777A9" w:rsidRPr="00512280">
              <w:t>2026</w:t>
            </w:r>
            <w:proofErr w:type="gramEnd"/>
            <w:r w:rsidRPr="00512280">
              <w:t xml:space="preserve"> at 12pm</w:t>
            </w:r>
          </w:p>
        </w:tc>
      </w:tr>
      <w:tr w:rsidR="00F67ED5" w:rsidRPr="006D49ED" w14:paraId="7A8DCF94" w14:textId="77777777" w:rsidTr="00947E21">
        <w:trPr>
          <w:cantSplit/>
          <w:trHeight w:val="872"/>
          <w:tblHeader/>
        </w:trPr>
        <w:tc>
          <w:tcPr>
            <w:tcW w:w="5220" w:type="dxa"/>
            <w:vAlign w:val="center"/>
          </w:tcPr>
          <w:p w14:paraId="68F0E187" w14:textId="6F64433A" w:rsidR="00F67ED5" w:rsidRPr="00512280" w:rsidRDefault="000777A9" w:rsidP="00512280">
            <w:pPr>
              <w:keepNext/>
              <w:keepLines/>
              <w:spacing w:before="240" w:after="240"/>
              <w:rPr>
                <w:b/>
              </w:rPr>
            </w:pPr>
            <w:r w:rsidRPr="00512280">
              <w:t xml:space="preserve">Phase II: Technical </w:t>
            </w:r>
            <w:r w:rsidR="00512280">
              <w:t xml:space="preserve">Proposal </w:t>
            </w:r>
            <w:r w:rsidRPr="00512280">
              <w:t>Evaluation</w:t>
            </w:r>
          </w:p>
        </w:tc>
        <w:tc>
          <w:tcPr>
            <w:tcW w:w="5490" w:type="dxa"/>
            <w:vAlign w:val="center"/>
          </w:tcPr>
          <w:p w14:paraId="7C08D985" w14:textId="539ECD53" w:rsidR="00F67ED5" w:rsidRPr="00512280" w:rsidRDefault="000777A9" w:rsidP="00512280">
            <w:pPr>
              <w:keepNext/>
              <w:keepLines/>
              <w:spacing w:before="240" w:after="240"/>
            </w:pPr>
            <w:r w:rsidRPr="00512280">
              <w:t>June 29 – July 3, 2026</w:t>
            </w:r>
            <w:r w:rsidR="00F67ED5" w:rsidRPr="00512280">
              <w:t xml:space="preserve"> (Tentative)</w:t>
            </w:r>
          </w:p>
        </w:tc>
      </w:tr>
      <w:tr w:rsidR="00F67ED5" w:rsidRPr="004C0AF6" w14:paraId="715245B6" w14:textId="77777777" w:rsidTr="00512280">
        <w:trPr>
          <w:cantSplit/>
          <w:trHeight w:val="881"/>
          <w:tblHeader/>
        </w:trPr>
        <w:tc>
          <w:tcPr>
            <w:tcW w:w="5220" w:type="dxa"/>
            <w:vAlign w:val="center"/>
          </w:tcPr>
          <w:p w14:paraId="2D61622B" w14:textId="17AF32A4" w:rsidR="00F67ED5" w:rsidRPr="00512280" w:rsidRDefault="000777A9" w:rsidP="00512280">
            <w:pPr>
              <w:keepNext/>
              <w:keepLines/>
              <w:spacing w:before="240" w:after="240"/>
            </w:pPr>
            <w:r w:rsidRPr="00512280">
              <w:t>Phase III: Technical Evaluation Interview, Washington D.C.</w:t>
            </w:r>
          </w:p>
        </w:tc>
        <w:tc>
          <w:tcPr>
            <w:tcW w:w="5490" w:type="dxa"/>
            <w:vAlign w:val="center"/>
          </w:tcPr>
          <w:p w14:paraId="0BFFD9C6" w14:textId="0DB34C65" w:rsidR="00F67ED5" w:rsidRPr="00512280" w:rsidRDefault="000777A9" w:rsidP="00512280">
            <w:pPr>
              <w:keepNext/>
              <w:keepLines/>
              <w:spacing w:before="240" w:after="240"/>
            </w:pPr>
            <w:r w:rsidRPr="00512280">
              <w:t>July 20 – 24, 2026 (Tentative)</w:t>
            </w:r>
          </w:p>
        </w:tc>
      </w:tr>
      <w:tr w:rsidR="000777A9" w:rsidRPr="004C0AF6" w14:paraId="1AD53FFF" w14:textId="77777777" w:rsidTr="00947E21">
        <w:trPr>
          <w:cantSplit/>
          <w:trHeight w:val="908"/>
          <w:tblHeader/>
        </w:trPr>
        <w:tc>
          <w:tcPr>
            <w:tcW w:w="5220" w:type="dxa"/>
            <w:vAlign w:val="center"/>
          </w:tcPr>
          <w:p w14:paraId="65C6C105" w14:textId="257E6D0A" w:rsidR="000777A9" w:rsidRPr="00512280" w:rsidRDefault="000777A9" w:rsidP="00512280">
            <w:pPr>
              <w:keepNext/>
              <w:keepLines/>
              <w:spacing w:before="240" w:after="240"/>
            </w:pPr>
            <w:r w:rsidRPr="00512280">
              <w:t>Phase IV: Technical Evaluation Interview, SSPI</w:t>
            </w:r>
          </w:p>
        </w:tc>
        <w:tc>
          <w:tcPr>
            <w:tcW w:w="5490" w:type="dxa"/>
            <w:vAlign w:val="center"/>
          </w:tcPr>
          <w:p w14:paraId="14E7C74B" w14:textId="7ACDF309" w:rsidR="000777A9" w:rsidRPr="00512280" w:rsidRDefault="00512280" w:rsidP="00512280">
            <w:pPr>
              <w:keepNext/>
              <w:keepLines/>
              <w:spacing w:before="240" w:after="240"/>
            </w:pPr>
            <w:r w:rsidRPr="00512280">
              <w:t>July 27 – 31, 2026 (Tentative)</w:t>
            </w:r>
          </w:p>
        </w:tc>
      </w:tr>
      <w:tr w:rsidR="00F67ED5" w:rsidRPr="006D49ED" w14:paraId="5150C06A" w14:textId="77777777" w:rsidTr="00512280">
        <w:trPr>
          <w:cantSplit/>
          <w:trHeight w:val="279"/>
          <w:tblHeader/>
        </w:trPr>
        <w:tc>
          <w:tcPr>
            <w:tcW w:w="5220" w:type="dxa"/>
            <w:vAlign w:val="center"/>
          </w:tcPr>
          <w:p w14:paraId="7C494D93" w14:textId="77777777" w:rsidR="00F67ED5" w:rsidRPr="00512280" w:rsidRDefault="00F67ED5" w:rsidP="00512280">
            <w:pPr>
              <w:keepNext/>
              <w:keepLines/>
              <w:spacing w:before="240" w:after="240"/>
            </w:pPr>
            <w:r w:rsidRPr="00512280">
              <w:t>Public Opening of Cost Proposal</w:t>
            </w:r>
          </w:p>
        </w:tc>
        <w:tc>
          <w:tcPr>
            <w:tcW w:w="5490" w:type="dxa"/>
            <w:vAlign w:val="center"/>
          </w:tcPr>
          <w:p w14:paraId="2332075A" w14:textId="4288C97E" w:rsidR="00F67ED5" w:rsidRPr="00512280" w:rsidRDefault="00512280" w:rsidP="00512280">
            <w:pPr>
              <w:keepNext/>
              <w:keepLines/>
              <w:spacing w:before="240" w:after="240"/>
            </w:pPr>
            <w:r w:rsidRPr="00512280">
              <w:t xml:space="preserve">August 12, </w:t>
            </w:r>
            <w:proofErr w:type="gramStart"/>
            <w:r w:rsidR="00F71EC3">
              <w:t>2</w:t>
            </w:r>
            <w:r w:rsidRPr="00512280">
              <w:t>0</w:t>
            </w:r>
            <w:r w:rsidR="00F71EC3">
              <w:t>2</w:t>
            </w:r>
            <w:r w:rsidRPr="00512280">
              <w:t>6</w:t>
            </w:r>
            <w:proofErr w:type="gramEnd"/>
            <w:r w:rsidR="00F67ED5" w:rsidRPr="00512280">
              <w:t xml:space="preserve"> at 10am</w:t>
            </w:r>
          </w:p>
        </w:tc>
      </w:tr>
      <w:tr w:rsidR="00F67ED5" w:rsidRPr="006D49ED" w14:paraId="3B1D31A7" w14:textId="77777777" w:rsidTr="00512280">
        <w:trPr>
          <w:cantSplit/>
          <w:trHeight w:val="314"/>
          <w:tblHeader/>
        </w:trPr>
        <w:tc>
          <w:tcPr>
            <w:tcW w:w="5220" w:type="dxa"/>
            <w:vAlign w:val="center"/>
          </w:tcPr>
          <w:p w14:paraId="21F28F9B" w14:textId="77777777" w:rsidR="00F67ED5" w:rsidRPr="00512280" w:rsidRDefault="00F67ED5" w:rsidP="00512280">
            <w:pPr>
              <w:keepNext/>
              <w:keepLines/>
              <w:spacing w:before="240" w:after="240"/>
            </w:pPr>
            <w:r w:rsidRPr="00512280">
              <w:t>Posting of Intent to Award (five business days)</w:t>
            </w:r>
          </w:p>
        </w:tc>
        <w:tc>
          <w:tcPr>
            <w:tcW w:w="5490" w:type="dxa"/>
            <w:vAlign w:val="center"/>
          </w:tcPr>
          <w:p w14:paraId="717BF2C4" w14:textId="5734237A" w:rsidR="00F67ED5" w:rsidRPr="00512280" w:rsidRDefault="00512280" w:rsidP="00512280">
            <w:pPr>
              <w:keepNext/>
              <w:keepLines/>
              <w:spacing w:before="240" w:after="240"/>
            </w:pPr>
            <w:r w:rsidRPr="00512280">
              <w:t>August 31 – September 4, 2026</w:t>
            </w:r>
            <w:r w:rsidR="00F67ED5" w:rsidRPr="00512280">
              <w:t xml:space="preserve"> (Tentative)</w:t>
            </w:r>
          </w:p>
        </w:tc>
      </w:tr>
      <w:tr w:rsidR="00F67ED5" w:rsidRPr="006D49ED" w14:paraId="1E34050A" w14:textId="77777777" w:rsidTr="00512280">
        <w:trPr>
          <w:cantSplit/>
          <w:trHeight w:val="602"/>
          <w:tblHeader/>
        </w:trPr>
        <w:tc>
          <w:tcPr>
            <w:tcW w:w="5220" w:type="dxa"/>
            <w:vAlign w:val="center"/>
          </w:tcPr>
          <w:p w14:paraId="6A06B599" w14:textId="77777777" w:rsidR="00F67ED5" w:rsidRPr="00512280" w:rsidRDefault="00F67ED5" w:rsidP="00512280">
            <w:pPr>
              <w:keepNext/>
              <w:keepLines/>
              <w:spacing w:before="240" w:after="240"/>
            </w:pPr>
            <w:r w:rsidRPr="00512280">
              <w:t>Anticipated Contract Start Date</w:t>
            </w:r>
          </w:p>
        </w:tc>
        <w:tc>
          <w:tcPr>
            <w:tcW w:w="5490" w:type="dxa"/>
            <w:vAlign w:val="center"/>
          </w:tcPr>
          <w:p w14:paraId="1E7197EF" w14:textId="745995A4" w:rsidR="00F67ED5" w:rsidRPr="00512280" w:rsidRDefault="00F67ED5" w:rsidP="00512280">
            <w:pPr>
              <w:keepNext/>
              <w:keepLines/>
              <w:spacing w:before="240"/>
            </w:pPr>
            <w:r w:rsidRPr="00512280">
              <w:t>J</w:t>
            </w:r>
            <w:r w:rsidR="00512280" w:rsidRPr="00512280">
              <w:t>anuary 1, 2027</w:t>
            </w:r>
            <w:r w:rsidRPr="00512280">
              <w:t xml:space="preserve">, or </w:t>
            </w:r>
          </w:p>
          <w:p w14:paraId="06DE6E24" w14:textId="77777777" w:rsidR="00F67ED5" w:rsidRPr="00512280" w:rsidRDefault="00F67ED5" w:rsidP="00512280">
            <w:pPr>
              <w:keepNext/>
              <w:keepLines/>
              <w:spacing w:after="240"/>
            </w:pPr>
            <w:r w:rsidRPr="00512280">
              <w:t>upon DGS approval, whichever is later</w:t>
            </w:r>
          </w:p>
        </w:tc>
      </w:tr>
    </w:tbl>
    <w:p w14:paraId="54BF2154" w14:textId="60AE3034" w:rsidR="00537458" w:rsidRPr="00BC514B" w:rsidRDefault="00537458" w:rsidP="00F67ED5">
      <w:pPr>
        <w:pStyle w:val="Heading3"/>
        <w:rPr>
          <w:sz w:val="24"/>
        </w:rPr>
      </w:pPr>
      <w:r>
        <w:t>2</w:t>
      </w:r>
      <w:r w:rsidRPr="005A4AF5">
        <w:t>.4</w:t>
      </w:r>
      <w:r>
        <w:t xml:space="preserve"> </w:t>
      </w:r>
      <w:r w:rsidRPr="002E09E1">
        <w:t>Contract Funding</w:t>
      </w:r>
      <w:r>
        <w:t>, and</w:t>
      </w:r>
      <w:r w:rsidRPr="002E09E1">
        <w:t xml:space="preserve"> </w:t>
      </w:r>
      <w:r>
        <w:t>Time Period</w:t>
      </w:r>
    </w:p>
    <w:p w14:paraId="436E8927" w14:textId="4911391D" w:rsidR="00537458" w:rsidRPr="00B26A00" w:rsidRDefault="00537458" w:rsidP="00537458">
      <w:pPr>
        <w:pStyle w:val="Heading4"/>
      </w:pPr>
      <w:r>
        <w:t>2</w:t>
      </w:r>
      <w:r w:rsidRPr="00B26A00">
        <w:t xml:space="preserve">.4.1 </w:t>
      </w:r>
      <w:r w:rsidR="006E310F" w:rsidRPr="00B26A00">
        <w:t>Funding</w:t>
      </w:r>
    </w:p>
    <w:p w14:paraId="7C350DC1" w14:textId="33939A20" w:rsidR="00537458" w:rsidRPr="006E310F" w:rsidRDefault="00537458" w:rsidP="006E310F">
      <w:pPr>
        <w:spacing w:after="240"/>
        <w:rPr>
          <w:rFonts w:eastAsia="Times New Roman" w:cs="Arial"/>
          <w:szCs w:val="24"/>
        </w:rPr>
      </w:pPr>
      <w:r w:rsidRPr="00152C31">
        <w:rPr>
          <w:rFonts w:eastAsia="Times New Roman" w:cs="Arial"/>
          <w:szCs w:val="24"/>
        </w:rPr>
        <w:t>Contract funding is contingent upon the availability of funds, including appropriation in the annual Budget Act.</w:t>
      </w:r>
    </w:p>
    <w:p w14:paraId="1A5DB19C" w14:textId="7E08906D" w:rsidR="00537458" w:rsidRPr="002C7460" w:rsidRDefault="00537458" w:rsidP="00537458">
      <w:pPr>
        <w:spacing w:after="240"/>
        <w:rPr>
          <w:rFonts w:ascii="&amp;quot" w:eastAsia="Times New Roman" w:hAnsi="&amp;quot"/>
          <w:color w:val="212121"/>
          <w:sz w:val="23"/>
          <w:szCs w:val="23"/>
        </w:rPr>
      </w:pPr>
      <w:r w:rsidRPr="00152C31">
        <w:rPr>
          <w:rFonts w:eastAsia="Times New Roman" w:cs="Arial"/>
          <w:szCs w:val="24"/>
        </w:rPr>
        <w:lastRenderedPageBreak/>
        <w:t>If insufficient funds are appropriated in the annual Budget Act for any portion of the work in this contract, or if any other funds upon which this contract is contingent are reduced or no longer available, CDE may cancel the contract, or portion thereof, with no liability of any kind accruing to or against CDE, it</w:t>
      </w:r>
      <w:r w:rsidR="006C6950">
        <w:rPr>
          <w:rFonts w:eastAsia="Times New Roman" w:cs="Arial"/>
          <w:szCs w:val="24"/>
        </w:rPr>
        <w:t>s</w:t>
      </w:r>
      <w:r w:rsidRPr="00152C31">
        <w:rPr>
          <w:rFonts w:eastAsia="Times New Roman" w:cs="Arial"/>
          <w:szCs w:val="24"/>
        </w:rPr>
        <w:t xml:space="preserve"> employees</w:t>
      </w:r>
      <w:r w:rsidRPr="002C7460">
        <w:rPr>
          <w:rFonts w:eastAsia="Times New Roman" w:cs="Arial"/>
          <w:color w:val="212121"/>
          <w:szCs w:val="24"/>
        </w:rPr>
        <w:t xml:space="preserve">, agents, contractors or representatives. The bidder shall not be obligated to perform any work, or the </w:t>
      </w:r>
      <w:r w:rsidR="006C6950">
        <w:rPr>
          <w:rFonts w:eastAsia="Times New Roman" w:cs="Arial"/>
          <w:color w:val="212121"/>
          <w:szCs w:val="24"/>
        </w:rPr>
        <w:t>c</w:t>
      </w:r>
      <w:r w:rsidRPr="002C7460">
        <w:rPr>
          <w:rFonts w:eastAsia="Times New Roman" w:cs="Arial"/>
          <w:color w:val="212121"/>
          <w:szCs w:val="24"/>
        </w:rPr>
        <w:t>ontract may be amended by CDE and the successful bidder to reflect a reduction of work and the reduced appropriation subject to appropriate government agency approval.</w:t>
      </w:r>
    </w:p>
    <w:p w14:paraId="177367E5" w14:textId="5727B802" w:rsidR="00537458" w:rsidRPr="00BC514B" w:rsidRDefault="00537458" w:rsidP="00537458">
      <w:pPr>
        <w:pStyle w:val="Heading4"/>
      </w:pPr>
      <w:r>
        <w:t xml:space="preserve">2.4.2 </w:t>
      </w:r>
      <w:r w:rsidRPr="008D746E">
        <w:t>Time Period</w:t>
      </w:r>
    </w:p>
    <w:p w14:paraId="416574D6" w14:textId="69C3848B" w:rsidR="00537458" w:rsidRPr="006E310F" w:rsidRDefault="00537458" w:rsidP="00537458">
      <w:pPr>
        <w:widowControl w:val="0"/>
        <w:tabs>
          <w:tab w:val="left" w:pos="-1440"/>
          <w:tab w:val="left" w:pos="1170"/>
        </w:tabs>
        <w:spacing w:before="240" w:after="240"/>
        <w:rPr>
          <w:rFonts w:cs="Arial"/>
          <w:szCs w:val="24"/>
        </w:rPr>
      </w:pPr>
      <w:r w:rsidRPr="00117BF5">
        <w:rPr>
          <w:rFonts w:cs="Arial"/>
          <w:color w:val="000000"/>
          <w:szCs w:val="24"/>
        </w:rPr>
        <w:t xml:space="preserve">It is </w:t>
      </w:r>
      <w:r w:rsidRPr="006E310F">
        <w:rPr>
          <w:rFonts w:cs="Arial"/>
          <w:szCs w:val="24"/>
        </w:rPr>
        <w:t xml:space="preserve">anticipated that the contract start date will begin approximately on </w:t>
      </w:r>
      <w:r w:rsidR="006E310F" w:rsidRPr="006E310F">
        <w:rPr>
          <w:rFonts w:cs="Arial"/>
          <w:szCs w:val="24"/>
        </w:rPr>
        <w:t xml:space="preserve">January 1, </w:t>
      </w:r>
      <w:proofErr w:type="gramStart"/>
      <w:r w:rsidR="006E310F" w:rsidRPr="006E310F">
        <w:rPr>
          <w:rFonts w:cs="Arial"/>
          <w:szCs w:val="24"/>
        </w:rPr>
        <w:t>2027</w:t>
      </w:r>
      <w:proofErr w:type="gramEnd"/>
      <w:r w:rsidRPr="006E310F">
        <w:rPr>
          <w:rFonts w:cs="Arial"/>
          <w:szCs w:val="24"/>
        </w:rPr>
        <w:t xml:space="preserve"> or upon DGS approval (whichever is later) and </w:t>
      </w:r>
      <w:r w:rsidR="005F64AC" w:rsidRPr="006E310F">
        <w:rPr>
          <w:rFonts w:cs="Arial"/>
          <w:szCs w:val="24"/>
        </w:rPr>
        <w:t>contract end date will be</w:t>
      </w:r>
      <w:r w:rsidRPr="006E310F">
        <w:rPr>
          <w:rFonts w:cs="Arial"/>
          <w:szCs w:val="24"/>
        </w:rPr>
        <w:t xml:space="preserve"> on </w:t>
      </w:r>
      <w:r w:rsidR="006E310F" w:rsidRPr="006E310F">
        <w:rPr>
          <w:rFonts w:cs="Arial"/>
          <w:szCs w:val="24"/>
        </w:rPr>
        <w:t>December 31, 2028</w:t>
      </w:r>
      <w:r w:rsidRPr="006E310F">
        <w:rPr>
          <w:rFonts w:cs="Arial"/>
          <w:szCs w:val="24"/>
        </w:rPr>
        <w:t>. The actual start date of the contract is contingent upon approval of the agreement by the DGS.</w:t>
      </w:r>
    </w:p>
    <w:p w14:paraId="6C401BDE" w14:textId="785CB9AE" w:rsidR="00537458" w:rsidRPr="006E310F" w:rsidRDefault="00537458" w:rsidP="00537458">
      <w:pPr>
        <w:widowControl w:val="0"/>
        <w:tabs>
          <w:tab w:val="left" w:pos="-1440"/>
          <w:tab w:val="left" w:pos="1170"/>
        </w:tabs>
        <w:spacing w:before="240" w:after="240"/>
        <w:rPr>
          <w:rFonts w:cs="Arial"/>
          <w:szCs w:val="24"/>
        </w:rPr>
      </w:pPr>
      <w:r w:rsidRPr="006E310F">
        <w:rPr>
          <w:rFonts w:cs="Arial"/>
          <w:szCs w:val="24"/>
        </w:rPr>
        <w:t xml:space="preserve">The contract period covers </w:t>
      </w:r>
      <w:r w:rsidR="005F64AC" w:rsidRPr="006E310F">
        <w:rPr>
          <w:rFonts w:cs="Arial"/>
          <w:szCs w:val="24"/>
        </w:rPr>
        <w:t>three</w:t>
      </w:r>
      <w:r w:rsidRPr="006E310F">
        <w:rPr>
          <w:rFonts w:cs="Arial"/>
          <w:szCs w:val="24"/>
        </w:rPr>
        <w:t xml:space="preserve"> fiscal years, for a total of 2</w:t>
      </w:r>
      <w:r w:rsidR="006E310F">
        <w:rPr>
          <w:rFonts w:cs="Arial"/>
          <w:szCs w:val="24"/>
        </w:rPr>
        <w:t>4</w:t>
      </w:r>
      <w:r w:rsidRPr="006E310F">
        <w:rPr>
          <w:rFonts w:cs="Arial"/>
          <w:szCs w:val="24"/>
        </w:rPr>
        <w:t xml:space="preserve"> months (Refer to RFP, Section </w:t>
      </w:r>
      <w:r w:rsidR="00982288" w:rsidRPr="006E310F">
        <w:rPr>
          <w:rFonts w:cs="Arial"/>
          <w:szCs w:val="24"/>
        </w:rPr>
        <w:t>2</w:t>
      </w:r>
      <w:r w:rsidRPr="006E310F">
        <w:rPr>
          <w:rFonts w:cs="Arial"/>
          <w:szCs w:val="24"/>
        </w:rPr>
        <w:t>.8 for the definition of “fiscal year”):</w:t>
      </w:r>
    </w:p>
    <w:p w14:paraId="4DE8A015" w14:textId="0359042C" w:rsidR="00537458" w:rsidRPr="006E310F" w:rsidRDefault="00537458" w:rsidP="00A0749C">
      <w:pPr>
        <w:pStyle w:val="ListParagraph"/>
        <w:numPr>
          <w:ilvl w:val="0"/>
          <w:numId w:val="36"/>
        </w:numPr>
        <w:spacing w:after="240"/>
        <w:ind w:left="720" w:hanging="360"/>
        <w:rPr>
          <w:rFonts w:eastAsia="Times New Roman" w:cs="Arial"/>
          <w:bCs/>
          <w:snapToGrid w:val="0"/>
          <w:szCs w:val="20"/>
        </w:rPr>
      </w:pPr>
      <w:r w:rsidRPr="006E310F">
        <w:rPr>
          <w:rFonts w:eastAsia="Times New Roman" w:cs="Arial"/>
          <w:bCs/>
          <w:snapToGrid w:val="0"/>
          <w:szCs w:val="20"/>
        </w:rPr>
        <w:t>202</w:t>
      </w:r>
      <w:r w:rsidR="006E310F" w:rsidRPr="006E310F">
        <w:rPr>
          <w:rFonts w:eastAsia="Times New Roman" w:cs="Arial"/>
          <w:bCs/>
          <w:snapToGrid w:val="0"/>
          <w:szCs w:val="20"/>
        </w:rPr>
        <w:t>6</w:t>
      </w:r>
      <w:r w:rsidRPr="006E310F">
        <w:rPr>
          <w:rFonts w:eastAsia="Times New Roman" w:cs="Arial"/>
          <w:bCs/>
          <w:snapToGrid w:val="0"/>
          <w:szCs w:val="20"/>
        </w:rPr>
        <w:t>–202</w:t>
      </w:r>
      <w:r w:rsidR="006E310F" w:rsidRPr="006E310F">
        <w:rPr>
          <w:rFonts w:eastAsia="Times New Roman" w:cs="Arial"/>
          <w:bCs/>
          <w:snapToGrid w:val="0"/>
          <w:szCs w:val="20"/>
        </w:rPr>
        <w:t>7</w:t>
      </w:r>
      <w:r w:rsidRPr="006E310F">
        <w:rPr>
          <w:rFonts w:eastAsia="Times New Roman" w:cs="Arial"/>
          <w:bCs/>
          <w:snapToGrid w:val="0"/>
          <w:szCs w:val="20"/>
        </w:rPr>
        <w:t>: J</w:t>
      </w:r>
      <w:r w:rsidR="006E310F" w:rsidRPr="006E310F">
        <w:rPr>
          <w:rFonts w:eastAsia="Times New Roman" w:cs="Arial"/>
          <w:bCs/>
          <w:snapToGrid w:val="0"/>
          <w:szCs w:val="20"/>
        </w:rPr>
        <w:t xml:space="preserve">anuary </w:t>
      </w:r>
      <w:r w:rsidRPr="006E310F">
        <w:rPr>
          <w:rFonts w:eastAsia="Times New Roman" w:cs="Arial"/>
          <w:bCs/>
          <w:snapToGrid w:val="0"/>
          <w:szCs w:val="20"/>
        </w:rPr>
        <w:t>1, 202</w:t>
      </w:r>
      <w:r w:rsidR="006E310F" w:rsidRPr="006E310F">
        <w:rPr>
          <w:rFonts w:eastAsia="Times New Roman" w:cs="Arial"/>
          <w:bCs/>
          <w:snapToGrid w:val="0"/>
          <w:szCs w:val="20"/>
        </w:rPr>
        <w:t>7</w:t>
      </w:r>
      <w:r w:rsidRPr="006E310F">
        <w:rPr>
          <w:rFonts w:eastAsia="Times New Roman" w:cs="Arial"/>
          <w:bCs/>
          <w:snapToGrid w:val="0"/>
          <w:szCs w:val="20"/>
        </w:rPr>
        <w:t xml:space="preserve"> – June 30, 202</w:t>
      </w:r>
      <w:r w:rsidR="006E310F" w:rsidRPr="006E310F">
        <w:rPr>
          <w:rFonts w:eastAsia="Times New Roman" w:cs="Arial"/>
          <w:bCs/>
          <w:snapToGrid w:val="0"/>
          <w:szCs w:val="20"/>
        </w:rPr>
        <w:t>7</w:t>
      </w:r>
      <w:r w:rsidR="005F64AC" w:rsidRPr="006E310F">
        <w:rPr>
          <w:rFonts w:eastAsia="Times New Roman" w:cs="Arial"/>
          <w:bCs/>
          <w:snapToGrid w:val="0"/>
          <w:szCs w:val="20"/>
        </w:rPr>
        <w:t xml:space="preserve"> (</w:t>
      </w:r>
      <w:r w:rsidR="006E310F" w:rsidRPr="006E310F">
        <w:rPr>
          <w:rFonts w:eastAsia="Times New Roman" w:cs="Arial"/>
          <w:bCs/>
          <w:snapToGrid w:val="0"/>
          <w:szCs w:val="20"/>
        </w:rPr>
        <w:t>6</w:t>
      </w:r>
      <w:r w:rsidR="005F64AC" w:rsidRPr="006E310F">
        <w:rPr>
          <w:rFonts w:eastAsia="Times New Roman" w:cs="Arial"/>
          <w:bCs/>
          <w:snapToGrid w:val="0"/>
          <w:szCs w:val="20"/>
        </w:rPr>
        <w:t xml:space="preserve"> months)</w:t>
      </w:r>
    </w:p>
    <w:p w14:paraId="70521294" w14:textId="07B5FA7D" w:rsidR="00537458" w:rsidRPr="006E310F" w:rsidRDefault="00537458" w:rsidP="00A0749C">
      <w:pPr>
        <w:pStyle w:val="ListParagraph"/>
        <w:numPr>
          <w:ilvl w:val="0"/>
          <w:numId w:val="36"/>
        </w:numPr>
        <w:spacing w:after="240"/>
        <w:ind w:left="720" w:hanging="360"/>
        <w:rPr>
          <w:rFonts w:eastAsia="Times New Roman" w:cs="Arial"/>
          <w:bCs/>
          <w:snapToGrid w:val="0"/>
          <w:szCs w:val="20"/>
        </w:rPr>
      </w:pPr>
      <w:r w:rsidRPr="006E310F">
        <w:rPr>
          <w:rFonts w:eastAsia="Times New Roman" w:cs="Arial"/>
          <w:bCs/>
          <w:snapToGrid w:val="0"/>
          <w:szCs w:val="20"/>
        </w:rPr>
        <w:t>202</w:t>
      </w:r>
      <w:r w:rsidR="006E310F" w:rsidRPr="006E310F">
        <w:rPr>
          <w:rFonts w:eastAsia="Times New Roman" w:cs="Arial"/>
          <w:bCs/>
          <w:snapToGrid w:val="0"/>
          <w:szCs w:val="20"/>
        </w:rPr>
        <w:t>7</w:t>
      </w:r>
      <w:r w:rsidRPr="006E310F">
        <w:rPr>
          <w:rFonts w:eastAsia="Times New Roman" w:cs="Arial"/>
          <w:bCs/>
          <w:snapToGrid w:val="0"/>
          <w:szCs w:val="20"/>
        </w:rPr>
        <w:t>–202</w:t>
      </w:r>
      <w:r w:rsidR="006E310F" w:rsidRPr="006E310F">
        <w:rPr>
          <w:rFonts w:eastAsia="Times New Roman" w:cs="Arial"/>
          <w:bCs/>
          <w:snapToGrid w:val="0"/>
          <w:szCs w:val="20"/>
        </w:rPr>
        <w:t>8</w:t>
      </w:r>
      <w:r w:rsidRPr="006E310F">
        <w:rPr>
          <w:rFonts w:eastAsia="Times New Roman" w:cs="Arial"/>
          <w:bCs/>
          <w:snapToGrid w:val="0"/>
          <w:szCs w:val="20"/>
        </w:rPr>
        <w:t>: July 1, 202</w:t>
      </w:r>
      <w:r w:rsidR="006E310F" w:rsidRPr="006E310F">
        <w:rPr>
          <w:rFonts w:eastAsia="Times New Roman" w:cs="Arial"/>
          <w:bCs/>
          <w:snapToGrid w:val="0"/>
          <w:szCs w:val="20"/>
        </w:rPr>
        <w:t>7</w:t>
      </w:r>
      <w:r w:rsidRPr="006E310F">
        <w:rPr>
          <w:rFonts w:eastAsia="Times New Roman" w:cs="Arial"/>
          <w:bCs/>
          <w:snapToGrid w:val="0"/>
          <w:szCs w:val="20"/>
        </w:rPr>
        <w:t xml:space="preserve"> – June 30, 202</w:t>
      </w:r>
      <w:r w:rsidR="006E310F" w:rsidRPr="006E310F">
        <w:rPr>
          <w:rFonts w:eastAsia="Times New Roman" w:cs="Arial"/>
          <w:bCs/>
          <w:snapToGrid w:val="0"/>
          <w:szCs w:val="20"/>
        </w:rPr>
        <w:t>8</w:t>
      </w:r>
      <w:r w:rsidR="005F64AC" w:rsidRPr="006E310F">
        <w:rPr>
          <w:rFonts w:eastAsia="Times New Roman" w:cs="Arial"/>
          <w:bCs/>
          <w:snapToGrid w:val="0"/>
          <w:szCs w:val="20"/>
        </w:rPr>
        <w:t xml:space="preserve"> (12 months)</w:t>
      </w:r>
    </w:p>
    <w:p w14:paraId="179FA683" w14:textId="1074D4E1" w:rsidR="00537458" w:rsidRPr="006E310F" w:rsidRDefault="00537458" w:rsidP="00A0749C">
      <w:pPr>
        <w:pStyle w:val="ListParagraph"/>
        <w:numPr>
          <w:ilvl w:val="0"/>
          <w:numId w:val="36"/>
        </w:numPr>
        <w:spacing w:after="240"/>
        <w:ind w:left="720" w:hanging="360"/>
        <w:rPr>
          <w:rFonts w:eastAsia="Times New Roman" w:cs="Arial"/>
          <w:bCs/>
          <w:snapToGrid w:val="0"/>
          <w:szCs w:val="20"/>
        </w:rPr>
      </w:pPr>
      <w:r w:rsidRPr="006E310F">
        <w:rPr>
          <w:rFonts w:eastAsia="Times New Roman" w:cs="Arial"/>
          <w:bCs/>
          <w:snapToGrid w:val="0"/>
          <w:szCs w:val="20"/>
        </w:rPr>
        <w:t>202</w:t>
      </w:r>
      <w:r w:rsidR="006E310F" w:rsidRPr="006E310F">
        <w:rPr>
          <w:rFonts w:eastAsia="Times New Roman" w:cs="Arial"/>
          <w:bCs/>
          <w:snapToGrid w:val="0"/>
          <w:szCs w:val="20"/>
        </w:rPr>
        <w:t>8</w:t>
      </w:r>
      <w:r w:rsidRPr="006E310F">
        <w:rPr>
          <w:rFonts w:eastAsia="Times New Roman" w:cs="Arial"/>
          <w:bCs/>
          <w:snapToGrid w:val="0"/>
          <w:szCs w:val="20"/>
        </w:rPr>
        <w:t>–202</w:t>
      </w:r>
      <w:r w:rsidR="006E310F" w:rsidRPr="006E310F">
        <w:rPr>
          <w:rFonts w:eastAsia="Times New Roman" w:cs="Arial"/>
          <w:bCs/>
          <w:snapToGrid w:val="0"/>
          <w:szCs w:val="20"/>
        </w:rPr>
        <w:t>9</w:t>
      </w:r>
      <w:r w:rsidRPr="006E310F">
        <w:rPr>
          <w:rFonts w:eastAsia="Times New Roman" w:cs="Arial"/>
          <w:bCs/>
          <w:snapToGrid w:val="0"/>
          <w:szCs w:val="20"/>
        </w:rPr>
        <w:t>: July 1, 202</w:t>
      </w:r>
      <w:r w:rsidR="006E310F" w:rsidRPr="006E310F">
        <w:rPr>
          <w:rFonts w:eastAsia="Times New Roman" w:cs="Arial"/>
          <w:bCs/>
          <w:snapToGrid w:val="0"/>
          <w:szCs w:val="20"/>
        </w:rPr>
        <w:t>8</w:t>
      </w:r>
      <w:r w:rsidRPr="006E310F">
        <w:rPr>
          <w:rFonts w:eastAsia="Times New Roman" w:cs="Arial"/>
          <w:bCs/>
          <w:snapToGrid w:val="0"/>
          <w:szCs w:val="20"/>
        </w:rPr>
        <w:t xml:space="preserve"> – </w:t>
      </w:r>
      <w:r w:rsidR="006E310F" w:rsidRPr="006E310F">
        <w:rPr>
          <w:rFonts w:eastAsia="Times New Roman" w:cs="Arial"/>
          <w:bCs/>
          <w:snapToGrid w:val="0"/>
          <w:szCs w:val="20"/>
        </w:rPr>
        <w:t>December 31, 2028</w:t>
      </w:r>
      <w:r w:rsidR="005F64AC" w:rsidRPr="006E310F">
        <w:rPr>
          <w:rFonts w:eastAsia="Times New Roman" w:cs="Arial"/>
          <w:bCs/>
          <w:snapToGrid w:val="0"/>
          <w:szCs w:val="20"/>
        </w:rPr>
        <w:t xml:space="preserve"> (</w:t>
      </w:r>
      <w:r w:rsidR="006E310F" w:rsidRPr="006E310F">
        <w:rPr>
          <w:rFonts w:eastAsia="Times New Roman" w:cs="Arial"/>
          <w:bCs/>
          <w:snapToGrid w:val="0"/>
          <w:szCs w:val="20"/>
        </w:rPr>
        <w:t>6</w:t>
      </w:r>
      <w:r w:rsidR="005F64AC" w:rsidRPr="006E310F">
        <w:rPr>
          <w:rFonts w:eastAsia="Times New Roman" w:cs="Arial"/>
          <w:bCs/>
          <w:snapToGrid w:val="0"/>
          <w:szCs w:val="20"/>
        </w:rPr>
        <w:t xml:space="preserve"> months)</w:t>
      </w:r>
    </w:p>
    <w:p w14:paraId="62C3B50C" w14:textId="6C2A4B9F" w:rsidR="00537458" w:rsidRPr="00A0158A" w:rsidRDefault="00537458" w:rsidP="00537458">
      <w:pPr>
        <w:pStyle w:val="Heading4"/>
        <w:rPr>
          <w:rFonts w:eastAsia="Times New Roman"/>
          <w:snapToGrid w:val="0"/>
        </w:rPr>
      </w:pPr>
      <w:r w:rsidRPr="00A0158A">
        <w:rPr>
          <w:rFonts w:eastAsia="Times New Roman"/>
          <w:snapToGrid w:val="0"/>
        </w:rPr>
        <w:t>2.4.3 Option to Renew</w:t>
      </w:r>
    </w:p>
    <w:p w14:paraId="090575D0" w14:textId="0C4832A9" w:rsidR="00537458" w:rsidRDefault="00537458" w:rsidP="00537458">
      <w:pPr>
        <w:spacing w:after="240"/>
      </w:pPr>
      <w:r w:rsidRPr="00A0158A">
        <w:t xml:space="preserve">At the sole discretion of the CDE, the contract may be extended by written agreement and formal amendment between the parties, for an additional year beginning </w:t>
      </w:r>
      <w:r w:rsidR="00A0158A" w:rsidRPr="00A0158A">
        <w:t xml:space="preserve">January 1, </w:t>
      </w:r>
      <w:proofErr w:type="gramStart"/>
      <w:r w:rsidR="00A0158A" w:rsidRPr="00A0158A">
        <w:t>2029</w:t>
      </w:r>
      <w:proofErr w:type="gramEnd"/>
      <w:r w:rsidRPr="00A0158A">
        <w:t xml:space="preserve"> through </w:t>
      </w:r>
      <w:r w:rsidR="00A0158A" w:rsidRPr="00A0158A">
        <w:t xml:space="preserve">December </w:t>
      </w:r>
      <w:r w:rsidRPr="00A0158A">
        <w:t>31, 202</w:t>
      </w:r>
      <w:r w:rsidR="00A0158A" w:rsidRPr="00A0158A">
        <w:t>9</w:t>
      </w:r>
      <w:r w:rsidRPr="00A0158A">
        <w:t>, covering portions of 202</w:t>
      </w:r>
      <w:r w:rsidR="00A0158A" w:rsidRPr="00A0158A">
        <w:t>8</w:t>
      </w:r>
      <w:r w:rsidRPr="00A0158A">
        <w:t>-2</w:t>
      </w:r>
      <w:r w:rsidR="00A0158A" w:rsidRPr="00A0158A">
        <w:t>9</w:t>
      </w:r>
      <w:r w:rsidRPr="00A0158A">
        <w:t xml:space="preserve"> and 202</w:t>
      </w:r>
      <w:r w:rsidR="00A0158A" w:rsidRPr="00A0158A">
        <w:t>9</w:t>
      </w:r>
      <w:r w:rsidRPr="00A0158A">
        <w:t>-</w:t>
      </w:r>
      <w:r w:rsidR="00A0158A" w:rsidRPr="00A0158A">
        <w:t>30</w:t>
      </w:r>
      <w:r w:rsidRPr="00A0158A">
        <w:t xml:space="preserve"> fiscal years, at the same or lower rates, under the same terms.</w:t>
      </w:r>
    </w:p>
    <w:p w14:paraId="7979A707" w14:textId="7FE7B24D" w:rsidR="0036147F" w:rsidRPr="00A0158A" w:rsidRDefault="0036147F" w:rsidP="00537458">
      <w:pPr>
        <w:spacing w:after="240"/>
      </w:pPr>
      <w:r>
        <w:t>Additionally, a</w:t>
      </w:r>
      <w:r w:rsidRPr="00A0158A">
        <w:t xml:space="preserve">t the sole discretion of the CDE, the contract may be extended by written agreement and formal amendment between the parties, for </w:t>
      </w:r>
      <w:r>
        <w:t>a second</w:t>
      </w:r>
      <w:r w:rsidRPr="00A0158A">
        <w:t xml:space="preserve"> additional year beginning January 1, </w:t>
      </w:r>
      <w:proofErr w:type="gramStart"/>
      <w:r w:rsidRPr="00A0158A">
        <w:t>20</w:t>
      </w:r>
      <w:r>
        <w:t>30</w:t>
      </w:r>
      <w:proofErr w:type="gramEnd"/>
      <w:r w:rsidRPr="00A0158A">
        <w:t xml:space="preserve"> through December 31, 20</w:t>
      </w:r>
      <w:r>
        <w:t>30</w:t>
      </w:r>
      <w:r w:rsidRPr="00A0158A">
        <w:t>, covering portions of 202</w:t>
      </w:r>
      <w:r>
        <w:t>9</w:t>
      </w:r>
      <w:r w:rsidRPr="00A0158A">
        <w:t>-</w:t>
      </w:r>
      <w:r>
        <w:t>30</w:t>
      </w:r>
      <w:r w:rsidRPr="00A0158A">
        <w:t xml:space="preserve"> and 2030</w:t>
      </w:r>
      <w:r>
        <w:t>-31</w:t>
      </w:r>
      <w:r w:rsidRPr="00A0158A">
        <w:t xml:space="preserve"> fiscal years, at the same or lower rates, under the same terms.</w:t>
      </w:r>
    </w:p>
    <w:p w14:paraId="318567FB" w14:textId="0708C70E" w:rsidR="00537458" w:rsidRPr="00BC514B" w:rsidRDefault="00537458" w:rsidP="00F67ED5">
      <w:pPr>
        <w:pStyle w:val="Heading3"/>
        <w:rPr>
          <w:sz w:val="24"/>
        </w:rPr>
      </w:pPr>
      <w:r>
        <w:t>2</w:t>
      </w:r>
      <w:r w:rsidRPr="003C46CF">
        <w:t>.</w:t>
      </w:r>
      <w:r>
        <w:t>5</w:t>
      </w:r>
      <w:r w:rsidRPr="003C46CF">
        <w:t xml:space="preserve"> Int</w:t>
      </w:r>
      <w:r>
        <w:t>ent to Submit a Proposal</w:t>
      </w:r>
    </w:p>
    <w:p w14:paraId="65F2E398" w14:textId="587155A2" w:rsidR="00537458" w:rsidRDefault="00537458" w:rsidP="00537458">
      <w:pPr>
        <w:spacing w:before="240" w:after="240"/>
      </w:pPr>
      <w:r>
        <w:t xml:space="preserve">Bidders are required to submit an Intent to Submit a Proposal (Attachment 1), mailed, emailed, that must be received by the time, day, and date specified in RFP Section </w:t>
      </w:r>
      <w:r w:rsidR="00A40EF1">
        <w:t>2</w:t>
      </w:r>
      <w:r>
        <w:t xml:space="preserve">.3 (RFP Schedule of Events). The Intent to Submit a Proposal does not require an organization to submit a proposal </w:t>
      </w:r>
      <w:proofErr w:type="gramStart"/>
      <w:r>
        <w:t>however,</w:t>
      </w:r>
      <w:proofErr w:type="gramEnd"/>
      <w:r>
        <w:t xml:space="preserve"> a proposal will not be accepted unless an Intent to Submit a Proposal (Attachment 1) is submitted on time.</w:t>
      </w:r>
    </w:p>
    <w:p w14:paraId="32122F23" w14:textId="2D2231EB" w:rsidR="00537458" w:rsidRDefault="00537458" w:rsidP="00537458">
      <w:pPr>
        <w:spacing w:before="240" w:after="240"/>
      </w:pPr>
      <w:r>
        <w:t>The Intent to Submit a Proposal must be signed by the bidder or the bidder’s representative and include the title of the person signing the Intent to Submit a Proposal and show the date of submission. In the case of emailing an electronic signature must be affixed. Questions regarding this RFP may be included with the Intent to Submit a Proposal and must be mailed, emailed,</w:t>
      </w:r>
      <w:r w:rsidRPr="00B911A3">
        <w:rPr>
          <w:color w:val="FF0000"/>
        </w:rPr>
        <w:t xml:space="preserve"> </w:t>
      </w:r>
      <w:r>
        <w:t xml:space="preserve">by the time, day, and date specified in RFP Section </w:t>
      </w:r>
      <w:r w:rsidR="00A40EF1">
        <w:t>2</w:t>
      </w:r>
      <w:r>
        <w:t>.3 (RFP Schedule of Events).</w:t>
      </w:r>
    </w:p>
    <w:p w14:paraId="7EA72149" w14:textId="222A6F54" w:rsidR="00537458" w:rsidRDefault="00537458" w:rsidP="00537458">
      <w:pPr>
        <w:spacing w:before="240" w:after="240"/>
      </w:pPr>
      <w:r>
        <w:t>The Intent to Submit a Proposal and questions regarding the RFP must be mailed, emailed</w:t>
      </w:r>
      <w:r w:rsidRPr="00B911A3">
        <w:rPr>
          <w:color w:val="FF0000"/>
        </w:rPr>
        <w:t xml:space="preserve"> </w:t>
      </w:r>
      <w:r>
        <w:t>to:</w:t>
      </w:r>
    </w:p>
    <w:p w14:paraId="6CB4E9F9" w14:textId="54B2D781" w:rsidR="00537458" w:rsidRPr="00A0158A" w:rsidRDefault="00A0158A" w:rsidP="00537458">
      <w:pPr>
        <w:spacing w:before="240" w:after="240"/>
      </w:pPr>
      <w:r w:rsidRPr="00A0158A">
        <w:lastRenderedPageBreak/>
        <w:t>Natasha Middleton</w:t>
      </w:r>
      <w:r w:rsidR="006C52D5">
        <w:t>, Federal Policy Liaison</w:t>
      </w:r>
      <w:r w:rsidRPr="00A0158A">
        <w:br/>
      </w:r>
      <w:r w:rsidR="00537458" w:rsidRPr="00A0158A">
        <w:t>California Department of Education</w:t>
      </w:r>
      <w:r w:rsidR="00537458" w:rsidRPr="00A0158A">
        <w:br/>
      </w:r>
      <w:r w:rsidRPr="00A0158A">
        <w:t xml:space="preserve">Government Affairs Division </w:t>
      </w:r>
      <w:r w:rsidR="00A40EF1" w:rsidRPr="00A0158A">
        <w:br/>
      </w:r>
      <w:r w:rsidR="00537458" w:rsidRPr="00A0158A">
        <w:t xml:space="preserve">1430 N Street, Suite </w:t>
      </w:r>
      <w:r w:rsidR="00163AA3">
        <w:t>5602</w:t>
      </w:r>
      <w:r w:rsidR="00537458" w:rsidRPr="00A0158A">
        <w:br/>
        <w:t>Sacramento, CA 95814-5901</w:t>
      </w:r>
      <w:r w:rsidR="00537458" w:rsidRPr="00A0158A">
        <w:br/>
        <w:t>Email</w:t>
      </w:r>
      <w:r w:rsidR="00A40EF1" w:rsidRPr="00A0158A">
        <w:t xml:space="preserve">: </w:t>
      </w:r>
      <w:hyperlink r:id="rId10" w:history="1">
        <w:r w:rsidRPr="00A0158A">
          <w:rPr>
            <w:rStyle w:val="Hyperlink"/>
            <w:color w:val="auto"/>
          </w:rPr>
          <w:t>NMiddleton@cde.ca.gov</w:t>
        </w:r>
      </w:hyperlink>
    </w:p>
    <w:p w14:paraId="7380EA6B" w14:textId="3F07576D" w:rsidR="00537458" w:rsidRDefault="00537458" w:rsidP="00537458">
      <w:pPr>
        <w:spacing w:before="240" w:after="240"/>
      </w:pPr>
      <w:r w:rsidRPr="00A0158A">
        <w:t xml:space="preserve">It is the bidders’ responsibility to ensure that the Intent to Submit a Proposal reaches the </w:t>
      </w:r>
      <w:r w:rsidR="00A0158A" w:rsidRPr="00A0158A">
        <w:t>Government Affairs</w:t>
      </w:r>
      <w:r w:rsidRPr="00A0158A">
        <w:t xml:space="preserve"> Division no later than the time, day, and date specified in RFP Section </w:t>
      </w:r>
      <w:r w:rsidR="00A40EF1" w:rsidRPr="00A0158A">
        <w:t>2</w:t>
      </w:r>
      <w:r w:rsidRPr="00A0158A">
        <w:t xml:space="preserve">.3 (RFP Schedule of Events). Proposals for which the Intent to Submit a Proposal (Attachment 1) </w:t>
      </w:r>
      <w:proofErr w:type="gramStart"/>
      <w:r w:rsidRPr="00A0158A">
        <w:t>has</w:t>
      </w:r>
      <w:proofErr w:type="gramEnd"/>
      <w:r w:rsidRPr="00A0158A">
        <w:t xml:space="preserve"> not been received by the date </w:t>
      </w:r>
      <w:r>
        <w:t>and time specified shall not be accepted.</w:t>
      </w:r>
    </w:p>
    <w:p w14:paraId="33ADF98B" w14:textId="1BD61E45" w:rsidR="00537458" w:rsidRPr="00BC514B" w:rsidRDefault="00537458" w:rsidP="00F67ED5">
      <w:pPr>
        <w:pStyle w:val="Heading3"/>
        <w:rPr>
          <w:sz w:val="24"/>
        </w:rPr>
      </w:pPr>
      <w:r>
        <w:t>2</w:t>
      </w:r>
      <w:r w:rsidRPr="00AD344B">
        <w:t>.</w:t>
      </w:r>
      <w:r>
        <w:t>6</w:t>
      </w:r>
      <w:r w:rsidRPr="00AD344B">
        <w:t xml:space="preserve"> Questions and Clarifications</w:t>
      </w:r>
    </w:p>
    <w:p w14:paraId="344B07EA" w14:textId="4A116881" w:rsidR="00537458" w:rsidRDefault="00537458" w:rsidP="00537458">
      <w:pPr>
        <w:spacing w:before="240" w:after="240"/>
      </w:pPr>
      <w:r>
        <w:t xml:space="preserve">Bidders may submit questions, requests for clarification, concerns, and/or comments (hereinafter referred to collectively as “questions”) regarding this RFP. All questions must be submitted in writing and may be submitted with the Intent to Submit a Proposal (Refer to Section </w:t>
      </w:r>
      <w:r w:rsidR="00A40EF1">
        <w:t>2</w:t>
      </w:r>
      <w:r>
        <w:t xml:space="preserve">.5). The bidder must include its name, email address, and telephone number with its submission of questions. The bidder should specify the relevant section, task/subtask, and page number of the RFP for each question submitted. Questions must be received by the time, day, and date specified in RFP Section </w:t>
      </w:r>
      <w:r w:rsidR="00A40EF1">
        <w:t>2</w:t>
      </w:r>
      <w:r>
        <w:t xml:space="preserve">.3 (RFP Schedule of Events). </w:t>
      </w:r>
      <w:r w:rsidR="006C6950">
        <w:t xml:space="preserve">The </w:t>
      </w:r>
      <w:r>
        <w:t xml:space="preserve">CDE will make every effort to email its responses to the questions to all who submitted an Intent to Submit a Proposal by the time, day, and date specified in RFP Section </w:t>
      </w:r>
      <w:r w:rsidR="00A40EF1">
        <w:t>2</w:t>
      </w:r>
      <w:r>
        <w:t>.3 (RFP Schedule of Events).  At its discretion, the CDE may respond to questions that are submitted late or not in proper form. The CDE reserves the right to rephrase or not answer any question submitted.</w:t>
      </w:r>
    </w:p>
    <w:p w14:paraId="3D7B5B3F" w14:textId="1C650E32" w:rsidR="00537458" w:rsidRDefault="00537458" w:rsidP="00537458">
      <w:pPr>
        <w:spacing w:before="240" w:after="240"/>
      </w:pPr>
      <w:r>
        <w:t xml:space="preserve">Written questions regarding the RFP will be included in the response to questions posted on the CDE </w:t>
      </w:r>
      <w:r w:rsidR="0018588B">
        <w:t>w</w:t>
      </w:r>
      <w:r>
        <w:t xml:space="preserve">ebsite which will occur on the time, day, and date specified in RFP Section </w:t>
      </w:r>
      <w:r w:rsidR="00A40EF1">
        <w:t>2</w:t>
      </w:r>
      <w:r>
        <w:t>.3 (RFP Schedule of Events).</w:t>
      </w:r>
    </w:p>
    <w:p w14:paraId="4068656A" w14:textId="4D1D2407" w:rsidR="00537458" w:rsidRDefault="00537458" w:rsidP="00537458">
      <w:pPr>
        <w:spacing w:before="240" w:after="240"/>
      </w:pPr>
      <w:r>
        <w:t xml:space="preserve">All questions must be submitted either by email, or mail (express or standard). Address emails to the contact person identified in Section </w:t>
      </w:r>
      <w:r w:rsidR="00A40EF1">
        <w:t>2</w:t>
      </w:r>
      <w:r>
        <w:t>.5 of this RFP.</w:t>
      </w:r>
    </w:p>
    <w:p w14:paraId="00077212" w14:textId="27FD51C3" w:rsidR="00537458" w:rsidRPr="00BC514B" w:rsidRDefault="00537458" w:rsidP="00F67ED5">
      <w:pPr>
        <w:pStyle w:val="Heading3"/>
        <w:rPr>
          <w:sz w:val="24"/>
        </w:rPr>
      </w:pPr>
      <w:r>
        <w:t>2</w:t>
      </w:r>
      <w:r w:rsidRPr="00AD344B">
        <w:t>.</w:t>
      </w:r>
      <w:r>
        <w:t>7</w:t>
      </w:r>
      <w:r w:rsidRPr="00AD344B">
        <w:t xml:space="preserve"> Cost of Preparing a Proposal</w:t>
      </w:r>
    </w:p>
    <w:p w14:paraId="38AFD8DB" w14:textId="77777777" w:rsidR="00537458" w:rsidRDefault="00537458" w:rsidP="00537458">
      <w:pPr>
        <w:spacing w:before="240" w:after="240"/>
      </w:pPr>
      <w:r>
        <w:t>The costs of preparing and delivering the proposal are the sole responsibility of the bidder. The State of California will not provide reimbursement for any costs incurred or related to the bidder’s involvement or participation in the RFP process.</w:t>
      </w:r>
    </w:p>
    <w:p w14:paraId="4D1F2BDE" w14:textId="0D691A74" w:rsidR="00537458" w:rsidRPr="00BC514B" w:rsidRDefault="00537458" w:rsidP="00F67ED5">
      <w:pPr>
        <w:pStyle w:val="Heading3"/>
        <w:rPr>
          <w:sz w:val="24"/>
        </w:rPr>
      </w:pPr>
      <w:r>
        <w:t>2</w:t>
      </w:r>
      <w:r w:rsidRPr="00AD344B">
        <w:t>.</w:t>
      </w:r>
      <w:r>
        <w:t>8</w:t>
      </w:r>
      <w:r w:rsidRPr="00AD344B">
        <w:t xml:space="preserve"> Definitions</w:t>
      </w:r>
    </w:p>
    <w:p w14:paraId="3FE2B0C0" w14:textId="77777777" w:rsidR="00537458" w:rsidRDefault="00537458" w:rsidP="0073322E">
      <w:pPr>
        <w:pStyle w:val="ListParagraph"/>
        <w:widowControl w:val="0"/>
        <w:numPr>
          <w:ilvl w:val="0"/>
          <w:numId w:val="20"/>
        </w:numPr>
        <w:spacing w:before="240" w:after="240"/>
        <w:ind w:left="720"/>
        <w:contextualSpacing w:val="0"/>
        <w:jc w:val="both"/>
      </w:pPr>
      <w:r w:rsidRPr="00691400">
        <w:t xml:space="preserve">“Assessment” shall mean any systematic method of obtaining information from tests and other sources, used to draw inferences about characteristics of people, objects, or programs, as defined in </w:t>
      </w:r>
      <w:r w:rsidRPr="00DE7F70">
        <w:rPr>
          <w:i/>
        </w:rPr>
        <w:t>Standards for Educational and Psychological Testing</w:t>
      </w:r>
      <w:r w:rsidRPr="00691400">
        <w:t xml:space="preserve"> (</w:t>
      </w:r>
      <w:r>
        <w:t>2014).</w:t>
      </w:r>
    </w:p>
    <w:p w14:paraId="76A38C10" w14:textId="77777777" w:rsidR="00537458" w:rsidRDefault="00537458" w:rsidP="0073322E">
      <w:pPr>
        <w:pStyle w:val="ListParagraph"/>
        <w:numPr>
          <w:ilvl w:val="0"/>
          <w:numId w:val="20"/>
        </w:numPr>
        <w:spacing w:before="240" w:after="240"/>
        <w:ind w:left="720"/>
        <w:contextualSpacing w:val="0"/>
      </w:pPr>
      <w:r>
        <w:t xml:space="preserve">“Bidder” shall mean </w:t>
      </w:r>
      <w:proofErr w:type="gramStart"/>
      <w:r>
        <w:t>each and every</w:t>
      </w:r>
      <w:proofErr w:type="gramEnd"/>
      <w:r>
        <w:t xml:space="preserve"> business entity, sole proprietorship, partnership, public or private corporation, agency, organization, or association that submits a proposal in response to the RFP.</w:t>
      </w:r>
    </w:p>
    <w:p w14:paraId="7B414B9A" w14:textId="77777777" w:rsidR="00537458" w:rsidRDefault="00537458" w:rsidP="0073322E">
      <w:pPr>
        <w:pStyle w:val="ListParagraph"/>
        <w:numPr>
          <w:ilvl w:val="0"/>
          <w:numId w:val="20"/>
        </w:numPr>
        <w:spacing w:before="240" w:after="240"/>
        <w:ind w:left="720"/>
        <w:contextualSpacing w:val="0"/>
      </w:pPr>
      <w:r>
        <w:lastRenderedPageBreak/>
        <w:t>“CDE Business Hours” shall be from 8:00am to 5:00pm PST/PDT.</w:t>
      </w:r>
    </w:p>
    <w:p w14:paraId="12FE54A6" w14:textId="2C2FEE24" w:rsidR="00537458" w:rsidRPr="00AC587F" w:rsidRDefault="00537458" w:rsidP="0073322E">
      <w:pPr>
        <w:numPr>
          <w:ilvl w:val="0"/>
          <w:numId w:val="20"/>
        </w:numPr>
        <w:spacing w:after="240"/>
        <w:ind w:left="720"/>
        <w:rPr>
          <w:rFonts w:cs="Arial"/>
          <w:color w:val="000000"/>
        </w:rPr>
      </w:pPr>
      <w:r w:rsidRPr="00AC587F">
        <w:rPr>
          <w:rFonts w:cs="Arial"/>
        </w:rPr>
        <w:t xml:space="preserve">“Contract” shall mean the requirements set forth in this RFP and the technical and cost proposals submitted by the bidder and approved by the </w:t>
      </w:r>
      <w:r w:rsidR="0028389D">
        <w:rPr>
          <w:rFonts w:cs="Arial"/>
        </w:rPr>
        <w:t>DGS</w:t>
      </w:r>
      <w:r w:rsidRPr="00AC587F">
        <w:rPr>
          <w:rFonts w:cs="Arial"/>
        </w:rPr>
        <w:t>.</w:t>
      </w:r>
    </w:p>
    <w:p w14:paraId="420227F7" w14:textId="77777777" w:rsidR="00537458" w:rsidRDefault="00537458" w:rsidP="0073322E">
      <w:pPr>
        <w:pStyle w:val="ListParagraph"/>
        <w:numPr>
          <w:ilvl w:val="0"/>
          <w:numId w:val="20"/>
        </w:numPr>
        <w:spacing w:before="240" w:after="240"/>
        <w:ind w:left="720"/>
        <w:contextualSpacing w:val="0"/>
      </w:pPr>
      <w:r>
        <w:t>“Contractor” shall mean the successful bidder selected by the CDE as the business entity to administer its proposal and subsequent contract to support the accomplishment of any tasks described in this RFP.</w:t>
      </w:r>
    </w:p>
    <w:p w14:paraId="67C40964" w14:textId="77777777" w:rsidR="00537458" w:rsidRDefault="00537458" w:rsidP="0073322E">
      <w:pPr>
        <w:pStyle w:val="ListParagraph"/>
        <w:numPr>
          <w:ilvl w:val="0"/>
          <w:numId w:val="20"/>
        </w:numPr>
        <w:spacing w:before="240" w:after="240"/>
        <w:ind w:left="720"/>
        <w:contextualSpacing w:val="0"/>
      </w:pPr>
      <w:r>
        <w:t>“Cost reimbursement contract” provides for payment of allowable incurred costs related to services performed, to the extent prescribed in the contract. These contracts establish an estimate of total cost for the purpose of obligating funds and establishing a ceiling that the successful bidder may not exceed for each line item.</w:t>
      </w:r>
    </w:p>
    <w:p w14:paraId="1430C2DA" w14:textId="38E8EC93" w:rsidR="0073322E" w:rsidRDefault="0073322E" w:rsidP="0073322E">
      <w:pPr>
        <w:pStyle w:val="ListParagraph"/>
        <w:numPr>
          <w:ilvl w:val="0"/>
          <w:numId w:val="20"/>
        </w:numPr>
        <w:spacing w:before="240" w:after="240"/>
        <w:ind w:left="720"/>
        <w:contextualSpacing w:val="0"/>
      </w:pPr>
      <w:r>
        <w:t>“Department of General Services”</w:t>
      </w:r>
      <w:r w:rsidR="00B911A3">
        <w:t xml:space="preserve"> (DGS) is the California state agency that provides oversight of the state contracting process.</w:t>
      </w:r>
    </w:p>
    <w:p w14:paraId="66A93949" w14:textId="3FBB6C26" w:rsidR="00537458" w:rsidRDefault="00537458" w:rsidP="0073322E">
      <w:pPr>
        <w:pStyle w:val="ListParagraph"/>
        <w:numPr>
          <w:ilvl w:val="0"/>
          <w:numId w:val="20"/>
        </w:numPr>
        <w:spacing w:before="240" w:after="240"/>
        <w:ind w:left="720"/>
        <w:contextualSpacing w:val="0"/>
      </w:pPr>
      <w:r>
        <w:t>“Fiscal year” means the state fiscal year July 1 through and including the following June 30.</w:t>
      </w:r>
    </w:p>
    <w:p w14:paraId="05079E4F" w14:textId="56728550" w:rsidR="00537458" w:rsidRPr="0036546A" w:rsidRDefault="00537458" w:rsidP="0073322E">
      <w:pPr>
        <w:pStyle w:val="ListParagraph"/>
        <w:widowControl w:val="0"/>
        <w:numPr>
          <w:ilvl w:val="0"/>
          <w:numId w:val="20"/>
        </w:numPr>
        <w:spacing w:before="240" w:after="240"/>
        <w:ind w:left="720"/>
        <w:contextualSpacing w:val="0"/>
        <w:rPr>
          <w:rFonts w:eastAsia="Times New Roman" w:cs="Arial"/>
          <w:snapToGrid w:val="0"/>
          <w:szCs w:val="24"/>
        </w:rPr>
      </w:pPr>
      <w:r>
        <w:rPr>
          <w:rFonts w:eastAsia="Times New Roman" w:cs="Arial"/>
          <w:snapToGrid w:val="0"/>
          <w:szCs w:val="24"/>
        </w:rPr>
        <w:t>“Key P</w:t>
      </w:r>
      <w:r w:rsidRPr="00E72CB1">
        <w:rPr>
          <w:rFonts w:eastAsia="Times New Roman" w:cs="Arial"/>
          <w:snapToGrid w:val="0"/>
          <w:szCs w:val="24"/>
        </w:rPr>
        <w:t>ersonnel</w:t>
      </w:r>
      <w:r>
        <w:rPr>
          <w:rFonts w:eastAsia="Times New Roman" w:cs="Arial"/>
          <w:snapToGrid w:val="0"/>
          <w:szCs w:val="24"/>
        </w:rPr>
        <w:t>”</w:t>
      </w:r>
      <w:r w:rsidRPr="00E72CB1">
        <w:rPr>
          <w:rFonts w:eastAsia="Times New Roman" w:cs="Arial"/>
          <w:snapToGrid w:val="0"/>
          <w:szCs w:val="24"/>
        </w:rPr>
        <w:t xml:space="preserve"> are defined as those people in conjunction with the Project Manager 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 described in this RFP. </w:t>
      </w:r>
      <w:r w:rsidR="00021B70">
        <w:rPr>
          <w:rFonts w:eastAsia="Times New Roman" w:cs="Arial"/>
          <w:snapToGrid w:val="0"/>
          <w:szCs w:val="24"/>
        </w:rPr>
        <w:t xml:space="preserve">Key Personnel include the Project Manager and Fiscal Manager. </w:t>
      </w:r>
      <w:r w:rsidRPr="00E72CB1">
        <w:rPr>
          <w:rFonts w:eastAsia="Times New Roman" w:cs="Arial"/>
          <w:snapToGrid w:val="0"/>
          <w:szCs w:val="24"/>
        </w:rPr>
        <w:t>Key personnel d</w:t>
      </w:r>
      <w:r>
        <w:rPr>
          <w:rFonts w:eastAsia="Times New Roman" w:cs="Arial"/>
          <w:snapToGrid w:val="0"/>
          <w:szCs w:val="24"/>
        </w:rPr>
        <w:t>o not include clerical staff.</w:t>
      </w:r>
    </w:p>
    <w:p w14:paraId="1050E8AF" w14:textId="77777777" w:rsidR="00537458" w:rsidRPr="00D22A88" w:rsidRDefault="00537458" w:rsidP="0073322E">
      <w:pPr>
        <w:pStyle w:val="ListParagraph"/>
        <w:numPr>
          <w:ilvl w:val="0"/>
          <w:numId w:val="20"/>
        </w:numPr>
        <w:tabs>
          <w:tab w:val="left" w:pos="720"/>
        </w:tabs>
        <w:spacing w:before="240" w:after="240"/>
        <w:ind w:left="720"/>
      </w:pPr>
      <w:r w:rsidRPr="0070133C">
        <w:rPr>
          <w:rFonts w:cs="Arial"/>
          <w:color w:val="000000"/>
          <w:szCs w:val="24"/>
        </w:rPr>
        <w:t xml:space="preserve">“Local educational agency (LEA)” means a county office of education, school district, state special school, or direct-funded charter school as described in </w:t>
      </w:r>
      <w:r w:rsidRPr="0070133C">
        <w:rPr>
          <w:rFonts w:cs="Arial"/>
          <w:i/>
          <w:color w:val="000000"/>
          <w:szCs w:val="24"/>
        </w:rPr>
        <w:t>EC</w:t>
      </w:r>
      <w:r w:rsidRPr="0070133C">
        <w:rPr>
          <w:rFonts w:cs="Arial"/>
          <w:color w:val="000000"/>
          <w:szCs w:val="24"/>
        </w:rPr>
        <w:t xml:space="preserve"> Section 47651.</w:t>
      </w:r>
    </w:p>
    <w:p w14:paraId="0AFB4CF5" w14:textId="77777777" w:rsidR="00537458" w:rsidRDefault="00537458" w:rsidP="00537458">
      <w:pPr>
        <w:pStyle w:val="ListParagraph"/>
        <w:tabs>
          <w:tab w:val="left" w:pos="720"/>
        </w:tabs>
        <w:spacing w:before="240" w:after="240"/>
      </w:pPr>
    </w:p>
    <w:p w14:paraId="43CB5F98" w14:textId="6C644B44" w:rsidR="00F67ED5" w:rsidRDefault="00F67ED5" w:rsidP="0073322E">
      <w:pPr>
        <w:pStyle w:val="ListParagraph"/>
        <w:numPr>
          <w:ilvl w:val="0"/>
          <w:numId w:val="20"/>
        </w:numPr>
        <w:spacing w:before="240" w:after="240"/>
        <w:ind w:left="720"/>
        <w:contextualSpacing w:val="0"/>
      </w:pPr>
      <w:r>
        <w:t>“Original Signature” shall mean a manual handwritten signature or mark in wet ink.</w:t>
      </w:r>
    </w:p>
    <w:p w14:paraId="65C3FC23" w14:textId="38417FAA" w:rsidR="00537458" w:rsidRDefault="00537458" w:rsidP="0073322E">
      <w:pPr>
        <w:pStyle w:val="ListParagraph"/>
        <w:numPr>
          <w:ilvl w:val="0"/>
          <w:numId w:val="20"/>
        </w:numPr>
        <w:spacing w:before="240" w:after="240"/>
        <w:ind w:left="720"/>
        <w:contextualSpacing w:val="0"/>
      </w:pPr>
      <w:r>
        <w:t xml:space="preserve">“Portions of work” shall be defined by the bidder for the purposes of compliance with Disabled Veterans Business Enterprise (DVBE) requirements. Public Contract Code Section 10115.12(a)(2) precludes the use of more than one subcontractor to perform a “portion of work” as defined by the bidder in </w:t>
      </w:r>
      <w:r w:rsidR="00B005A5">
        <w:t>their</w:t>
      </w:r>
      <w:r>
        <w:t xml:space="preserve"> proposal.</w:t>
      </w:r>
    </w:p>
    <w:p w14:paraId="2AACC034" w14:textId="77777777" w:rsidR="00537458" w:rsidRDefault="00537458" w:rsidP="0073322E">
      <w:pPr>
        <w:pStyle w:val="ListParagraph"/>
        <w:numPr>
          <w:ilvl w:val="0"/>
          <w:numId w:val="20"/>
        </w:numPr>
        <w:spacing w:before="240" w:after="240"/>
        <w:ind w:left="720"/>
        <w:contextualSpacing w:val="0"/>
      </w:pPr>
      <w:r>
        <w:t>“Prime Contractor” shall be defined as the entity who submits a proposal in response to this RFP and is</w:t>
      </w:r>
      <w:r w:rsidRPr="004C3DC3">
        <w:t xml:space="preserve"> the responsible entity in ensuring that all tasks and activities are competently and successfully completed.</w:t>
      </w:r>
      <w:r w:rsidRPr="006723AF">
        <w:rPr>
          <w:rFonts w:cs="Arial"/>
          <w:szCs w:val="24"/>
        </w:rPr>
        <w:t xml:space="preserve"> </w:t>
      </w:r>
      <w:r>
        <w:rPr>
          <w:rFonts w:cs="Arial"/>
          <w:szCs w:val="24"/>
        </w:rPr>
        <w:t>The Prime Contractor must have the experience and qualifications to provide oversight to all proposed subcontractors and review and approve work products created by all proposed subcontractors.</w:t>
      </w:r>
    </w:p>
    <w:p w14:paraId="40565D89" w14:textId="77777777" w:rsidR="00537458" w:rsidRDefault="00537458" w:rsidP="0073322E">
      <w:pPr>
        <w:pStyle w:val="ListParagraph"/>
        <w:numPr>
          <w:ilvl w:val="0"/>
          <w:numId w:val="20"/>
        </w:numPr>
        <w:spacing w:before="240" w:after="240"/>
        <w:ind w:left="720"/>
        <w:contextualSpacing w:val="0"/>
      </w:pPr>
      <w:r>
        <w:t>“Specifications” shall mean the minimum specifications required by the CDE for a task, subtask, or activity. Specifications provided in this RFP represent a comprehensive outline of the detail required in the bidder’s proposal for successful accomplishment of a task, subtask, or activity.</w:t>
      </w:r>
    </w:p>
    <w:p w14:paraId="4C4F3805" w14:textId="7411D5D6" w:rsidR="00537458" w:rsidRDefault="00537458" w:rsidP="0073322E">
      <w:pPr>
        <w:pStyle w:val="ListParagraph"/>
        <w:numPr>
          <w:ilvl w:val="0"/>
          <w:numId w:val="20"/>
        </w:numPr>
        <w:spacing w:before="240" w:after="240"/>
        <w:ind w:left="720"/>
        <w:contextualSpacing w:val="0"/>
      </w:pPr>
      <w:r>
        <w:lastRenderedPageBreak/>
        <w:t>“Subcontract” shall mean any and all agreement(s) between a bidder and another entity (including</w:t>
      </w:r>
      <w:r w:rsidR="00FF59F5">
        <w:t>,</w:t>
      </w:r>
      <w:r>
        <w:t xml:space="preserve"> but not limited to</w:t>
      </w:r>
      <w:r w:rsidR="00FF59F5">
        <w:t>,</w:t>
      </w:r>
      <w:r>
        <w:t xml:space="preserve"> an individual or business) for the accomplishment of any task, subtask or activity, in whole or in part, described in this RFP, or to provide goods or services in support of the work described in this RFP.</w:t>
      </w:r>
    </w:p>
    <w:p w14:paraId="1624FD32" w14:textId="608014DE" w:rsidR="00537458" w:rsidRDefault="00537458" w:rsidP="0073322E">
      <w:pPr>
        <w:pStyle w:val="ListParagraph"/>
        <w:numPr>
          <w:ilvl w:val="0"/>
          <w:numId w:val="20"/>
        </w:numPr>
        <w:spacing w:before="240" w:after="240"/>
        <w:ind w:left="720"/>
        <w:contextualSpacing w:val="0"/>
      </w:pPr>
      <w:r>
        <w:t>“Subcontractor” shall mean each and every entity (including</w:t>
      </w:r>
      <w:r w:rsidR="00FF59F5">
        <w:t>,</w:t>
      </w:r>
      <w:r>
        <w:t xml:space="preserve"> but not limited to</w:t>
      </w:r>
      <w:r w:rsidR="00FF59F5">
        <w:t>,</w:t>
      </w:r>
      <w:r>
        <w:t xml:space="preserve"> an individual or business) with whom a bidder enters into any agreement for the accomplishment of any task, subtask, or activity, in whole or in part, described in this RFP, or to provide goods or services in support of the work described in this RFP. All </w:t>
      </w:r>
      <w:proofErr w:type="gramStart"/>
      <w:r>
        <w:t>persons</w:t>
      </w:r>
      <w:proofErr w:type="gramEnd"/>
      <w:r>
        <w:t xml:space="preserve"> who are not employees of the bidder are to be considered subcontractors.</w:t>
      </w:r>
    </w:p>
    <w:p w14:paraId="241237CA" w14:textId="77777777" w:rsidR="00537458" w:rsidRDefault="00537458" w:rsidP="0073322E">
      <w:pPr>
        <w:pStyle w:val="ListParagraph"/>
        <w:numPr>
          <w:ilvl w:val="0"/>
          <w:numId w:val="20"/>
        </w:numPr>
        <w:spacing w:before="240" w:after="240"/>
        <w:ind w:left="720"/>
        <w:contextualSpacing w:val="0"/>
      </w:pPr>
      <w:r>
        <w:t>“Successful bidder” shall mean the business entity selected by the CDE as the business entity to administer its proposal and subsequent contract to support the accomplishment of any task(s) described in this RFP.</w:t>
      </w:r>
    </w:p>
    <w:p w14:paraId="69F304F1" w14:textId="77777777" w:rsidR="00537458" w:rsidRPr="00D22A88" w:rsidRDefault="00537458" w:rsidP="0073322E">
      <w:pPr>
        <w:pStyle w:val="ListParagraph"/>
        <w:numPr>
          <w:ilvl w:val="0"/>
          <w:numId w:val="20"/>
        </w:numPr>
        <w:spacing w:before="240" w:after="240"/>
        <w:ind w:left="720"/>
        <w:contextualSpacing w:val="0"/>
      </w:pPr>
      <w:r w:rsidRPr="00D22A88">
        <w:t>“Working day” shall mean days Monday through Friday, inclusive, but exclusive of the CDE-observed holidays.</w:t>
      </w:r>
    </w:p>
    <w:p w14:paraId="2B11731C" w14:textId="77777777" w:rsidR="00537458" w:rsidRDefault="00537458" w:rsidP="00537458">
      <w:pPr>
        <w:rPr>
          <w:rFonts w:eastAsia="Times New Roman" w:cs="Arial"/>
          <w:b/>
          <w:bCs/>
          <w:iCs/>
          <w:snapToGrid w:val="0"/>
          <w:sz w:val="32"/>
          <w:szCs w:val="28"/>
        </w:rPr>
      </w:pPr>
      <w:r>
        <w:rPr>
          <w:snapToGrid w:val="0"/>
        </w:rPr>
        <w:br w:type="page"/>
      </w:r>
    </w:p>
    <w:p w14:paraId="3E6DF750" w14:textId="65D753A3" w:rsidR="00537458" w:rsidRPr="009A4462" w:rsidRDefault="00537458" w:rsidP="00E43B4A">
      <w:pPr>
        <w:pStyle w:val="Heading2"/>
        <w:rPr>
          <w:rStyle w:val="Heading3Char"/>
          <w:b/>
        </w:rPr>
      </w:pPr>
      <w:bookmarkStart w:id="6" w:name="_Toc224571222"/>
      <w:r>
        <w:rPr>
          <w:snapToGrid w:val="0"/>
        </w:rPr>
        <w:lastRenderedPageBreak/>
        <w:t>3</w:t>
      </w:r>
      <w:r w:rsidRPr="00C40EFC">
        <w:rPr>
          <w:rStyle w:val="Heading2Char"/>
          <w:b/>
        </w:rPr>
        <w:t>. PROPOSAL SPECIFICATIONS</w:t>
      </w:r>
      <w:bookmarkEnd w:id="6"/>
    </w:p>
    <w:p w14:paraId="1BB59A5F" w14:textId="6068C7FB" w:rsidR="00537458" w:rsidRPr="00CA043A" w:rsidRDefault="00537458" w:rsidP="00F67ED5">
      <w:pPr>
        <w:pStyle w:val="Heading3"/>
      </w:pPr>
      <w:r>
        <w:t>3</w:t>
      </w:r>
      <w:r w:rsidRPr="00CA043A">
        <w:t>.1 Technical Proposal Requirements</w:t>
      </w:r>
    </w:p>
    <w:p w14:paraId="20EFEDFA" w14:textId="26DB83A5" w:rsidR="00537458" w:rsidRDefault="00537458" w:rsidP="00537458">
      <w:pPr>
        <w:spacing w:before="240" w:after="240"/>
      </w:pPr>
      <w:r w:rsidRPr="006E44A4">
        <w:t xml:space="preserve">Each bidder must submit a </w:t>
      </w:r>
      <w:r>
        <w:t>Technical Proposal</w:t>
      </w:r>
      <w:r w:rsidRPr="006E44A4">
        <w:t xml:space="preserve"> that contains </w:t>
      </w:r>
      <w:proofErr w:type="gramStart"/>
      <w:r w:rsidRPr="006E44A4">
        <w:t>all of</w:t>
      </w:r>
      <w:proofErr w:type="gramEnd"/>
      <w:r w:rsidRPr="006E44A4">
        <w:t xml:space="preserve"> the required items listed below. One original</w:t>
      </w:r>
      <w:r w:rsidR="00B911A3">
        <w:t xml:space="preserve"> hardcopy</w:t>
      </w:r>
      <w:r w:rsidRPr="006E44A4">
        <w:t xml:space="preserve"> (clearly marked original) and </w:t>
      </w:r>
      <w:r w:rsidR="001B23D5">
        <w:t>three</w:t>
      </w:r>
      <w:r w:rsidRPr="006E44A4">
        <w:t xml:space="preserve"> (</w:t>
      </w:r>
      <w:r w:rsidR="001B23D5">
        <w:t>3</w:t>
      </w:r>
      <w:r w:rsidRPr="006E44A4">
        <w:t xml:space="preserve">) copies </w:t>
      </w:r>
      <w:r w:rsidR="00B911A3">
        <w:t xml:space="preserve">(hardcopy) </w:t>
      </w:r>
      <w:r w:rsidRPr="006E44A4">
        <w:t xml:space="preserve">of the </w:t>
      </w:r>
      <w:r>
        <w:t>Technical Proposal</w:t>
      </w:r>
      <w:r w:rsidRPr="006E44A4">
        <w:t xml:space="preserve">, </w:t>
      </w:r>
      <w:r w:rsidR="001B23D5">
        <w:t xml:space="preserve">and one electronic copy of the Technical Proposal’s complete submission on a portable </w:t>
      </w:r>
      <w:r w:rsidR="00B911A3">
        <w:t xml:space="preserve">USB </w:t>
      </w:r>
      <w:r w:rsidR="001B23D5">
        <w:t xml:space="preserve">drive, must be submitted </w:t>
      </w:r>
      <w:r w:rsidRPr="006E44A4">
        <w:t xml:space="preserve">along with all required attachments, </w:t>
      </w:r>
      <w:r w:rsidR="001B23D5">
        <w:t xml:space="preserve">and </w:t>
      </w:r>
      <w:r w:rsidRPr="006E44A4">
        <w:t xml:space="preserve">must be sealed, marked, and packaged separately from the </w:t>
      </w:r>
      <w:r>
        <w:t>C</w:t>
      </w:r>
      <w:r w:rsidRPr="006E44A4">
        <w:t xml:space="preserve">ost </w:t>
      </w:r>
      <w:r>
        <w:t>P</w:t>
      </w:r>
      <w:r w:rsidRPr="006E44A4">
        <w:t xml:space="preserve">roposal. Also refer to RFP Section </w:t>
      </w:r>
      <w:r w:rsidR="00A40EF1">
        <w:t>3</w:t>
      </w:r>
      <w:r w:rsidRPr="006E44A4">
        <w:t xml:space="preserve">.2 </w:t>
      </w:r>
      <w:r>
        <w:t>(</w:t>
      </w:r>
      <w:r w:rsidRPr="006E44A4">
        <w:t xml:space="preserve">Required </w:t>
      </w:r>
      <w:r>
        <w:t>Forms/</w:t>
      </w:r>
      <w:r w:rsidRPr="006E44A4">
        <w:t>Attachments</w:t>
      </w:r>
      <w:r>
        <w:t>)</w:t>
      </w:r>
      <w:r w:rsidRPr="006E44A4">
        <w:t xml:space="preserve"> for attachments that must accompany the </w:t>
      </w:r>
      <w:r>
        <w:t>Technical Proposal</w:t>
      </w:r>
      <w:r w:rsidRPr="006E44A4">
        <w:t xml:space="preserve"> and RFP Section </w:t>
      </w:r>
      <w:r w:rsidR="00A40EF1">
        <w:t>3</w:t>
      </w:r>
      <w:r w:rsidRPr="006E44A4">
        <w:t>.</w:t>
      </w:r>
      <w:r>
        <w:t>5 (</w:t>
      </w:r>
      <w:r w:rsidRPr="006E44A4">
        <w:t>Submission of Proposal</w:t>
      </w:r>
      <w:r>
        <w:t xml:space="preserve">) </w:t>
      </w:r>
      <w:r w:rsidRPr="006E44A4">
        <w:t>for submittal details.</w:t>
      </w:r>
      <w:r w:rsidR="00971DC4">
        <w:t xml:space="preserve"> </w:t>
      </w:r>
      <w:r w:rsidR="00971DC4" w:rsidRPr="00C75525">
        <w:rPr>
          <w:rFonts w:cs="Arial"/>
        </w:rPr>
        <w:t>The resulting contract will be a cost reimbursement contract</w:t>
      </w:r>
      <w:r w:rsidR="00971DC4">
        <w:rPr>
          <w:rFonts w:cs="Arial"/>
        </w:rPr>
        <w:t xml:space="preserve"> using the Technical Proposal as the contract scope of work</w:t>
      </w:r>
      <w:r w:rsidR="00971DC4" w:rsidRPr="00C75525">
        <w:rPr>
          <w:rFonts w:cs="Arial"/>
        </w:rPr>
        <w:t xml:space="preserve">. (Refer to RFP, Section </w:t>
      </w:r>
      <w:r w:rsidR="00971DC4">
        <w:rPr>
          <w:rFonts w:cs="Arial"/>
        </w:rPr>
        <w:t>2</w:t>
      </w:r>
      <w:r w:rsidR="00971DC4" w:rsidRPr="00C75525">
        <w:rPr>
          <w:rFonts w:cs="Arial"/>
        </w:rPr>
        <w:t>.</w:t>
      </w:r>
      <w:r w:rsidR="00971DC4">
        <w:rPr>
          <w:rFonts w:cs="Arial"/>
        </w:rPr>
        <w:t>8</w:t>
      </w:r>
      <w:r w:rsidR="00971DC4" w:rsidRPr="00C75525">
        <w:rPr>
          <w:rFonts w:cs="Arial"/>
        </w:rPr>
        <w:t xml:space="preserve"> for the definition of </w:t>
      </w:r>
      <w:r w:rsidR="00971DC4">
        <w:rPr>
          <w:rFonts w:cs="Arial"/>
        </w:rPr>
        <w:t>“</w:t>
      </w:r>
      <w:r w:rsidR="00971DC4" w:rsidRPr="00F96166">
        <w:rPr>
          <w:rFonts w:cs="Arial"/>
        </w:rPr>
        <w:t>cost reimbursement</w:t>
      </w:r>
      <w:r w:rsidR="00971DC4">
        <w:rPr>
          <w:rFonts w:cs="Arial"/>
        </w:rPr>
        <w:t>”</w:t>
      </w:r>
      <w:r w:rsidR="00971DC4" w:rsidRPr="00F96166">
        <w:rPr>
          <w:rFonts w:cs="Arial"/>
        </w:rPr>
        <w:t>).</w:t>
      </w:r>
    </w:p>
    <w:p w14:paraId="2F8963E4" w14:textId="78612EAF" w:rsidR="00537458" w:rsidRPr="006E44A4" w:rsidRDefault="00537458" w:rsidP="00537458">
      <w:pPr>
        <w:spacing w:before="240" w:after="240"/>
      </w:pPr>
      <w:r w:rsidRPr="006E44A4">
        <w:t xml:space="preserve">Separately, each bidder must submit a Cost Proposal that includes the costs for completing all tasks in the </w:t>
      </w:r>
      <w:r>
        <w:t>Technical Proposal</w:t>
      </w:r>
      <w:r w:rsidR="00B911A3">
        <w:t>. See RFP Section 3.3 Cost Proposal Requirements for submission requirements for the Cost Proposal</w:t>
      </w:r>
      <w:r w:rsidRPr="006E44A4">
        <w:t xml:space="preserve">. Do not submit any cost information with the </w:t>
      </w:r>
      <w:r>
        <w:t>Technical Proposal</w:t>
      </w:r>
      <w:r w:rsidRPr="006E44A4">
        <w:t>.</w:t>
      </w:r>
    </w:p>
    <w:p w14:paraId="44C9F406" w14:textId="77777777" w:rsidR="00537458" w:rsidRPr="00EA29E7" w:rsidRDefault="00537458" w:rsidP="00537458">
      <w:pPr>
        <w:spacing w:before="240" w:after="240"/>
      </w:pPr>
      <w:r w:rsidRPr="00EA29E7">
        <w:t>DO NOT include the "budget" or any financial or cost information with the Technical Proposal.</w:t>
      </w:r>
      <w:r w:rsidRPr="007A67BF">
        <w:rPr>
          <w:rFonts w:cs="Arial"/>
        </w:rPr>
        <w:t xml:space="preserve"> </w:t>
      </w:r>
      <w:r w:rsidRPr="00C75525">
        <w:rPr>
          <w:rFonts w:cs="Arial"/>
        </w:rPr>
        <w:t>IF ANY COSTS, RATES, OR DOLLAR AMOUNTS APPEAR IN THE TECHNICAL PROPOSAL, THE BIDDER’S PROPOSAL MAY BE DISQUALIFIED.</w:t>
      </w:r>
    </w:p>
    <w:p w14:paraId="12A36DFD" w14:textId="0501DAE4" w:rsidR="00537458" w:rsidRDefault="00537458" w:rsidP="00537458">
      <w:pPr>
        <w:pStyle w:val="Heading4"/>
        <w:rPr>
          <w:rFonts w:eastAsia="Times New Roman"/>
          <w:snapToGrid w:val="0"/>
        </w:rPr>
      </w:pPr>
      <w:r>
        <w:rPr>
          <w:rFonts w:eastAsia="Times New Roman"/>
          <w:snapToGrid w:val="0"/>
        </w:rPr>
        <w:t xml:space="preserve">3.1.1 </w:t>
      </w:r>
      <w:r w:rsidRPr="00F5374E">
        <w:rPr>
          <w:rFonts w:eastAsia="Times New Roman"/>
          <w:snapToGrid w:val="0"/>
        </w:rPr>
        <w:t>Table of Contents</w:t>
      </w:r>
    </w:p>
    <w:p w14:paraId="22BF344A" w14:textId="77777777" w:rsidR="00537458" w:rsidRPr="00F5374E" w:rsidRDefault="00537458" w:rsidP="00537458">
      <w:pPr>
        <w:spacing w:after="240"/>
        <w:rPr>
          <w:snapToGrid w:val="0"/>
        </w:rPr>
      </w:pPr>
      <w:r w:rsidRPr="00F5374E">
        <w:rPr>
          <w:snapToGrid w:val="0"/>
        </w:rPr>
        <w:t>The Technical Proposal must include a Table of Contents which identifies by page number all section and subsection headings in the Technical Proposal.</w:t>
      </w:r>
    </w:p>
    <w:p w14:paraId="1C45C943" w14:textId="6464DBE4" w:rsidR="00537458" w:rsidRDefault="00537458" w:rsidP="00537458">
      <w:pPr>
        <w:pStyle w:val="Heading4"/>
        <w:rPr>
          <w:rFonts w:eastAsia="Times New Roman"/>
          <w:snapToGrid w:val="0"/>
        </w:rPr>
      </w:pPr>
      <w:r>
        <w:rPr>
          <w:rFonts w:eastAsia="Times New Roman"/>
          <w:snapToGrid w:val="0"/>
        </w:rPr>
        <w:t>3.1.2 Scope of Project</w:t>
      </w:r>
    </w:p>
    <w:p w14:paraId="3C46C2AB" w14:textId="5B9DA3F7" w:rsidR="00537458" w:rsidRPr="00C364F8" w:rsidRDefault="00537458" w:rsidP="00537458">
      <w:pPr>
        <w:spacing w:after="240"/>
        <w:rPr>
          <w:snapToGrid w:val="0"/>
        </w:rPr>
      </w:pPr>
      <w:r w:rsidRPr="00F5374E">
        <w:rPr>
          <w:snapToGrid w:val="0"/>
        </w:rPr>
        <w:t xml:space="preserve">The Technical Proposal must include a section that addresses all parts of Section </w:t>
      </w:r>
      <w:r w:rsidR="00DC395C">
        <w:rPr>
          <w:snapToGrid w:val="0"/>
        </w:rPr>
        <w:t>7</w:t>
      </w:r>
      <w:r w:rsidRPr="00F5374E">
        <w:rPr>
          <w:snapToGrid w:val="0"/>
        </w:rPr>
        <w:t xml:space="preserve"> of the RFP. All tasks and subtasks</w:t>
      </w:r>
      <w:r>
        <w:rPr>
          <w:snapToGrid w:val="0"/>
        </w:rPr>
        <w:t xml:space="preserve"> in Section </w:t>
      </w:r>
      <w:r w:rsidR="001B23D5">
        <w:rPr>
          <w:snapToGrid w:val="0"/>
        </w:rPr>
        <w:t>7</w:t>
      </w:r>
      <w:r w:rsidRPr="00F5374E">
        <w:rPr>
          <w:snapToGrid w:val="0"/>
        </w:rPr>
        <w:t xml:space="preserve"> must be addressed.</w:t>
      </w:r>
      <w:r w:rsidRPr="00646EE8">
        <w:t xml:space="preserve"> </w:t>
      </w:r>
      <w:r>
        <w:t xml:space="preserve">Any deviation from the tasks and subtasks described in Section </w:t>
      </w:r>
      <w:r w:rsidR="001B23D5">
        <w:t>7</w:t>
      </w:r>
      <w:r>
        <w:t xml:space="preserve"> (Scope of Project) will not be considered and will cause a proposal to </w:t>
      </w:r>
      <w:r w:rsidRPr="00C364F8">
        <w:t>be rejected.</w:t>
      </w:r>
    </w:p>
    <w:p w14:paraId="01A6DDDC" w14:textId="58FF999D" w:rsidR="00537458" w:rsidRPr="00C364F8" w:rsidRDefault="00537458" w:rsidP="00537458">
      <w:pPr>
        <w:spacing w:after="240"/>
        <w:rPr>
          <w:rFonts w:eastAsia="Times New Roman" w:cs="Arial"/>
          <w:bCs/>
          <w:snapToGrid w:val="0"/>
          <w:szCs w:val="20"/>
        </w:rPr>
      </w:pPr>
      <w:r w:rsidRPr="00C364F8">
        <w:rPr>
          <w:rFonts w:eastAsia="Times New Roman" w:cs="Arial"/>
          <w:bCs/>
          <w:snapToGrid w:val="0"/>
          <w:szCs w:val="20"/>
        </w:rPr>
        <w:t>This Technical Proposal must address five main tasks:</w:t>
      </w:r>
    </w:p>
    <w:p w14:paraId="7999FC30" w14:textId="77777777" w:rsidR="00537458" w:rsidRPr="00C364F8" w:rsidRDefault="00537458" w:rsidP="00537458">
      <w:pPr>
        <w:spacing w:after="240"/>
        <w:rPr>
          <w:rFonts w:eastAsia="Times New Roman" w:cs="Arial"/>
          <w:bCs/>
          <w:snapToGrid w:val="0"/>
          <w:szCs w:val="20"/>
        </w:rPr>
      </w:pPr>
      <w:r w:rsidRPr="00C364F8">
        <w:rPr>
          <w:rFonts w:eastAsia="Times New Roman" w:cs="Arial"/>
          <w:bCs/>
          <w:snapToGrid w:val="0"/>
          <w:szCs w:val="20"/>
        </w:rPr>
        <w:t>Task 1 – Coordination and Communications with the CDE</w:t>
      </w:r>
    </w:p>
    <w:p w14:paraId="236CB148" w14:textId="77777777" w:rsidR="00537458" w:rsidRPr="00C364F8" w:rsidRDefault="00537458" w:rsidP="00537458">
      <w:pPr>
        <w:spacing w:after="240"/>
        <w:rPr>
          <w:rFonts w:eastAsia="Times New Roman" w:cs="Arial"/>
          <w:bCs/>
          <w:snapToGrid w:val="0"/>
          <w:szCs w:val="20"/>
        </w:rPr>
      </w:pPr>
      <w:r w:rsidRPr="00C364F8">
        <w:rPr>
          <w:rFonts w:eastAsia="Times New Roman" w:cs="Arial"/>
          <w:bCs/>
          <w:snapToGrid w:val="0"/>
          <w:szCs w:val="20"/>
        </w:rPr>
        <w:t>Task 2 – Reports, Invoices, and Data File Requirements</w:t>
      </w:r>
    </w:p>
    <w:p w14:paraId="1BD9CF21" w14:textId="77777777" w:rsidR="00537458" w:rsidRPr="00C364F8" w:rsidRDefault="00537458" w:rsidP="00537458">
      <w:pPr>
        <w:spacing w:after="240"/>
        <w:rPr>
          <w:rFonts w:eastAsia="Times New Roman" w:cs="Arial"/>
          <w:bCs/>
          <w:snapToGrid w:val="0"/>
          <w:szCs w:val="20"/>
        </w:rPr>
      </w:pPr>
      <w:r w:rsidRPr="00C364F8">
        <w:rPr>
          <w:rFonts w:eastAsia="Times New Roman" w:cs="Arial"/>
          <w:bCs/>
          <w:snapToGrid w:val="0"/>
          <w:szCs w:val="20"/>
        </w:rPr>
        <w:t>Task 3 – Comprehensive Plan and Schedule for Project Activities and Deliverables</w:t>
      </w:r>
    </w:p>
    <w:p w14:paraId="0DEBF2C4" w14:textId="30E48465" w:rsidR="00537458" w:rsidRPr="00C364F8" w:rsidRDefault="00537458" w:rsidP="00537458">
      <w:pPr>
        <w:spacing w:after="240"/>
        <w:rPr>
          <w:rFonts w:eastAsia="Times New Roman" w:cs="Arial"/>
          <w:bCs/>
          <w:snapToGrid w:val="0"/>
          <w:szCs w:val="20"/>
        </w:rPr>
      </w:pPr>
      <w:r w:rsidRPr="00C364F8">
        <w:rPr>
          <w:rFonts w:eastAsia="Times New Roman" w:cs="Arial"/>
          <w:bCs/>
          <w:snapToGrid w:val="0"/>
          <w:szCs w:val="20"/>
        </w:rPr>
        <w:t xml:space="preserve">Task 4 – </w:t>
      </w:r>
      <w:r w:rsidR="00C364F8">
        <w:rPr>
          <w:rFonts w:cs="Arial"/>
          <w:szCs w:val="24"/>
        </w:rPr>
        <w:t>Congressional Liaison</w:t>
      </w:r>
    </w:p>
    <w:p w14:paraId="2FCD1183" w14:textId="32ED9614" w:rsidR="00537458" w:rsidRPr="00C364F8" w:rsidRDefault="00537458" w:rsidP="00537458">
      <w:pPr>
        <w:spacing w:after="240"/>
        <w:rPr>
          <w:rFonts w:eastAsia="Times New Roman" w:cs="Arial"/>
          <w:bCs/>
          <w:snapToGrid w:val="0"/>
          <w:szCs w:val="20"/>
        </w:rPr>
      </w:pPr>
      <w:r w:rsidRPr="00C364F8">
        <w:rPr>
          <w:rFonts w:eastAsia="Times New Roman" w:cs="Arial"/>
          <w:bCs/>
          <w:snapToGrid w:val="0"/>
          <w:szCs w:val="20"/>
        </w:rPr>
        <w:t xml:space="preserve">Task 5 – </w:t>
      </w:r>
      <w:r w:rsidR="00C364F8">
        <w:rPr>
          <w:rFonts w:eastAsia="Times New Roman" w:cs="Arial"/>
          <w:bCs/>
          <w:snapToGrid w:val="0"/>
          <w:szCs w:val="20"/>
        </w:rPr>
        <w:t>Administrative Liaison</w:t>
      </w:r>
    </w:p>
    <w:p w14:paraId="69258CEE" w14:textId="27410FCC" w:rsidR="00537458" w:rsidRDefault="00537458" w:rsidP="00537458">
      <w:pPr>
        <w:pStyle w:val="Heading4"/>
        <w:rPr>
          <w:rFonts w:eastAsia="Times New Roman"/>
          <w:snapToGrid w:val="0"/>
        </w:rPr>
      </w:pPr>
      <w:r>
        <w:rPr>
          <w:rFonts w:eastAsia="Times New Roman"/>
          <w:snapToGrid w:val="0"/>
        </w:rPr>
        <w:lastRenderedPageBreak/>
        <w:t xml:space="preserve">3.1.3 </w:t>
      </w:r>
      <w:r w:rsidRPr="00F5374E">
        <w:rPr>
          <w:rFonts w:eastAsia="Times New Roman"/>
          <w:snapToGrid w:val="0"/>
        </w:rPr>
        <w:t>Organization Structure and Personnel Resources</w:t>
      </w:r>
    </w:p>
    <w:p w14:paraId="609C6518" w14:textId="3B2759E3" w:rsidR="00537458" w:rsidRPr="00F5374E" w:rsidRDefault="00537458" w:rsidP="00537458">
      <w:pPr>
        <w:widowControl w:val="0"/>
        <w:spacing w:before="240" w:after="240"/>
        <w:rPr>
          <w:rFonts w:eastAsia="Times New Roman" w:cs="Arial"/>
          <w:snapToGrid w:val="0"/>
          <w:szCs w:val="20"/>
        </w:rPr>
      </w:pPr>
      <w:r w:rsidRPr="00F5374E">
        <w:rPr>
          <w:rFonts w:eastAsia="Times New Roman" w:cs="Arial"/>
          <w:snapToGrid w:val="0"/>
          <w:szCs w:val="20"/>
        </w:rPr>
        <w:t xml:space="preserve">The content of this section must describe how the bidder proposes to organize its resources necessary to complete the tasks and deliverables contained in RFP Section </w:t>
      </w:r>
      <w:r w:rsidR="001B23D5">
        <w:rPr>
          <w:rFonts w:eastAsia="Times New Roman" w:cs="Arial"/>
          <w:snapToGrid w:val="0"/>
          <w:szCs w:val="20"/>
        </w:rPr>
        <w:t>7</w:t>
      </w:r>
      <w:r w:rsidRPr="00F5374E">
        <w:rPr>
          <w:rFonts w:eastAsia="Times New Roman" w:cs="Arial"/>
          <w:snapToGrid w:val="0"/>
          <w:szCs w:val="20"/>
        </w:rPr>
        <w:t xml:space="preserve"> Scope of Project. The content must demonstrate the bidder’s ability to provide the services set forth in this RFP. This section of the Technical Proposal must address the following:</w:t>
      </w:r>
    </w:p>
    <w:p w14:paraId="6ADF335E" w14:textId="77777777" w:rsidR="00537458" w:rsidRDefault="00537458" w:rsidP="00A0749C">
      <w:pPr>
        <w:pStyle w:val="ListParagraph"/>
        <w:widowControl w:val="0"/>
        <w:numPr>
          <w:ilvl w:val="0"/>
          <w:numId w:val="23"/>
        </w:numPr>
        <w:spacing w:before="240" w:after="240"/>
        <w:ind w:left="720" w:hanging="720"/>
        <w:contextualSpacing w:val="0"/>
        <w:rPr>
          <w:rFonts w:eastAsia="Times New Roman" w:cs="Arial"/>
          <w:snapToGrid w:val="0"/>
          <w:szCs w:val="20"/>
        </w:rPr>
      </w:pPr>
      <w:r w:rsidRPr="00F5374E">
        <w:rPr>
          <w:rFonts w:eastAsia="Times New Roman" w:cs="Arial"/>
          <w:snapToGrid w:val="0"/>
          <w:szCs w:val="20"/>
        </w:rPr>
        <w:t>Ser</w:t>
      </w:r>
      <w:r>
        <w:rPr>
          <w:rFonts w:eastAsia="Times New Roman" w:cs="Arial"/>
          <w:snapToGrid w:val="0"/>
          <w:szCs w:val="20"/>
        </w:rPr>
        <w:t>vices and A</w:t>
      </w:r>
      <w:r w:rsidRPr="00F5374E">
        <w:rPr>
          <w:rFonts w:eastAsia="Times New Roman" w:cs="Arial"/>
          <w:snapToGrid w:val="0"/>
          <w:szCs w:val="20"/>
        </w:rPr>
        <w:t>ctivities</w:t>
      </w:r>
    </w:p>
    <w:p w14:paraId="0FC27B56" w14:textId="67A2F095" w:rsidR="00537458" w:rsidRPr="00F5374E" w:rsidRDefault="00537458" w:rsidP="00A0749C">
      <w:pPr>
        <w:widowControl w:val="0"/>
        <w:spacing w:before="240" w:after="240"/>
        <w:ind w:left="720"/>
        <w:rPr>
          <w:rFonts w:eastAsia="Times New Roman" w:cs="Arial"/>
          <w:snapToGrid w:val="0"/>
          <w:szCs w:val="20"/>
        </w:rPr>
      </w:pPr>
      <w:r w:rsidRPr="00F5374E">
        <w:rPr>
          <w:rFonts w:eastAsia="Times New Roman" w:cs="Arial"/>
          <w:snapToGrid w:val="0"/>
          <w:szCs w:val="20"/>
        </w:rPr>
        <w:t>Provide a description of the nature of the bidder’s services and activities. Indicate when the bidder, if</w:t>
      </w:r>
      <w:r w:rsidR="00A0749C">
        <w:rPr>
          <w:rFonts w:eastAsia="Times New Roman" w:cs="Arial"/>
          <w:snapToGrid w:val="0"/>
          <w:szCs w:val="20"/>
        </w:rPr>
        <w:t xml:space="preserve"> </w:t>
      </w:r>
      <w:r w:rsidRPr="00F5374E">
        <w:rPr>
          <w:rFonts w:eastAsia="Times New Roman" w:cs="Arial"/>
          <w:snapToGrid w:val="0"/>
          <w:szCs w:val="20"/>
        </w:rPr>
        <w:t>a business, was established; its brief history; and location. List the location(s) of the office(s) from which the primary work of this project will be conducted.</w:t>
      </w:r>
    </w:p>
    <w:p w14:paraId="33025228" w14:textId="77777777" w:rsidR="00537458" w:rsidRDefault="00537458" w:rsidP="00A0749C">
      <w:pPr>
        <w:pStyle w:val="ListParagraph"/>
        <w:widowControl w:val="0"/>
        <w:numPr>
          <w:ilvl w:val="0"/>
          <w:numId w:val="23"/>
        </w:numPr>
        <w:spacing w:before="240" w:after="240"/>
        <w:ind w:left="720" w:hanging="720"/>
        <w:contextualSpacing w:val="0"/>
        <w:rPr>
          <w:rFonts w:eastAsia="Times New Roman" w:cs="Arial"/>
          <w:snapToGrid w:val="0"/>
          <w:szCs w:val="20"/>
        </w:rPr>
      </w:pPr>
      <w:r w:rsidRPr="00F5374E">
        <w:rPr>
          <w:rFonts w:eastAsia="Times New Roman" w:cs="Arial"/>
          <w:snapToGrid w:val="0"/>
          <w:szCs w:val="20"/>
        </w:rPr>
        <w:t>Project Manager</w:t>
      </w:r>
    </w:p>
    <w:p w14:paraId="7B16A00B" w14:textId="6C8BDC5C" w:rsidR="00537458" w:rsidRDefault="00537458" w:rsidP="00A0749C">
      <w:pPr>
        <w:pStyle w:val="ListParagraph"/>
        <w:widowControl w:val="0"/>
        <w:spacing w:before="240" w:after="240"/>
        <w:contextualSpacing w:val="0"/>
        <w:rPr>
          <w:rFonts w:eastAsia="Times New Roman" w:cs="Arial"/>
          <w:snapToGrid w:val="0"/>
          <w:szCs w:val="20"/>
        </w:rPr>
      </w:pPr>
      <w:r w:rsidRPr="00F5374E">
        <w:rPr>
          <w:rFonts w:eastAsia="Times New Roman" w:cs="Arial"/>
          <w:snapToGrid w:val="0"/>
          <w:szCs w:val="20"/>
        </w:rPr>
        <w:t xml:space="preserve">Identify by </w:t>
      </w:r>
      <w:proofErr w:type="gramStart"/>
      <w:r w:rsidRPr="00F5374E">
        <w:rPr>
          <w:rFonts w:eastAsia="Times New Roman" w:cs="Arial"/>
          <w:snapToGrid w:val="0"/>
          <w:szCs w:val="20"/>
        </w:rPr>
        <w:t>name,</w:t>
      </w:r>
      <w:proofErr w:type="gramEnd"/>
      <w:r w:rsidRPr="00F5374E">
        <w:rPr>
          <w:rFonts w:eastAsia="Times New Roman" w:cs="Arial"/>
          <w:snapToGrid w:val="0"/>
          <w:szCs w:val="20"/>
        </w:rPr>
        <w:t xml:space="preserve"> the Project Manager to be employed</w:t>
      </w:r>
      <w:r>
        <w:rPr>
          <w:rFonts w:eastAsia="Times New Roman" w:cs="Arial"/>
          <w:snapToGrid w:val="0"/>
          <w:szCs w:val="20"/>
        </w:rPr>
        <w:t xml:space="preserve"> by the Prime Contractor</w:t>
      </w:r>
      <w:r w:rsidRPr="00F5374E">
        <w:rPr>
          <w:rFonts w:eastAsia="Times New Roman" w:cs="Arial"/>
          <w:snapToGrid w:val="0"/>
          <w:szCs w:val="20"/>
        </w:rPr>
        <w:t xml:space="preserve">, and describe how the proposed Project Manager meets the minimum qualifications stated below. The Technical Proposal must describe how the bidder’s Project </w:t>
      </w:r>
      <w:proofErr w:type="gramStart"/>
      <w:r w:rsidRPr="00F5374E">
        <w:rPr>
          <w:rFonts w:eastAsia="Times New Roman" w:cs="Arial"/>
          <w:snapToGrid w:val="0"/>
          <w:szCs w:val="20"/>
        </w:rPr>
        <w:t>Manager will</w:t>
      </w:r>
      <w:proofErr w:type="gramEnd"/>
      <w:r w:rsidRPr="00F5374E">
        <w:rPr>
          <w:rFonts w:eastAsia="Times New Roman" w:cs="Arial"/>
          <w:snapToGrid w:val="0"/>
          <w:szCs w:val="20"/>
        </w:rPr>
        <w:t xml:space="preserve"> effectively coordinate, manage, and monitor the efforts of the assigned staff, including subcontractors and/or consultants, to ensure that all tasks</w:t>
      </w:r>
      <w:r>
        <w:rPr>
          <w:rFonts w:eastAsia="Times New Roman" w:cs="Arial"/>
          <w:snapToGrid w:val="0"/>
          <w:szCs w:val="20"/>
        </w:rPr>
        <w:t>/subtasks</w:t>
      </w:r>
      <w:r w:rsidRPr="00F5374E">
        <w:rPr>
          <w:rFonts w:eastAsia="Times New Roman" w:cs="Arial"/>
          <w:snapToGrid w:val="0"/>
          <w:szCs w:val="20"/>
        </w:rPr>
        <w:t xml:space="preserve">, activities, and functions are completed effectively and in a timely manner. </w:t>
      </w:r>
      <w:r w:rsidR="00E972DE" w:rsidRPr="00E972DE">
        <w:rPr>
          <w:rFonts w:eastAsia="Times New Roman" w:cs="Arial"/>
          <w:snapToGrid w:val="0"/>
          <w:szCs w:val="20"/>
        </w:rPr>
        <w:t xml:space="preserve">The Project Manager to be </w:t>
      </w:r>
      <w:proofErr w:type="gramStart"/>
      <w:r w:rsidR="00E972DE" w:rsidRPr="00E972DE">
        <w:rPr>
          <w:rFonts w:eastAsia="Times New Roman" w:cs="Arial"/>
          <w:snapToGrid w:val="0"/>
          <w:szCs w:val="20"/>
        </w:rPr>
        <w:t>employed,</w:t>
      </w:r>
      <w:proofErr w:type="gramEnd"/>
      <w:r w:rsidR="00E972DE" w:rsidRPr="00E972DE">
        <w:rPr>
          <w:rFonts w:eastAsia="Times New Roman" w:cs="Arial"/>
          <w:snapToGrid w:val="0"/>
          <w:szCs w:val="20"/>
        </w:rPr>
        <w:t xml:space="preserve"> must </w:t>
      </w:r>
      <w:proofErr w:type="gramStart"/>
      <w:r w:rsidR="00E972DE" w:rsidRPr="00E972DE">
        <w:rPr>
          <w:rFonts w:eastAsia="Times New Roman" w:cs="Arial"/>
          <w:snapToGrid w:val="0"/>
          <w:szCs w:val="20"/>
        </w:rPr>
        <w:t>be</w:t>
      </w:r>
      <w:proofErr w:type="gramEnd"/>
      <w:r w:rsidR="00E972DE" w:rsidRPr="00E972DE">
        <w:rPr>
          <w:rFonts w:eastAsia="Times New Roman" w:cs="Arial"/>
          <w:snapToGrid w:val="0"/>
          <w:szCs w:val="20"/>
        </w:rPr>
        <w:t xml:space="preserve"> a full-time equivalent position and include full-time phone coverage or support assistant. </w:t>
      </w:r>
      <w:r w:rsidRPr="00F5374E">
        <w:rPr>
          <w:rFonts w:eastAsia="Times New Roman" w:cs="Arial"/>
          <w:snapToGrid w:val="0"/>
          <w:szCs w:val="20"/>
        </w:rPr>
        <w:t xml:space="preserve">The Project Manager </w:t>
      </w:r>
      <w:r>
        <w:rPr>
          <w:rFonts w:eastAsia="Times New Roman" w:cs="Arial"/>
          <w:snapToGrid w:val="0"/>
          <w:szCs w:val="20"/>
        </w:rPr>
        <w:t>identified in the Technical Proposal will be listed as the successful bidder’s Contract Monitor of the contract.</w:t>
      </w:r>
    </w:p>
    <w:p w14:paraId="2E06CC32" w14:textId="2266B389" w:rsidR="00537458" w:rsidRDefault="00537458" w:rsidP="00A0749C">
      <w:pPr>
        <w:pStyle w:val="ListParagraph"/>
        <w:widowControl w:val="0"/>
        <w:spacing w:before="240" w:after="240"/>
        <w:contextualSpacing w:val="0"/>
        <w:rPr>
          <w:rFonts w:eastAsia="Times New Roman" w:cs="Arial"/>
          <w:snapToGrid w:val="0"/>
          <w:szCs w:val="20"/>
        </w:rPr>
      </w:pPr>
      <w:r w:rsidRPr="009350B3">
        <w:rPr>
          <w:rFonts w:eastAsia="Times New Roman" w:cs="Arial"/>
          <w:snapToGrid w:val="0"/>
          <w:szCs w:val="20"/>
        </w:rPr>
        <w:t xml:space="preserve">The Project Manager is the bidder’s primary person assigned to oversee the project. The Project Manager must be an employee of the </w:t>
      </w:r>
      <w:r w:rsidR="006C6950">
        <w:rPr>
          <w:rFonts w:eastAsia="Times New Roman" w:cs="Arial"/>
          <w:snapToGrid w:val="0"/>
          <w:szCs w:val="20"/>
        </w:rPr>
        <w:t>P</w:t>
      </w:r>
      <w:r w:rsidRPr="009350B3">
        <w:rPr>
          <w:rFonts w:eastAsia="Times New Roman" w:cs="Arial"/>
          <w:snapToGrid w:val="0"/>
          <w:szCs w:val="20"/>
        </w:rPr>
        <w:t xml:space="preserve">rime </w:t>
      </w:r>
      <w:r w:rsidR="006C6950">
        <w:rPr>
          <w:rFonts w:eastAsia="Times New Roman" w:cs="Arial"/>
          <w:snapToGrid w:val="0"/>
          <w:szCs w:val="20"/>
        </w:rPr>
        <w:t>Contractor</w:t>
      </w:r>
      <w:r w:rsidRPr="009350B3">
        <w:rPr>
          <w:rFonts w:eastAsia="Times New Roman" w:cs="Arial"/>
          <w:snapToGrid w:val="0"/>
          <w:szCs w:val="20"/>
        </w:rPr>
        <w:t xml:space="preserve"> and will act as the liaison between the CDE and all other project staff. The Project Manager is responsible for ensuring completion of all project deliverables, tasks, and subtasks.</w:t>
      </w:r>
    </w:p>
    <w:p w14:paraId="55D459ED" w14:textId="33C46D76" w:rsidR="00537458" w:rsidRDefault="006C6950" w:rsidP="00A0749C">
      <w:pPr>
        <w:pStyle w:val="ListParagraph"/>
        <w:widowControl w:val="0"/>
        <w:spacing w:before="240" w:after="240"/>
        <w:contextualSpacing w:val="0"/>
        <w:rPr>
          <w:rFonts w:eastAsia="Times New Roman" w:cs="Arial"/>
          <w:snapToGrid w:val="0"/>
          <w:szCs w:val="20"/>
        </w:rPr>
      </w:pPr>
      <w:r>
        <w:rPr>
          <w:rFonts w:eastAsia="Times New Roman" w:cs="Arial"/>
          <w:snapToGrid w:val="0"/>
          <w:szCs w:val="20"/>
        </w:rPr>
        <w:t xml:space="preserve">The </w:t>
      </w:r>
      <w:r w:rsidR="00537458" w:rsidRPr="009350B3">
        <w:rPr>
          <w:rFonts w:eastAsia="Times New Roman" w:cs="Arial"/>
          <w:snapToGrid w:val="0"/>
          <w:szCs w:val="20"/>
        </w:rPr>
        <w:t>Project Manager must have, at a minimum</w:t>
      </w:r>
      <w:r w:rsidR="00537458" w:rsidRPr="001E5A4F">
        <w:rPr>
          <w:rFonts w:eastAsia="Times New Roman" w:cs="Arial"/>
          <w:snapToGrid w:val="0"/>
          <w:szCs w:val="20"/>
        </w:rPr>
        <w:t>,</w:t>
      </w:r>
      <w:r w:rsidR="00537458" w:rsidRPr="00C364F8">
        <w:rPr>
          <w:rFonts w:eastAsia="Times New Roman" w:cs="Arial"/>
          <w:snapToGrid w:val="0"/>
          <w:szCs w:val="20"/>
        </w:rPr>
        <w:t xml:space="preserve"> a </w:t>
      </w:r>
      <w:r w:rsidR="00C364F8" w:rsidRPr="00C364F8">
        <w:rPr>
          <w:rFonts w:eastAsia="Times New Roman" w:cs="Arial"/>
          <w:snapToGrid w:val="0"/>
          <w:szCs w:val="20"/>
        </w:rPr>
        <w:t>law degree (JD).</w:t>
      </w:r>
      <w:r w:rsidR="00537458" w:rsidRPr="00C364F8">
        <w:rPr>
          <w:rFonts w:eastAsia="Times New Roman" w:cs="Arial"/>
          <w:snapToGrid w:val="0"/>
          <w:szCs w:val="20"/>
        </w:rPr>
        <w:t xml:space="preserve"> Additionally, the Project Manager must have three years of recent experience (within the last five years) </w:t>
      </w:r>
      <w:r w:rsidR="00537458">
        <w:rPr>
          <w:rFonts w:eastAsia="Times New Roman" w:cs="Arial"/>
          <w:snapToGrid w:val="0"/>
          <w:szCs w:val="20"/>
        </w:rPr>
        <w:t>in</w:t>
      </w:r>
      <w:r w:rsidR="00537458" w:rsidRPr="009350B3">
        <w:rPr>
          <w:rFonts w:eastAsia="Times New Roman" w:cs="Arial"/>
          <w:snapToGrid w:val="0"/>
          <w:szCs w:val="20"/>
        </w:rPr>
        <w:t xml:space="preserve"> managing a project comparable to the size and scope of the services described in this RFP.</w:t>
      </w:r>
    </w:p>
    <w:p w14:paraId="4E8AC90A" w14:textId="34A6899A" w:rsidR="00537458" w:rsidRPr="009350B3" w:rsidRDefault="00537458" w:rsidP="00A0749C">
      <w:pPr>
        <w:pStyle w:val="ListParagraph"/>
        <w:widowControl w:val="0"/>
        <w:spacing w:before="240" w:after="240"/>
        <w:contextualSpacing w:val="0"/>
        <w:rPr>
          <w:rFonts w:eastAsia="Times New Roman" w:cs="Arial"/>
          <w:snapToGrid w:val="0"/>
          <w:szCs w:val="20"/>
        </w:rPr>
      </w:pPr>
      <w:r w:rsidRPr="009350B3">
        <w:rPr>
          <w:rFonts w:eastAsia="Times New Roman" w:cs="Arial"/>
          <w:snapToGrid w:val="0"/>
          <w:szCs w:val="20"/>
        </w:rPr>
        <w:t xml:space="preserve">The Project Manager must </w:t>
      </w:r>
      <w:proofErr w:type="gramStart"/>
      <w:r w:rsidRPr="009350B3">
        <w:rPr>
          <w:rFonts w:eastAsia="Times New Roman" w:cs="Arial"/>
          <w:snapToGrid w:val="0"/>
          <w:szCs w:val="20"/>
        </w:rPr>
        <w:t>be accessible to the CDE Contract Monitor at all times</w:t>
      </w:r>
      <w:proofErr w:type="gramEnd"/>
      <w:r w:rsidRPr="009350B3">
        <w:rPr>
          <w:rFonts w:eastAsia="Times New Roman" w:cs="Arial"/>
          <w:snapToGrid w:val="0"/>
          <w:szCs w:val="20"/>
        </w:rPr>
        <w:t xml:space="preserve"> during normal CDE business hours</w:t>
      </w:r>
      <w:r>
        <w:rPr>
          <w:rFonts w:eastAsia="Times New Roman" w:cs="Arial"/>
          <w:snapToGrid w:val="0"/>
          <w:szCs w:val="20"/>
        </w:rPr>
        <w:t xml:space="preserve"> (See RFP, Section </w:t>
      </w:r>
      <w:r w:rsidR="009F49B9">
        <w:rPr>
          <w:rFonts w:eastAsia="Times New Roman" w:cs="Arial"/>
          <w:snapToGrid w:val="0"/>
          <w:szCs w:val="20"/>
        </w:rPr>
        <w:t>2</w:t>
      </w:r>
      <w:r>
        <w:rPr>
          <w:rFonts w:eastAsia="Times New Roman" w:cs="Arial"/>
          <w:snapToGrid w:val="0"/>
          <w:szCs w:val="20"/>
        </w:rPr>
        <w:t>.8 for the definition of “CDE business hours”)</w:t>
      </w:r>
      <w:r w:rsidRPr="009350B3">
        <w:rPr>
          <w:rFonts w:eastAsia="Times New Roman" w:cs="Arial"/>
          <w:snapToGrid w:val="0"/>
          <w:szCs w:val="20"/>
        </w:rPr>
        <w:t>. In addition to other specified responsibilities, the Project Manager will be responsible for all matters related to the bidder’s project staff/personnel including, but not limited to:</w:t>
      </w:r>
    </w:p>
    <w:p w14:paraId="3D4F6CB5" w14:textId="77777777" w:rsidR="00537458" w:rsidRPr="00EA29E7" w:rsidRDefault="00537458" w:rsidP="00A0749C">
      <w:pPr>
        <w:pStyle w:val="ListParagraph"/>
        <w:numPr>
          <w:ilvl w:val="1"/>
          <w:numId w:val="24"/>
        </w:numPr>
        <w:spacing w:before="240" w:after="240"/>
        <w:ind w:left="1080"/>
        <w:contextualSpacing w:val="0"/>
        <w:rPr>
          <w:rFonts w:eastAsia="Times New Roman" w:cs="Arial"/>
          <w:snapToGrid w:val="0"/>
          <w:szCs w:val="20"/>
        </w:rPr>
      </w:pPr>
      <w:r w:rsidRPr="00EA29E7">
        <w:rPr>
          <w:rFonts w:eastAsia="Times New Roman" w:cs="Arial"/>
          <w:snapToGrid w:val="0"/>
          <w:szCs w:val="20"/>
        </w:rPr>
        <w:t>Supervising, reviewing, monitoring, training, and directing all project staff/personnel.</w:t>
      </w:r>
    </w:p>
    <w:p w14:paraId="2B0A410F" w14:textId="77777777" w:rsidR="00537458" w:rsidRPr="00EA29E7" w:rsidRDefault="00537458" w:rsidP="00A0749C">
      <w:pPr>
        <w:pStyle w:val="ListParagraph"/>
        <w:numPr>
          <w:ilvl w:val="1"/>
          <w:numId w:val="24"/>
        </w:numPr>
        <w:spacing w:before="240" w:after="240"/>
        <w:ind w:left="1080"/>
        <w:contextualSpacing w:val="0"/>
        <w:rPr>
          <w:rFonts w:eastAsia="Times New Roman" w:cs="Arial"/>
          <w:snapToGrid w:val="0"/>
          <w:szCs w:val="20"/>
        </w:rPr>
      </w:pPr>
      <w:r w:rsidRPr="00EA29E7">
        <w:rPr>
          <w:rFonts w:eastAsia="Times New Roman" w:cs="Arial"/>
          <w:snapToGrid w:val="0"/>
          <w:szCs w:val="20"/>
        </w:rPr>
        <w:t>Overseeing personnel assigned to complete the required work as specified.</w:t>
      </w:r>
    </w:p>
    <w:p w14:paraId="436EA61B" w14:textId="77777777" w:rsidR="00537458" w:rsidRPr="00EA29E7" w:rsidRDefault="00537458" w:rsidP="00A0749C">
      <w:pPr>
        <w:pStyle w:val="ListParagraph"/>
        <w:numPr>
          <w:ilvl w:val="1"/>
          <w:numId w:val="24"/>
        </w:numPr>
        <w:spacing w:before="240" w:after="240"/>
        <w:ind w:left="1080"/>
        <w:contextualSpacing w:val="0"/>
        <w:rPr>
          <w:rFonts w:eastAsia="Times New Roman" w:cs="Arial"/>
          <w:snapToGrid w:val="0"/>
          <w:szCs w:val="20"/>
        </w:rPr>
      </w:pPr>
      <w:r w:rsidRPr="00EA29E7">
        <w:rPr>
          <w:rFonts w:eastAsia="Times New Roman" w:cs="Arial"/>
          <w:snapToGrid w:val="0"/>
          <w:szCs w:val="20"/>
        </w:rPr>
        <w:t>Maintaining project files.</w:t>
      </w:r>
    </w:p>
    <w:p w14:paraId="06E7227E" w14:textId="77777777" w:rsidR="00537458" w:rsidRPr="00EA29E7" w:rsidRDefault="00537458" w:rsidP="00A0749C">
      <w:pPr>
        <w:pStyle w:val="ListParagraph"/>
        <w:numPr>
          <w:ilvl w:val="1"/>
          <w:numId w:val="24"/>
        </w:numPr>
        <w:spacing w:before="240" w:after="240"/>
        <w:ind w:left="1080"/>
        <w:contextualSpacing w:val="0"/>
        <w:rPr>
          <w:rFonts w:eastAsia="Times New Roman" w:cs="Arial"/>
          <w:snapToGrid w:val="0"/>
          <w:szCs w:val="20"/>
        </w:rPr>
      </w:pPr>
      <w:r w:rsidRPr="00EA29E7">
        <w:rPr>
          <w:rFonts w:eastAsia="Times New Roman" w:cs="Arial"/>
          <w:snapToGrid w:val="0"/>
          <w:szCs w:val="20"/>
        </w:rPr>
        <w:t>Implementing and maintaining quality control procedures to manage conflicts, ensure product accuracy, identify critical reviews and milestones.</w:t>
      </w:r>
    </w:p>
    <w:p w14:paraId="6C22F697" w14:textId="6BA9E8EC" w:rsidR="00537458" w:rsidRPr="00D15B08" w:rsidRDefault="00537458" w:rsidP="00A0749C">
      <w:pPr>
        <w:pStyle w:val="ListParagraph"/>
        <w:numPr>
          <w:ilvl w:val="1"/>
          <w:numId w:val="24"/>
        </w:numPr>
        <w:spacing w:before="240" w:after="240"/>
        <w:ind w:left="1080"/>
        <w:contextualSpacing w:val="0"/>
        <w:rPr>
          <w:rFonts w:eastAsia="Times New Roman"/>
          <w:snapToGrid w:val="0"/>
          <w:szCs w:val="20"/>
        </w:rPr>
      </w:pPr>
      <w:r w:rsidRPr="00EA29E7">
        <w:rPr>
          <w:rFonts w:eastAsia="Times New Roman" w:cs="Arial"/>
          <w:snapToGrid w:val="0"/>
          <w:szCs w:val="20"/>
        </w:rPr>
        <w:lastRenderedPageBreak/>
        <w:t xml:space="preserve">Submitting monthly progress reports and invoices in a timely </w:t>
      </w:r>
      <w:r w:rsidR="00A97E74">
        <w:rPr>
          <w:rFonts w:eastAsia="Times New Roman" w:cs="Arial"/>
          <w:snapToGrid w:val="0"/>
          <w:szCs w:val="20"/>
        </w:rPr>
        <w:t>manner</w:t>
      </w:r>
      <w:r w:rsidRPr="00EA29E7">
        <w:rPr>
          <w:rFonts w:eastAsia="Times New Roman" w:cs="Arial"/>
          <w:snapToGrid w:val="0"/>
          <w:szCs w:val="20"/>
        </w:rPr>
        <w:t>.</w:t>
      </w:r>
    </w:p>
    <w:p w14:paraId="145AEF40" w14:textId="77777777" w:rsidR="00537458" w:rsidRDefault="00537458" w:rsidP="00A0749C">
      <w:pPr>
        <w:pStyle w:val="ListParagraph"/>
        <w:widowControl w:val="0"/>
        <w:numPr>
          <w:ilvl w:val="0"/>
          <w:numId w:val="23"/>
        </w:numPr>
        <w:spacing w:before="240" w:after="240"/>
        <w:ind w:left="720" w:hanging="720"/>
        <w:contextualSpacing w:val="0"/>
        <w:rPr>
          <w:rFonts w:eastAsia="Times New Roman" w:cs="Arial"/>
          <w:snapToGrid w:val="0"/>
          <w:szCs w:val="20"/>
        </w:rPr>
      </w:pPr>
      <w:r w:rsidRPr="00CF40F0">
        <w:rPr>
          <w:rFonts w:eastAsia="Times New Roman" w:cs="Arial"/>
          <w:snapToGrid w:val="0"/>
          <w:szCs w:val="20"/>
        </w:rPr>
        <w:t>F</w:t>
      </w:r>
      <w:r>
        <w:rPr>
          <w:rFonts w:eastAsia="Times New Roman" w:cs="Arial"/>
          <w:snapToGrid w:val="0"/>
          <w:szCs w:val="20"/>
        </w:rPr>
        <w:t>iscal Manager</w:t>
      </w:r>
    </w:p>
    <w:p w14:paraId="7F992F68" w14:textId="77777777" w:rsidR="00537458" w:rsidRPr="00CF40F0" w:rsidRDefault="00537458" w:rsidP="00A0749C">
      <w:pPr>
        <w:pStyle w:val="ListParagraph"/>
        <w:widowControl w:val="0"/>
        <w:spacing w:before="240" w:after="240"/>
        <w:contextualSpacing w:val="0"/>
        <w:rPr>
          <w:rFonts w:eastAsia="Times New Roman" w:cs="Arial"/>
          <w:snapToGrid w:val="0"/>
          <w:szCs w:val="20"/>
        </w:rPr>
      </w:pPr>
      <w:r w:rsidRPr="00CF40F0">
        <w:rPr>
          <w:rFonts w:eastAsia="Times New Roman" w:cs="Arial"/>
          <w:snapToGrid w:val="0"/>
          <w:szCs w:val="20"/>
        </w:rPr>
        <w:t xml:space="preserve">Identify by name the Fiscal Manager to be employed </w:t>
      </w:r>
      <w:r>
        <w:rPr>
          <w:rFonts w:eastAsia="Times New Roman" w:cs="Arial"/>
          <w:snapToGrid w:val="0"/>
          <w:szCs w:val="20"/>
        </w:rPr>
        <w:t xml:space="preserve">by the Prime Contractor, </w:t>
      </w:r>
      <w:r w:rsidRPr="00CF40F0">
        <w:rPr>
          <w:rFonts w:eastAsia="Times New Roman" w:cs="Arial"/>
          <w:snapToGrid w:val="0"/>
          <w:szCs w:val="20"/>
        </w:rPr>
        <w:t xml:space="preserve">and describe how the proposed Fiscal Manager meets the minimum qualifications stated </w:t>
      </w:r>
      <w:r>
        <w:rPr>
          <w:rFonts w:eastAsia="Times New Roman" w:cs="Arial"/>
          <w:snapToGrid w:val="0"/>
          <w:szCs w:val="20"/>
        </w:rPr>
        <w:t>herein</w:t>
      </w:r>
      <w:r w:rsidRPr="00CF40F0">
        <w:rPr>
          <w:rFonts w:eastAsia="Times New Roman" w:cs="Arial"/>
          <w:snapToGrid w:val="0"/>
          <w:szCs w:val="20"/>
        </w:rPr>
        <w:t xml:space="preserve">. The Technical Proposal must describe the fiscal accounting processes and budgetary controls that will be employed to ensure </w:t>
      </w:r>
      <w:proofErr w:type="gramStart"/>
      <w:r w:rsidRPr="00CF40F0">
        <w:rPr>
          <w:rFonts w:eastAsia="Times New Roman" w:cs="Arial"/>
          <w:snapToGrid w:val="0"/>
          <w:szCs w:val="20"/>
        </w:rPr>
        <w:t>the responsible</w:t>
      </w:r>
      <w:proofErr w:type="gramEnd"/>
      <w:r w:rsidRPr="00CF40F0">
        <w:rPr>
          <w:rFonts w:eastAsia="Times New Roman" w:cs="Arial"/>
          <w:snapToGrid w:val="0"/>
          <w:szCs w:val="20"/>
        </w:rPr>
        <w:t xml:space="preserve"> use and management of contract funds and accurate </w:t>
      </w:r>
      <w:proofErr w:type="gramStart"/>
      <w:r w:rsidRPr="00CF40F0">
        <w:rPr>
          <w:rFonts w:eastAsia="Times New Roman" w:cs="Arial"/>
          <w:snapToGrid w:val="0"/>
          <w:szCs w:val="20"/>
        </w:rPr>
        <w:t>invoicing</w:t>
      </w:r>
      <w:proofErr w:type="gramEnd"/>
      <w:r w:rsidRPr="00CF40F0">
        <w:rPr>
          <w:rFonts w:eastAsia="Times New Roman" w:cs="Arial"/>
          <w:snapToGrid w:val="0"/>
          <w:szCs w:val="20"/>
        </w:rPr>
        <w:t>.</w:t>
      </w:r>
    </w:p>
    <w:p w14:paraId="32BC9BB9" w14:textId="1D2AB6E4" w:rsidR="00537458" w:rsidRDefault="00537458" w:rsidP="00A0749C">
      <w:pPr>
        <w:spacing w:before="240" w:after="240"/>
        <w:ind w:left="720"/>
        <w:rPr>
          <w:rFonts w:eastAsia="Times New Roman"/>
          <w:snapToGrid w:val="0"/>
          <w:szCs w:val="20"/>
        </w:rPr>
      </w:pPr>
      <w:r>
        <w:rPr>
          <w:rFonts w:eastAsia="Times New Roman"/>
          <w:snapToGrid w:val="0"/>
          <w:szCs w:val="20"/>
        </w:rPr>
        <w:t xml:space="preserve">The Fiscal Manager </w:t>
      </w:r>
      <w:r w:rsidRPr="001200DC">
        <w:rPr>
          <w:rFonts w:eastAsia="Times New Roman"/>
          <w:snapToGrid w:val="0"/>
          <w:szCs w:val="20"/>
        </w:rPr>
        <w:t>is the bidder’s fiscal person responsible for the fiscal oversight and management, invoicing and accounting for this entire project.</w:t>
      </w:r>
      <w:r w:rsidR="001633DA">
        <w:rPr>
          <w:rFonts w:eastAsia="Times New Roman"/>
          <w:snapToGrid w:val="0"/>
          <w:szCs w:val="20"/>
        </w:rPr>
        <w:t xml:space="preserve"> The Fiscal Manager must be an employee of the </w:t>
      </w:r>
      <w:r w:rsidR="006C6950">
        <w:rPr>
          <w:rFonts w:eastAsia="Times New Roman"/>
          <w:snapToGrid w:val="0"/>
          <w:szCs w:val="20"/>
        </w:rPr>
        <w:t>Prime Contractor</w:t>
      </w:r>
      <w:r w:rsidR="001633DA">
        <w:rPr>
          <w:rFonts w:eastAsia="Times New Roman"/>
          <w:snapToGrid w:val="0"/>
          <w:szCs w:val="20"/>
        </w:rPr>
        <w:t>.</w:t>
      </w:r>
    </w:p>
    <w:p w14:paraId="08AED443" w14:textId="254621BF" w:rsidR="00537458" w:rsidRDefault="006C6950" w:rsidP="00A0749C">
      <w:pPr>
        <w:spacing w:before="240" w:after="240"/>
        <w:ind w:left="720"/>
        <w:rPr>
          <w:rFonts w:eastAsia="Times New Roman" w:cs="Arial"/>
          <w:snapToGrid w:val="0"/>
          <w:szCs w:val="24"/>
        </w:rPr>
      </w:pPr>
      <w:r>
        <w:rPr>
          <w:rFonts w:eastAsia="Times New Roman"/>
          <w:snapToGrid w:val="0"/>
          <w:szCs w:val="20"/>
        </w:rPr>
        <w:t xml:space="preserve">The </w:t>
      </w:r>
      <w:r w:rsidR="00537458">
        <w:rPr>
          <w:rFonts w:eastAsia="Times New Roman"/>
          <w:snapToGrid w:val="0"/>
          <w:szCs w:val="20"/>
        </w:rPr>
        <w:t>Fiscal Manager must possess, at a minimum</w:t>
      </w:r>
      <w:r w:rsidR="00537458" w:rsidRPr="003B1376">
        <w:rPr>
          <w:rFonts w:eastAsia="Times New Roman"/>
          <w:snapToGrid w:val="0"/>
          <w:szCs w:val="20"/>
        </w:rPr>
        <w:t xml:space="preserve">, a degree in Accounting or related field, and have at least three years of recent experience (within the last five years) </w:t>
      </w:r>
      <w:r w:rsidR="00537458" w:rsidRPr="001200DC">
        <w:rPr>
          <w:rFonts w:eastAsia="Times New Roman"/>
          <w:snapToGrid w:val="0"/>
          <w:szCs w:val="20"/>
        </w:rPr>
        <w:t>providing fiscal oversight and management of large complex contracts comparable to the size and scope of the services described in this RFP.</w:t>
      </w:r>
    </w:p>
    <w:p w14:paraId="28384B4E" w14:textId="77777777" w:rsidR="00C364F8" w:rsidRDefault="00C364F8" w:rsidP="00A0749C">
      <w:pPr>
        <w:pStyle w:val="ListParagraph"/>
        <w:widowControl w:val="0"/>
        <w:numPr>
          <w:ilvl w:val="0"/>
          <w:numId w:val="23"/>
        </w:numPr>
        <w:spacing w:before="240" w:after="240"/>
        <w:ind w:left="720" w:hanging="720"/>
        <w:contextualSpacing w:val="0"/>
        <w:rPr>
          <w:rFonts w:eastAsia="Times New Roman" w:cs="Arial"/>
          <w:snapToGrid w:val="0"/>
          <w:szCs w:val="20"/>
        </w:rPr>
      </w:pPr>
      <w:r>
        <w:rPr>
          <w:rFonts w:eastAsia="Times New Roman" w:cs="Arial"/>
          <w:snapToGrid w:val="0"/>
          <w:szCs w:val="20"/>
        </w:rPr>
        <w:t>Partner/Senior Associate (if applicable)</w:t>
      </w:r>
    </w:p>
    <w:p w14:paraId="3C26B73C" w14:textId="12ADB313" w:rsidR="00C364F8" w:rsidRPr="00C364F8" w:rsidRDefault="00C364F8" w:rsidP="00A0749C">
      <w:pPr>
        <w:pStyle w:val="ListParagraph"/>
        <w:widowControl w:val="0"/>
        <w:spacing w:before="240" w:after="240"/>
        <w:contextualSpacing w:val="0"/>
        <w:rPr>
          <w:rFonts w:eastAsia="Times New Roman" w:cs="Arial"/>
          <w:snapToGrid w:val="0"/>
          <w:szCs w:val="24"/>
        </w:rPr>
      </w:pPr>
      <w:r>
        <w:rPr>
          <w:rFonts w:eastAsia="Times New Roman" w:cs="Arial"/>
          <w:snapToGrid w:val="0"/>
          <w:szCs w:val="20"/>
        </w:rPr>
        <w:t>If the bidder is a firm, at least one position must include a minimum of 50 percent (of a full-time equivalent) of a partner’s or senior associate’s time. The allocation of person hours must ensure full-time representation for the CDE and the SSPI.</w:t>
      </w:r>
    </w:p>
    <w:p w14:paraId="3611CFD4" w14:textId="5C121118" w:rsidR="00537458" w:rsidRPr="0004146B" w:rsidRDefault="00537458" w:rsidP="00A0749C">
      <w:pPr>
        <w:pStyle w:val="ListParagraph"/>
        <w:widowControl w:val="0"/>
        <w:numPr>
          <w:ilvl w:val="0"/>
          <w:numId w:val="23"/>
        </w:numPr>
        <w:spacing w:before="240" w:after="240"/>
        <w:ind w:left="720" w:hanging="720"/>
        <w:contextualSpacing w:val="0"/>
        <w:rPr>
          <w:rFonts w:eastAsia="Times New Roman" w:cs="Arial"/>
          <w:snapToGrid w:val="0"/>
          <w:szCs w:val="24"/>
        </w:rPr>
      </w:pPr>
      <w:r w:rsidRPr="00CF40F0">
        <w:rPr>
          <w:rFonts w:eastAsia="Times New Roman" w:cs="Arial"/>
          <w:snapToGrid w:val="0"/>
          <w:szCs w:val="20"/>
        </w:rPr>
        <w:t>Key Personnel</w:t>
      </w:r>
    </w:p>
    <w:p w14:paraId="645EC869" w14:textId="3F2C10CC" w:rsidR="00537458" w:rsidRDefault="00537458" w:rsidP="00A0749C">
      <w:pPr>
        <w:pStyle w:val="ListParagraph"/>
        <w:widowControl w:val="0"/>
        <w:spacing w:before="240" w:after="240"/>
        <w:contextualSpacing w:val="0"/>
        <w:rPr>
          <w:rFonts w:eastAsia="Times New Roman" w:cs="Arial"/>
          <w:snapToGrid w:val="0"/>
          <w:szCs w:val="24"/>
        </w:rPr>
      </w:pPr>
      <w:r w:rsidRPr="00E72CB1">
        <w:rPr>
          <w:rFonts w:eastAsia="Times New Roman" w:cs="Arial"/>
          <w:snapToGrid w:val="0"/>
          <w:szCs w:val="24"/>
        </w:rPr>
        <w:t xml:space="preserve">Identify by </w:t>
      </w:r>
      <w:r>
        <w:rPr>
          <w:rFonts w:eastAsia="Times New Roman" w:cs="Arial"/>
          <w:snapToGrid w:val="0"/>
          <w:szCs w:val="24"/>
        </w:rPr>
        <w:t xml:space="preserve">name and position title all key </w:t>
      </w:r>
      <w:r w:rsidRPr="00E72CB1">
        <w:rPr>
          <w:rFonts w:eastAsia="Times New Roman" w:cs="Arial"/>
          <w:snapToGrid w:val="0"/>
          <w:szCs w:val="24"/>
        </w:rPr>
        <w:t>personnel who will exercise a major management, oversight and/or administrative role (including, but not limited to, attorneys, consultants, and advisors</w:t>
      </w:r>
      <w:r>
        <w:rPr>
          <w:rFonts w:eastAsia="Times New Roman" w:cs="Arial"/>
          <w:snapToGrid w:val="0"/>
          <w:szCs w:val="24"/>
        </w:rPr>
        <w:t xml:space="preserve"> who will exercise a major management, oversight and/or administrative role</w:t>
      </w:r>
      <w:r w:rsidRPr="00E72CB1">
        <w:rPr>
          <w:rFonts w:eastAsia="Times New Roman" w:cs="Arial"/>
          <w:snapToGrid w:val="0"/>
          <w:szCs w:val="24"/>
        </w:rPr>
        <w:t xml:space="preserve">) on behalf of the bidder or who will have significant responsibility for completing or assisting with the completion of tasks described in </w:t>
      </w:r>
      <w:r>
        <w:rPr>
          <w:rFonts w:eastAsia="Times New Roman" w:cs="Arial"/>
          <w:snapToGrid w:val="0"/>
          <w:szCs w:val="24"/>
        </w:rPr>
        <w:t xml:space="preserve">RFP Section </w:t>
      </w:r>
      <w:r w:rsidR="00DC395C">
        <w:rPr>
          <w:rFonts w:eastAsia="Times New Roman" w:cs="Arial"/>
          <w:snapToGrid w:val="0"/>
          <w:szCs w:val="24"/>
        </w:rPr>
        <w:t>7</w:t>
      </w:r>
      <w:r>
        <w:rPr>
          <w:rFonts w:eastAsia="Times New Roman" w:cs="Arial"/>
          <w:snapToGrid w:val="0"/>
          <w:szCs w:val="24"/>
        </w:rPr>
        <w:t xml:space="preserve"> Scope of Project. </w:t>
      </w:r>
      <w:r w:rsidR="002408FB">
        <w:rPr>
          <w:rFonts w:eastAsia="Times New Roman" w:cs="Arial"/>
          <w:snapToGrid w:val="0"/>
          <w:szCs w:val="24"/>
        </w:rPr>
        <w:t>This includes the Project Manager</w:t>
      </w:r>
      <w:r w:rsidR="00E53BEB">
        <w:rPr>
          <w:rFonts w:eastAsia="Times New Roman" w:cs="Arial"/>
          <w:snapToGrid w:val="0"/>
          <w:szCs w:val="24"/>
        </w:rPr>
        <w:t>,</w:t>
      </w:r>
      <w:r w:rsidR="002408FB">
        <w:rPr>
          <w:rFonts w:eastAsia="Times New Roman" w:cs="Arial"/>
          <w:snapToGrid w:val="0"/>
          <w:szCs w:val="24"/>
        </w:rPr>
        <w:t xml:space="preserve"> Fiscal Manager</w:t>
      </w:r>
      <w:r w:rsidR="00E53BEB">
        <w:rPr>
          <w:rFonts w:eastAsia="Times New Roman" w:cs="Arial"/>
          <w:snapToGrid w:val="0"/>
          <w:szCs w:val="24"/>
        </w:rPr>
        <w:t xml:space="preserve">, and </w:t>
      </w:r>
      <w:r w:rsidR="00E53BEB">
        <w:rPr>
          <w:rFonts w:cs="Arial"/>
          <w:szCs w:val="24"/>
        </w:rPr>
        <w:t>Partner/Senior Associate</w:t>
      </w:r>
      <w:r w:rsidR="002408FB">
        <w:rPr>
          <w:rFonts w:eastAsia="Times New Roman" w:cs="Arial"/>
          <w:snapToGrid w:val="0"/>
          <w:szCs w:val="24"/>
        </w:rPr>
        <w:t xml:space="preserve"> positions. </w:t>
      </w:r>
      <w:r>
        <w:rPr>
          <w:rFonts w:eastAsia="Times New Roman" w:cs="Arial"/>
          <w:snapToGrid w:val="0"/>
          <w:szCs w:val="24"/>
        </w:rPr>
        <w:t xml:space="preserve">(See RFP, Section </w:t>
      </w:r>
      <w:r w:rsidR="009F49B9">
        <w:rPr>
          <w:rFonts w:eastAsia="Times New Roman" w:cs="Arial"/>
          <w:snapToGrid w:val="0"/>
          <w:szCs w:val="24"/>
        </w:rPr>
        <w:t>2</w:t>
      </w:r>
      <w:r>
        <w:rPr>
          <w:rFonts w:eastAsia="Times New Roman" w:cs="Arial"/>
          <w:snapToGrid w:val="0"/>
          <w:szCs w:val="24"/>
        </w:rPr>
        <w:t>.8 for the definition of “key personnel.”)</w:t>
      </w:r>
    </w:p>
    <w:p w14:paraId="6731D97E" w14:textId="77777777" w:rsidR="00B56673" w:rsidRDefault="00537458" w:rsidP="00A0749C">
      <w:pPr>
        <w:spacing w:before="240" w:after="240"/>
        <w:ind w:left="720"/>
        <w:rPr>
          <w:rFonts w:eastAsia="Times New Roman" w:cs="Arial"/>
          <w:snapToGrid w:val="0"/>
          <w:szCs w:val="20"/>
        </w:rPr>
      </w:pPr>
      <w:r w:rsidRPr="00B56673">
        <w:rPr>
          <w:rFonts w:eastAsia="Times New Roman" w:cs="Arial"/>
          <w:snapToGrid w:val="0"/>
          <w:szCs w:val="24"/>
        </w:rPr>
        <w:t>Key personnel are defined as those people in conjunction with the Project Manager</w:t>
      </w:r>
      <w:r w:rsidR="00C364F8" w:rsidRPr="00B56673">
        <w:rPr>
          <w:rFonts w:eastAsia="Times New Roman" w:cs="Arial"/>
          <w:snapToGrid w:val="0"/>
          <w:szCs w:val="24"/>
        </w:rPr>
        <w:t>, Partner/Senior Associate,</w:t>
      </w:r>
      <w:r w:rsidRPr="00B56673">
        <w:rPr>
          <w:rFonts w:eastAsia="Times New Roman" w:cs="Arial"/>
          <w:snapToGrid w:val="0"/>
          <w:szCs w:val="24"/>
        </w:rPr>
        <w:t xml:space="preserve"> </w:t>
      </w:r>
      <w:r w:rsidR="00A97E74" w:rsidRPr="00B56673">
        <w:rPr>
          <w:rFonts w:eastAsia="Times New Roman" w:cs="Arial"/>
          <w:snapToGrid w:val="0"/>
          <w:szCs w:val="24"/>
        </w:rPr>
        <w:t xml:space="preserve">and Fiscal Manager </w:t>
      </w:r>
      <w:r w:rsidRPr="00B56673">
        <w:rPr>
          <w:rFonts w:eastAsia="Times New Roman" w:cs="Arial"/>
          <w:snapToGrid w:val="0"/>
          <w:szCs w:val="24"/>
        </w:rPr>
        <w:t>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 described in this RFP. Key personnel do not include clerical staff.</w:t>
      </w:r>
      <w:r w:rsidR="00B56673" w:rsidRPr="00B56673">
        <w:rPr>
          <w:rFonts w:eastAsia="Times New Roman" w:cs="Arial"/>
          <w:snapToGrid w:val="0"/>
          <w:szCs w:val="20"/>
        </w:rPr>
        <w:t xml:space="preserve"> </w:t>
      </w:r>
    </w:p>
    <w:p w14:paraId="3B845246" w14:textId="67273BE6" w:rsidR="00B56673" w:rsidRPr="00B56673" w:rsidRDefault="00B56673" w:rsidP="00A0749C">
      <w:pPr>
        <w:spacing w:before="240" w:after="240"/>
        <w:ind w:left="720"/>
        <w:rPr>
          <w:rFonts w:cs="Arial"/>
          <w:szCs w:val="24"/>
        </w:rPr>
      </w:pPr>
      <w:r w:rsidRPr="00B56673">
        <w:rPr>
          <w:rFonts w:eastAsia="Times New Roman" w:cs="Arial"/>
          <w:snapToGrid w:val="0"/>
          <w:szCs w:val="20"/>
        </w:rPr>
        <w:t>Assigned Key Personnel must be capable of assisting the Project Manager in all aspects of project work.</w:t>
      </w:r>
    </w:p>
    <w:p w14:paraId="5E551E92" w14:textId="0224A8A9" w:rsidR="00B56673" w:rsidRPr="00AF096C" w:rsidRDefault="00B56673" w:rsidP="00A0749C">
      <w:pPr>
        <w:widowControl w:val="0"/>
        <w:spacing w:before="240" w:after="240"/>
        <w:ind w:left="720"/>
        <w:rPr>
          <w:rFonts w:eastAsia="Times New Roman" w:cs="Arial"/>
          <w:snapToGrid w:val="0"/>
          <w:szCs w:val="20"/>
        </w:rPr>
      </w:pPr>
      <w:r w:rsidRPr="00AF096C">
        <w:rPr>
          <w:rFonts w:eastAsia="Times New Roman" w:cs="Arial"/>
          <w:snapToGrid w:val="0"/>
          <w:szCs w:val="20"/>
        </w:rPr>
        <w:t xml:space="preserve">The bidder shall identify </w:t>
      </w:r>
      <w:r>
        <w:rPr>
          <w:rFonts w:eastAsia="Times New Roman" w:cs="Arial"/>
          <w:snapToGrid w:val="0"/>
          <w:szCs w:val="20"/>
        </w:rPr>
        <w:t>all key personnel</w:t>
      </w:r>
      <w:r w:rsidRPr="00AF096C">
        <w:rPr>
          <w:rFonts w:eastAsia="Times New Roman" w:cs="Arial"/>
          <w:snapToGrid w:val="0"/>
          <w:szCs w:val="20"/>
        </w:rPr>
        <w:t xml:space="preserve"> proposed for each t</w:t>
      </w:r>
      <w:r>
        <w:rPr>
          <w:rFonts w:eastAsia="Times New Roman" w:cs="Arial"/>
          <w:snapToGrid w:val="0"/>
          <w:szCs w:val="20"/>
        </w:rPr>
        <w:t xml:space="preserve">ask by name, job position title, and the </w:t>
      </w:r>
      <w:r w:rsidRPr="00AF096C">
        <w:rPr>
          <w:rFonts w:eastAsia="Times New Roman" w:cs="Arial"/>
          <w:snapToGrid w:val="0"/>
          <w:szCs w:val="20"/>
        </w:rPr>
        <w:t xml:space="preserve">specific responsibilities </w:t>
      </w:r>
      <w:proofErr w:type="gramStart"/>
      <w:r w:rsidRPr="00AF096C">
        <w:rPr>
          <w:rFonts w:eastAsia="Times New Roman" w:cs="Arial"/>
          <w:snapToGrid w:val="0"/>
          <w:szCs w:val="20"/>
        </w:rPr>
        <w:t>assigned</w:t>
      </w:r>
      <w:proofErr w:type="gramEnd"/>
      <w:r w:rsidRPr="00AF096C">
        <w:rPr>
          <w:rFonts w:eastAsia="Times New Roman" w:cs="Arial"/>
          <w:snapToGrid w:val="0"/>
          <w:szCs w:val="20"/>
        </w:rPr>
        <w:t xml:space="preserve"> </w:t>
      </w:r>
      <w:proofErr w:type="gramStart"/>
      <w:r>
        <w:rPr>
          <w:rFonts w:eastAsia="Times New Roman" w:cs="Arial"/>
          <w:snapToGrid w:val="0"/>
          <w:szCs w:val="20"/>
        </w:rPr>
        <w:t>each individual</w:t>
      </w:r>
      <w:proofErr w:type="gramEnd"/>
      <w:r>
        <w:rPr>
          <w:rFonts w:eastAsia="Times New Roman" w:cs="Arial"/>
          <w:snapToGrid w:val="0"/>
          <w:szCs w:val="20"/>
        </w:rPr>
        <w:t>.</w:t>
      </w:r>
    </w:p>
    <w:p w14:paraId="37F2E29A" w14:textId="77777777" w:rsidR="00537458" w:rsidRDefault="00537458" w:rsidP="00A0749C">
      <w:pPr>
        <w:pStyle w:val="ListParagraph"/>
        <w:widowControl w:val="0"/>
        <w:numPr>
          <w:ilvl w:val="1"/>
          <w:numId w:val="29"/>
        </w:numPr>
        <w:spacing w:before="240" w:after="240"/>
        <w:ind w:left="1080"/>
        <w:contextualSpacing w:val="0"/>
        <w:rPr>
          <w:rFonts w:eastAsia="Times New Roman" w:cs="Arial"/>
          <w:snapToGrid w:val="0"/>
          <w:szCs w:val="20"/>
        </w:rPr>
      </w:pPr>
      <w:r>
        <w:rPr>
          <w:rFonts w:eastAsia="Times New Roman" w:cs="Arial"/>
          <w:snapToGrid w:val="0"/>
          <w:szCs w:val="20"/>
        </w:rPr>
        <w:t>Key Personnel Qualifications</w:t>
      </w:r>
    </w:p>
    <w:p w14:paraId="7BEBF353" w14:textId="77777777" w:rsidR="00537458" w:rsidRPr="00A80331" w:rsidRDefault="00537458" w:rsidP="00A0749C">
      <w:pPr>
        <w:widowControl w:val="0"/>
        <w:ind w:left="1080"/>
        <w:rPr>
          <w:rFonts w:cs="Arial"/>
          <w:szCs w:val="24"/>
        </w:rPr>
      </w:pPr>
      <w:r w:rsidRPr="00A80331">
        <w:rPr>
          <w:rFonts w:cs="Arial"/>
          <w:szCs w:val="24"/>
        </w:rPr>
        <w:lastRenderedPageBreak/>
        <w:t xml:space="preserve">Describe in detail how the proposed Key Personnel identified above </w:t>
      </w:r>
      <w:proofErr w:type="gramStart"/>
      <w:r w:rsidRPr="00A80331">
        <w:rPr>
          <w:rFonts w:cs="Arial"/>
          <w:szCs w:val="24"/>
        </w:rPr>
        <w:t>meet</w:t>
      </w:r>
      <w:proofErr w:type="gramEnd"/>
      <w:r w:rsidRPr="00A80331">
        <w:rPr>
          <w:rFonts w:cs="Arial"/>
          <w:szCs w:val="24"/>
        </w:rPr>
        <w:t xml:space="preserve"> the minimum qualifications stated below. The Technical Proposal must describe the expertise and professional quali</w:t>
      </w:r>
      <w:r>
        <w:rPr>
          <w:rFonts w:cs="Arial"/>
          <w:szCs w:val="24"/>
        </w:rPr>
        <w:t>fications of all Key Personnel.</w:t>
      </w:r>
    </w:p>
    <w:p w14:paraId="25E2BF00" w14:textId="33CA9F66" w:rsidR="00537458" w:rsidRPr="00C364F8" w:rsidRDefault="006C6950" w:rsidP="00A0749C">
      <w:pPr>
        <w:pStyle w:val="ListParagraph"/>
        <w:widowControl w:val="0"/>
        <w:spacing w:before="240" w:after="240"/>
        <w:ind w:left="1080"/>
        <w:contextualSpacing w:val="0"/>
        <w:rPr>
          <w:rFonts w:eastAsia="Times New Roman" w:cs="Arial"/>
          <w:snapToGrid w:val="0"/>
          <w:szCs w:val="24"/>
        </w:rPr>
      </w:pPr>
      <w:r>
        <w:rPr>
          <w:rFonts w:eastAsia="Times New Roman" w:cs="Arial"/>
          <w:snapToGrid w:val="0"/>
          <w:szCs w:val="24"/>
        </w:rPr>
        <w:t xml:space="preserve">The </w:t>
      </w:r>
      <w:r w:rsidR="00537458" w:rsidRPr="00C364F8">
        <w:rPr>
          <w:rFonts w:eastAsia="Times New Roman" w:cs="Arial"/>
          <w:snapToGrid w:val="0"/>
          <w:szCs w:val="24"/>
        </w:rPr>
        <w:t>Technical Proposal must describe the expertise and professional qualifications of all Key Personnel. Key Personnel identified must possess the following qualifications:</w:t>
      </w:r>
    </w:p>
    <w:p w14:paraId="06C6229E" w14:textId="2E543EBD" w:rsidR="00537458" w:rsidRPr="00C364F8" w:rsidRDefault="00537458" w:rsidP="00A0749C">
      <w:pPr>
        <w:widowControl w:val="0"/>
        <w:spacing w:before="240" w:after="240"/>
        <w:ind w:left="1440" w:hanging="360"/>
        <w:rPr>
          <w:rFonts w:cs="Arial"/>
          <w:szCs w:val="24"/>
        </w:rPr>
      </w:pPr>
      <w:r w:rsidRPr="00C364F8">
        <w:rPr>
          <w:rFonts w:cs="Arial"/>
          <w:szCs w:val="24"/>
        </w:rPr>
        <w:t>i</w:t>
      </w:r>
      <w:proofErr w:type="gramStart"/>
      <w:r w:rsidRPr="00C364F8">
        <w:rPr>
          <w:rFonts w:cs="Arial"/>
          <w:szCs w:val="24"/>
        </w:rPr>
        <w:t xml:space="preserve">. </w:t>
      </w:r>
      <w:r w:rsidRPr="00C364F8">
        <w:rPr>
          <w:rFonts w:cs="Arial"/>
          <w:szCs w:val="24"/>
        </w:rPr>
        <w:tab/>
        <w:t>A</w:t>
      </w:r>
      <w:proofErr w:type="gramEnd"/>
      <w:r w:rsidRPr="00C364F8">
        <w:rPr>
          <w:rFonts w:cs="Arial"/>
          <w:szCs w:val="24"/>
        </w:rPr>
        <w:t xml:space="preserve"> Master’s or Doctorate degree in </w:t>
      </w:r>
      <w:r w:rsidR="00C364F8" w:rsidRPr="00C364F8">
        <w:rPr>
          <w:rFonts w:cs="Arial"/>
          <w:szCs w:val="24"/>
        </w:rPr>
        <w:t xml:space="preserve">law, </w:t>
      </w:r>
      <w:r w:rsidRPr="00C364F8">
        <w:rPr>
          <w:rFonts w:cs="Arial"/>
          <w:szCs w:val="24"/>
        </w:rPr>
        <w:t>education, education research, or a related area.</w:t>
      </w:r>
    </w:p>
    <w:p w14:paraId="7A2AC30A" w14:textId="77777777" w:rsidR="00537458" w:rsidRPr="00EC58E1" w:rsidRDefault="00537458" w:rsidP="00A0749C">
      <w:pPr>
        <w:widowControl w:val="0"/>
        <w:spacing w:before="240" w:after="240"/>
        <w:ind w:left="1440" w:hanging="360"/>
        <w:rPr>
          <w:rFonts w:cs="Arial"/>
          <w:color w:val="FF0000"/>
          <w:szCs w:val="24"/>
        </w:rPr>
      </w:pPr>
      <w:r w:rsidRPr="00C364F8">
        <w:rPr>
          <w:rFonts w:cs="Arial"/>
          <w:szCs w:val="24"/>
        </w:rPr>
        <w:t>ii</w:t>
      </w:r>
      <w:proofErr w:type="gramStart"/>
      <w:r w:rsidRPr="00C364F8">
        <w:rPr>
          <w:rFonts w:cs="Arial"/>
          <w:szCs w:val="24"/>
        </w:rPr>
        <w:t xml:space="preserve">. </w:t>
      </w:r>
      <w:r w:rsidRPr="00C364F8">
        <w:rPr>
          <w:rFonts w:cs="Arial"/>
          <w:szCs w:val="24"/>
        </w:rPr>
        <w:tab/>
        <w:t>A</w:t>
      </w:r>
      <w:proofErr w:type="gramEnd"/>
      <w:r w:rsidRPr="00C364F8">
        <w:rPr>
          <w:rFonts w:cs="Arial"/>
          <w:szCs w:val="24"/>
        </w:rPr>
        <w:t xml:space="preserve"> minimum of three years of experience and demonstrated work history conducting the tasks as described in this RFP.</w:t>
      </w:r>
    </w:p>
    <w:p w14:paraId="0922E7F3" w14:textId="77777777" w:rsidR="00537458" w:rsidRDefault="00537458" w:rsidP="00A0749C">
      <w:pPr>
        <w:pStyle w:val="ListParagraph"/>
        <w:widowControl w:val="0"/>
        <w:numPr>
          <w:ilvl w:val="0"/>
          <w:numId w:val="23"/>
        </w:numPr>
        <w:spacing w:before="240" w:after="240"/>
        <w:ind w:left="720" w:hanging="720"/>
        <w:contextualSpacing w:val="0"/>
        <w:rPr>
          <w:rFonts w:eastAsia="Times New Roman" w:cs="Arial"/>
          <w:snapToGrid w:val="0"/>
          <w:szCs w:val="20"/>
        </w:rPr>
      </w:pPr>
      <w:r w:rsidRPr="00CF40F0">
        <w:rPr>
          <w:rFonts w:eastAsia="Times New Roman" w:cs="Arial"/>
          <w:snapToGrid w:val="0"/>
          <w:szCs w:val="20"/>
        </w:rPr>
        <w:t>Changes to Key Personnel</w:t>
      </w:r>
      <w:r>
        <w:rPr>
          <w:rFonts w:eastAsia="Times New Roman" w:cs="Arial"/>
          <w:snapToGrid w:val="0"/>
          <w:szCs w:val="20"/>
        </w:rPr>
        <w:t xml:space="preserve"> Requirements</w:t>
      </w:r>
    </w:p>
    <w:p w14:paraId="1B291CB0" w14:textId="2941BE04" w:rsidR="00537458" w:rsidRPr="001200DC" w:rsidRDefault="00537458" w:rsidP="00A0749C">
      <w:pPr>
        <w:spacing w:before="240" w:after="240"/>
        <w:ind w:left="720"/>
        <w:rPr>
          <w:rFonts w:cs="Arial"/>
          <w:szCs w:val="24"/>
        </w:rPr>
      </w:pPr>
      <w:r w:rsidRPr="00A80331">
        <w:rPr>
          <w:rFonts w:cs="Arial"/>
          <w:szCs w:val="24"/>
        </w:rPr>
        <w:t xml:space="preserve">The </w:t>
      </w:r>
      <w:r>
        <w:rPr>
          <w:rFonts w:cs="Arial"/>
          <w:szCs w:val="24"/>
        </w:rPr>
        <w:t xml:space="preserve">Technical Proposal must acknowledge and ensure that the successful bidder </w:t>
      </w:r>
      <w:r w:rsidRPr="00A80331">
        <w:rPr>
          <w:rFonts w:cs="Arial"/>
          <w:szCs w:val="24"/>
        </w:rPr>
        <w:t xml:space="preserve">cannot change or substitute the assigned Project Manager, Fiscal Manager, </w:t>
      </w:r>
      <w:r w:rsidR="00E53BEB">
        <w:rPr>
          <w:rFonts w:cs="Arial"/>
          <w:szCs w:val="24"/>
        </w:rPr>
        <w:t xml:space="preserve">Partner/Senior Associate, </w:t>
      </w:r>
      <w:r w:rsidRPr="00A80331">
        <w:rPr>
          <w:rFonts w:cs="Arial"/>
          <w:szCs w:val="24"/>
        </w:rPr>
        <w:t>Key Personnel</w:t>
      </w:r>
      <w:r>
        <w:rPr>
          <w:rFonts w:cs="Arial"/>
          <w:szCs w:val="24"/>
        </w:rPr>
        <w:t xml:space="preserve"> (</w:t>
      </w:r>
      <w:proofErr w:type="gramStart"/>
      <w:r>
        <w:rPr>
          <w:rFonts w:cs="Arial"/>
          <w:szCs w:val="24"/>
        </w:rPr>
        <w:t>including</w:t>
      </w:r>
      <w:r w:rsidRPr="00A80331">
        <w:rPr>
          <w:rFonts w:cs="Arial"/>
          <w:szCs w:val="24"/>
        </w:rPr>
        <w:t>,</w:t>
      </w:r>
      <w:proofErr w:type="gramEnd"/>
      <w:r w:rsidRPr="00A80331">
        <w:rPr>
          <w:rFonts w:cs="Arial"/>
          <w:szCs w:val="24"/>
        </w:rPr>
        <w:t xml:space="preserve"> subcontractors or independent consultants</w:t>
      </w:r>
      <w:r w:rsidR="00C364F8">
        <w:rPr>
          <w:rFonts w:cs="Arial"/>
          <w:szCs w:val="24"/>
        </w:rPr>
        <w:t xml:space="preserve"> </w:t>
      </w:r>
      <w:r>
        <w:rPr>
          <w:rFonts w:cs="Arial"/>
          <w:szCs w:val="24"/>
        </w:rPr>
        <w:t>if identified as Key Personnel)</w:t>
      </w:r>
      <w:r w:rsidRPr="00A80331">
        <w:rPr>
          <w:rFonts w:cs="Arial"/>
          <w:szCs w:val="24"/>
        </w:rPr>
        <w:t xml:space="preserve"> without the CDE Contract Monitor’s prior approval and formal amendment approved by the </w:t>
      </w:r>
      <w:r w:rsidR="007E71B9">
        <w:rPr>
          <w:rFonts w:cs="Arial"/>
          <w:szCs w:val="24"/>
        </w:rPr>
        <w:t>DGS</w:t>
      </w:r>
      <w:r w:rsidRPr="00A80331">
        <w:rPr>
          <w:rFonts w:cs="Arial"/>
          <w:szCs w:val="24"/>
        </w:rPr>
        <w:t>. The substitute Project Manager, Fiscal Manager</w:t>
      </w:r>
      <w:r w:rsidR="00E53BEB">
        <w:rPr>
          <w:rFonts w:cs="Arial"/>
          <w:szCs w:val="24"/>
        </w:rPr>
        <w:t>,</w:t>
      </w:r>
      <w:r w:rsidRPr="00A80331">
        <w:rPr>
          <w:rFonts w:cs="Arial"/>
          <w:szCs w:val="24"/>
        </w:rPr>
        <w:t xml:space="preserve"> </w:t>
      </w:r>
      <w:r w:rsidR="00E53BEB">
        <w:rPr>
          <w:rFonts w:cs="Arial"/>
          <w:szCs w:val="24"/>
        </w:rPr>
        <w:t xml:space="preserve">Partner/Senior Associate, </w:t>
      </w:r>
      <w:r w:rsidRPr="00A80331">
        <w:rPr>
          <w:rFonts w:cs="Arial"/>
          <w:szCs w:val="24"/>
        </w:rPr>
        <w:t xml:space="preserve">and Key Personnel shall meet or exceed the qualifications and experience level of the previously assigned Project Manager, Fiscal Manager, </w:t>
      </w:r>
      <w:r w:rsidR="00E53BEB">
        <w:rPr>
          <w:rFonts w:cs="Arial"/>
          <w:szCs w:val="24"/>
        </w:rPr>
        <w:t xml:space="preserve">Partner/Senior Associate, </w:t>
      </w:r>
      <w:r w:rsidRPr="00A80331">
        <w:rPr>
          <w:rFonts w:cs="Arial"/>
          <w:szCs w:val="24"/>
        </w:rPr>
        <w:t>and Key Personnel. The Technical Proposal must specify that the bidder will comply with the Changes to Key Personnel Requirements.</w:t>
      </w:r>
    </w:p>
    <w:p w14:paraId="133E4363" w14:textId="77777777" w:rsidR="00537458" w:rsidRDefault="00537458" w:rsidP="00A0749C">
      <w:pPr>
        <w:pStyle w:val="ListParagraph"/>
        <w:widowControl w:val="0"/>
        <w:numPr>
          <w:ilvl w:val="0"/>
          <w:numId w:val="23"/>
        </w:numPr>
        <w:spacing w:before="240" w:after="240"/>
        <w:ind w:left="720" w:hanging="720"/>
        <w:contextualSpacing w:val="0"/>
        <w:rPr>
          <w:rFonts w:eastAsia="Times New Roman" w:cs="Arial"/>
          <w:snapToGrid w:val="0"/>
          <w:szCs w:val="20"/>
        </w:rPr>
      </w:pPr>
      <w:r w:rsidRPr="00CF40F0">
        <w:rPr>
          <w:rFonts w:eastAsia="Times New Roman" w:cs="Arial"/>
          <w:snapToGrid w:val="0"/>
          <w:szCs w:val="20"/>
        </w:rPr>
        <w:t xml:space="preserve">Current </w:t>
      </w:r>
      <w:r>
        <w:rPr>
          <w:rFonts w:eastAsia="Times New Roman" w:cs="Arial"/>
          <w:snapToGrid w:val="0"/>
          <w:szCs w:val="20"/>
        </w:rPr>
        <w:t>Résumés</w:t>
      </w:r>
    </w:p>
    <w:p w14:paraId="56ABF053" w14:textId="3D8275E9" w:rsidR="00537458" w:rsidRPr="00D15B08" w:rsidRDefault="00537458" w:rsidP="00A0749C">
      <w:pPr>
        <w:pStyle w:val="ListParagraph"/>
        <w:widowControl w:val="0"/>
        <w:spacing w:before="240" w:after="240"/>
        <w:contextualSpacing w:val="0"/>
        <w:rPr>
          <w:rFonts w:eastAsia="Times New Roman" w:cs="Arial"/>
          <w:snapToGrid w:val="0"/>
          <w:szCs w:val="20"/>
        </w:rPr>
      </w:pPr>
      <w:r w:rsidRPr="00D15B08">
        <w:rPr>
          <w:rFonts w:eastAsia="Times New Roman" w:cs="Arial"/>
          <w:snapToGrid w:val="0"/>
          <w:szCs w:val="20"/>
        </w:rPr>
        <w:t xml:space="preserve">Provide résumés for all Key Personnel </w:t>
      </w:r>
      <w:r>
        <w:rPr>
          <w:rFonts w:eastAsia="Times New Roman" w:cs="Arial"/>
          <w:snapToGrid w:val="0"/>
          <w:szCs w:val="20"/>
        </w:rPr>
        <w:t>(</w:t>
      </w:r>
      <w:r w:rsidRPr="00A80331">
        <w:rPr>
          <w:rFonts w:cs="Arial"/>
          <w:szCs w:val="24"/>
        </w:rPr>
        <w:t xml:space="preserve">Project Manager, Fiscal Manager, </w:t>
      </w:r>
      <w:r w:rsidR="00E53BEB">
        <w:rPr>
          <w:rFonts w:cs="Arial"/>
          <w:szCs w:val="24"/>
        </w:rPr>
        <w:t xml:space="preserve">Partner/Senior Associate (if applicable), </w:t>
      </w:r>
      <w:r w:rsidRPr="00A80331">
        <w:rPr>
          <w:rFonts w:cs="Arial"/>
          <w:szCs w:val="24"/>
        </w:rPr>
        <w:t>Key Personnel, subcontractors or independent consultants</w:t>
      </w:r>
      <w:r>
        <w:rPr>
          <w:rFonts w:eastAsia="Times New Roman" w:cs="Arial"/>
          <w:snapToGrid w:val="0"/>
          <w:szCs w:val="20"/>
        </w:rPr>
        <w:t xml:space="preserve">) </w:t>
      </w:r>
      <w:r w:rsidRPr="00D15B08">
        <w:rPr>
          <w:rFonts w:eastAsia="Times New Roman" w:cs="Arial"/>
          <w:snapToGrid w:val="0"/>
          <w:szCs w:val="20"/>
        </w:rPr>
        <w:t>identified 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w:t>
      </w:r>
      <w:r>
        <w:rPr>
          <w:rFonts w:eastAsia="Times New Roman" w:cs="Arial"/>
          <w:snapToGrid w:val="0"/>
          <w:szCs w:val="20"/>
        </w:rPr>
        <w:t>.</w:t>
      </w:r>
    </w:p>
    <w:p w14:paraId="1D2F854F" w14:textId="678153F3" w:rsidR="00537458" w:rsidRDefault="00537458" w:rsidP="00A0749C">
      <w:pPr>
        <w:widowControl w:val="0"/>
        <w:spacing w:before="240" w:after="240"/>
        <w:ind w:left="720"/>
        <w:rPr>
          <w:rFonts w:eastAsia="Times New Roman" w:cs="Arial"/>
          <w:snapToGrid w:val="0"/>
          <w:szCs w:val="20"/>
        </w:rPr>
      </w:pPr>
      <w:r>
        <w:rPr>
          <w:rFonts w:eastAsia="Times New Roman" w:cs="Arial"/>
          <w:snapToGrid w:val="0"/>
          <w:szCs w:val="20"/>
        </w:rPr>
        <w:t>Résumés</w:t>
      </w:r>
      <w:r w:rsidDel="0001088D">
        <w:rPr>
          <w:rFonts w:eastAsia="Times New Roman" w:cs="Arial"/>
          <w:snapToGrid w:val="0"/>
          <w:szCs w:val="20"/>
        </w:rPr>
        <w:t xml:space="preserve"> </w:t>
      </w:r>
      <w:r>
        <w:rPr>
          <w:rFonts w:eastAsia="Times New Roman" w:cs="Arial"/>
          <w:snapToGrid w:val="0"/>
          <w:szCs w:val="20"/>
        </w:rPr>
        <w:t xml:space="preserve">must be provided for the following, </w:t>
      </w:r>
      <w:r w:rsidRPr="00E67354">
        <w:rPr>
          <w:rFonts w:eastAsia="Times New Roman" w:cs="Arial"/>
          <w:snapToGrid w:val="0"/>
          <w:szCs w:val="20"/>
        </w:rPr>
        <w:t>including but not limited to</w:t>
      </w:r>
      <w:r>
        <w:rPr>
          <w:rFonts w:eastAsia="Times New Roman" w:cs="Arial"/>
          <w:snapToGrid w:val="0"/>
          <w:szCs w:val="20"/>
        </w:rPr>
        <w:t>, the</w:t>
      </w:r>
      <w:r w:rsidRPr="00E67354">
        <w:rPr>
          <w:rFonts w:eastAsia="Times New Roman" w:cs="Arial"/>
          <w:snapToGrid w:val="0"/>
          <w:szCs w:val="20"/>
        </w:rPr>
        <w:t xml:space="preserve"> Project Manager</w:t>
      </w:r>
      <w:r>
        <w:rPr>
          <w:rFonts w:eastAsia="Times New Roman" w:cs="Arial"/>
          <w:snapToGrid w:val="0"/>
          <w:szCs w:val="20"/>
        </w:rPr>
        <w:t xml:space="preserve">, the </w:t>
      </w:r>
      <w:r w:rsidRPr="00E67354">
        <w:rPr>
          <w:rFonts w:eastAsia="Times New Roman" w:cs="Arial"/>
          <w:snapToGrid w:val="0"/>
          <w:szCs w:val="20"/>
        </w:rPr>
        <w:t xml:space="preserve">Fiscal Manager, </w:t>
      </w:r>
      <w:r w:rsidR="00E53BEB">
        <w:rPr>
          <w:rFonts w:cs="Arial"/>
          <w:szCs w:val="24"/>
        </w:rPr>
        <w:t xml:space="preserve">Partner/Senior Associate (if applicable), </w:t>
      </w:r>
      <w:r>
        <w:rPr>
          <w:rFonts w:eastAsia="Times New Roman" w:cs="Arial"/>
          <w:snapToGrid w:val="0"/>
          <w:szCs w:val="20"/>
        </w:rPr>
        <w:t xml:space="preserve">any subcontractors or </w:t>
      </w:r>
      <w:r w:rsidRPr="00E67354">
        <w:rPr>
          <w:rFonts w:eastAsia="Times New Roman" w:cs="Arial"/>
          <w:snapToGrid w:val="0"/>
          <w:szCs w:val="20"/>
        </w:rPr>
        <w:t>independent consultants, manage</w:t>
      </w:r>
      <w:r>
        <w:rPr>
          <w:rFonts w:eastAsia="Times New Roman" w:cs="Arial"/>
          <w:snapToGrid w:val="0"/>
          <w:szCs w:val="20"/>
        </w:rPr>
        <w:t xml:space="preserve">rs, supervisors, and all other </w:t>
      </w:r>
      <w:r w:rsidRPr="00E67354">
        <w:rPr>
          <w:rFonts w:eastAsia="Times New Roman" w:cs="Arial"/>
          <w:snapToGrid w:val="0"/>
          <w:szCs w:val="20"/>
        </w:rPr>
        <w:t>Key Personnel</w:t>
      </w:r>
      <w:r>
        <w:rPr>
          <w:rFonts w:eastAsia="Times New Roman" w:cs="Arial"/>
          <w:snapToGrid w:val="0"/>
          <w:szCs w:val="20"/>
        </w:rPr>
        <w:t xml:space="preserve"> identified by the bidder.</w:t>
      </w:r>
    </w:p>
    <w:p w14:paraId="4319E36B" w14:textId="77777777" w:rsidR="00537458" w:rsidRPr="00E67354" w:rsidRDefault="00537458" w:rsidP="00A0749C">
      <w:pPr>
        <w:widowControl w:val="0"/>
        <w:spacing w:before="240" w:after="240"/>
        <w:ind w:left="720"/>
        <w:rPr>
          <w:rFonts w:eastAsia="Times New Roman" w:cs="Arial"/>
          <w:snapToGrid w:val="0"/>
          <w:szCs w:val="20"/>
        </w:rPr>
      </w:pPr>
      <w:r w:rsidRPr="00E67354">
        <w:rPr>
          <w:rFonts w:eastAsia="Times New Roman" w:cs="Arial"/>
          <w:snapToGrid w:val="0"/>
          <w:szCs w:val="20"/>
        </w:rPr>
        <w:t>To the extent possible, r</w:t>
      </w:r>
      <w:r>
        <w:rPr>
          <w:rFonts w:eastAsia="Times New Roman" w:cs="Arial"/>
          <w:snapToGrid w:val="0"/>
          <w:szCs w:val="20"/>
        </w:rPr>
        <w:t>é</w:t>
      </w:r>
      <w:r w:rsidRPr="00E67354">
        <w:rPr>
          <w:rFonts w:eastAsia="Times New Roman" w:cs="Arial"/>
          <w:snapToGrid w:val="0"/>
          <w:szCs w:val="20"/>
        </w:rPr>
        <w:t>sum</w:t>
      </w:r>
      <w:r>
        <w:rPr>
          <w:rFonts w:eastAsia="Times New Roman" w:cs="Arial"/>
          <w:snapToGrid w:val="0"/>
          <w:szCs w:val="20"/>
        </w:rPr>
        <w:t>é</w:t>
      </w:r>
      <w:r w:rsidRPr="00E67354">
        <w:rPr>
          <w:rFonts w:eastAsia="Times New Roman" w:cs="Arial"/>
          <w:snapToGrid w:val="0"/>
          <w:szCs w:val="20"/>
        </w:rPr>
        <w:t>s should not include personal information such as social security number, home address, home telephone number, marital status, sex, birth date, etc.</w:t>
      </w:r>
    </w:p>
    <w:p w14:paraId="533650CB" w14:textId="77777777" w:rsidR="00537458" w:rsidRDefault="00537458" w:rsidP="00A0749C">
      <w:pPr>
        <w:pStyle w:val="ListParagraph"/>
        <w:widowControl w:val="0"/>
        <w:numPr>
          <w:ilvl w:val="0"/>
          <w:numId w:val="23"/>
        </w:numPr>
        <w:spacing w:before="240" w:after="240"/>
        <w:ind w:left="720" w:hanging="720"/>
        <w:contextualSpacing w:val="0"/>
        <w:rPr>
          <w:rFonts w:eastAsia="Times New Roman" w:cs="Arial"/>
          <w:snapToGrid w:val="0"/>
          <w:szCs w:val="20"/>
        </w:rPr>
      </w:pPr>
      <w:r w:rsidRPr="008F2F1B">
        <w:rPr>
          <w:rFonts w:eastAsia="Times New Roman" w:cs="Arial"/>
          <w:snapToGrid w:val="0"/>
          <w:szCs w:val="20"/>
        </w:rPr>
        <w:t>Subcontractors</w:t>
      </w:r>
    </w:p>
    <w:p w14:paraId="65C65C2D" w14:textId="4D7D9752" w:rsidR="00537458" w:rsidRPr="00D15B08" w:rsidRDefault="00537458" w:rsidP="00A0749C">
      <w:pPr>
        <w:pStyle w:val="ListParagraph"/>
        <w:widowControl w:val="0"/>
        <w:spacing w:before="240" w:after="240"/>
        <w:contextualSpacing w:val="0"/>
        <w:rPr>
          <w:rFonts w:eastAsia="Times New Roman" w:cs="Arial"/>
          <w:snapToGrid w:val="0"/>
          <w:szCs w:val="20"/>
        </w:rPr>
      </w:pPr>
      <w:r w:rsidRPr="00D15B08">
        <w:rPr>
          <w:rFonts w:eastAsia="Times New Roman" w:cs="Arial"/>
          <w:snapToGrid w:val="0"/>
          <w:szCs w:val="20"/>
        </w:rPr>
        <w:t>Provide the full legal names of all proposed subcontractors (see RFP</w:t>
      </w:r>
      <w:r>
        <w:rPr>
          <w:rFonts w:eastAsia="Times New Roman" w:cs="Arial"/>
          <w:snapToGrid w:val="0"/>
          <w:szCs w:val="20"/>
        </w:rPr>
        <w:t>,</w:t>
      </w:r>
      <w:r w:rsidRPr="00D15B08">
        <w:rPr>
          <w:rFonts w:eastAsia="Times New Roman" w:cs="Arial"/>
          <w:snapToGrid w:val="0"/>
          <w:szCs w:val="20"/>
        </w:rPr>
        <w:t xml:space="preserve"> Section </w:t>
      </w:r>
      <w:r w:rsidR="009F49B9">
        <w:rPr>
          <w:rFonts w:eastAsia="Times New Roman" w:cs="Arial"/>
          <w:snapToGrid w:val="0"/>
          <w:szCs w:val="20"/>
        </w:rPr>
        <w:t>2</w:t>
      </w:r>
      <w:r w:rsidRPr="00D15B08">
        <w:rPr>
          <w:rFonts w:eastAsia="Times New Roman" w:cs="Arial"/>
          <w:snapToGrid w:val="0"/>
          <w:szCs w:val="20"/>
        </w:rPr>
        <w:t>.</w:t>
      </w:r>
      <w:r>
        <w:rPr>
          <w:rFonts w:eastAsia="Times New Roman" w:cs="Arial"/>
          <w:snapToGrid w:val="0"/>
          <w:szCs w:val="20"/>
        </w:rPr>
        <w:t>8</w:t>
      </w:r>
      <w:r w:rsidRPr="00D15B08">
        <w:rPr>
          <w:rFonts w:eastAsia="Times New Roman" w:cs="Arial"/>
          <w:snapToGrid w:val="0"/>
          <w:szCs w:val="20"/>
        </w:rPr>
        <w:t xml:space="preserve"> for definition of </w:t>
      </w:r>
      <w:r>
        <w:rPr>
          <w:rFonts w:eastAsia="Times New Roman" w:cs="Arial"/>
          <w:snapToGrid w:val="0"/>
          <w:szCs w:val="20"/>
        </w:rPr>
        <w:t>“</w:t>
      </w:r>
      <w:r w:rsidRPr="006A1F25">
        <w:rPr>
          <w:rFonts w:eastAsia="Times New Roman" w:cs="Arial"/>
          <w:snapToGrid w:val="0"/>
          <w:szCs w:val="20"/>
        </w:rPr>
        <w:t>subcontractor</w:t>
      </w:r>
      <w:r>
        <w:rPr>
          <w:rFonts w:eastAsia="Times New Roman" w:cs="Arial"/>
          <w:snapToGrid w:val="0"/>
          <w:szCs w:val="20"/>
        </w:rPr>
        <w:t>”</w:t>
      </w:r>
      <w:r w:rsidRPr="00D15B08">
        <w:rPr>
          <w:rFonts w:eastAsia="Times New Roman" w:cs="Arial"/>
          <w:snapToGrid w:val="0"/>
          <w:szCs w:val="20"/>
        </w:rPr>
        <w:t>) that will be used to perform services. For each subcontractor, include:</w:t>
      </w:r>
    </w:p>
    <w:p w14:paraId="05CB21CA" w14:textId="77777777" w:rsidR="00537458" w:rsidRPr="008F2F1B" w:rsidRDefault="00537458" w:rsidP="00A0749C">
      <w:pPr>
        <w:widowControl w:val="0"/>
        <w:numPr>
          <w:ilvl w:val="1"/>
          <w:numId w:val="65"/>
        </w:numPr>
        <w:spacing w:before="240" w:after="240"/>
        <w:ind w:left="1080"/>
        <w:rPr>
          <w:rFonts w:eastAsia="Times New Roman" w:cs="Arial"/>
          <w:snapToGrid w:val="0"/>
          <w:szCs w:val="20"/>
        </w:rPr>
      </w:pPr>
      <w:r w:rsidRPr="008F2F1B">
        <w:rPr>
          <w:rFonts w:eastAsia="Times New Roman" w:cs="Arial"/>
          <w:snapToGrid w:val="0"/>
          <w:szCs w:val="20"/>
        </w:rPr>
        <w:t xml:space="preserve">A clear description of the functions, activities, and responsibilities that will be performed </w:t>
      </w:r>
      <w:r w:rsidRPr="008F2F1B">
        <w:rPr>
          <w:rFonts w:eastAsia="Times New Roman" w:cs="Arial"/>
          <w:snapToGrid w:val="0"/>
          <w:szCs w:val="20"/>
        </w:rPr>
        <w:lastRenderedPageBreak/>
        <w:t xml:space="preserve">by each subcontractor </w:t>
      </w:r>
      <w:r>
        <w:rPr>
          <w:rFonts w:eastAsia="Times New Roman" w:cs="Arial"/>
          <w:snapToGrid w:val="0"/>
          <w:szCs w:val="20"/>
        </w:rPr>
        <w:t>and/or independent consultants.</w:t>
      </w:r>
    </w:p>
    <w:p w14:paraId="5CDBE406" w14:textId="77777777" w:rsidR="00537458" w:rsidRPr="008F2F1B" w:rsidRDefault="00537458" w:rsidP="00A0749C">
      <w:pPr>
        <w:widowControl w:val="0"/>
        <w:numPr>
          <w:ilvl w:val="1"/>
          <w:numId w:val="65"/>
        </w:numPr>
        <w:tabs>
          <w:tab w:val="left" w:pos="1080"/>
          <w:tab w:val="left" w:pos="1620"/>
        </w:tabs>
        <w:spacing w:before="240" w:after="240"/>
        <w:ind w:left="1080"/>
        <w:rPr>
          <w:rFonts w:eastAsia="Times New Roman" w:cs="Arial"/>
          <w:snapToGrid w:val="0"/>
          <w:szCs w:val="20"/>
        </w:rPr>
      </w:pPr>
      <w:r w:rsidRPr="008F2F1B">
        <w:rPr>
          <w:rFonts w:eastAsia="Times New Roman" w:cs="Arial"/>
          <w:snapToGrid w:val="0"/>
          <w:szCs w:val="20"/>
        </w:rPr>
        <w:t xml:space="preserve">A brief explanation as to why the subcontractor or independent consultant was selected </w:t>
      </w:r>
      <w:proofErr w:type="gramStart"/>
      <w:r w:rsidRPr="008F2F1B">
        <w:rPr>
          <w:rFonts w:eastAsia="Times New Roman" w:cs="Arial"/>
          <w:snapToGrid w:val="0"/>
          <w:szCs w:val="20"/>
        </w:rPr>
        <w:t>including</w:t>
      </w:r>
      <w:proofErr w:type="gramEnd"/>
      <w:r w:rsidRPr="008F2F1B">
        <w:rPr>
          <w:rFonts w:eastAsia="Times New Roman" w:cs="Arial"/>
          <w:snapToGrid w:val="0"/>
          <w:szCs w:val="20"/>
        </w:rPr>
        <w:t xml:space="preserve"> expertise, knowledge, sp</w:t>
      </w:r>
      <w:r>
        <w:rPr>
          <w:rFonts w:eastAsia="Times New Roman" w:cs="Arial"/>
          <w:snapToGrid w:val="0"/>
          <w:szCs w:val="20"/>
        </w:rPr>
        <w:t xml:space="preserve">ecialty, </w:t>
      </w:r>
      <w:proofErr w:type="gramStart"/>
      <w:r>
        <w:rPr>
          <w:rFonts w:eastAsia="Times New Roman" w:cs="Arial"/>
          <w:snapToGrid w:val="0"/>
          <w:szCs w:val="20"/>
        </w:rPr>
        <w:t>past experience</w:t>
      </w:r>
      <w:proofErr w:type="gramEnd"/>
      <w:r>
        <w:rPr>
          <w:rFonts w:eastAsia="Times New Roman" w:cs="Arial"/>
          <w:snapToGrid w:val="0"/>
          <w:szCs w:val="20"/>
        </w:rPr>
        <w:t>, etc.</w:t>
      </w:r>
    </w:p>
    <w:p w14:paraId="7AC7A95F" w14:textId="6C3FF390" w:rsidR="00537458" w:rsidRDefault="00537458" w:rsidP="00A0749C">
      <w:pPr>
        <w:widowControl w:val="0"/>
        <w:numPr>
          <w:ilvl w:val="1"/>
          <w:numId w:val="65"/>
        </w:numPr>
        <w:tabs>
          <w:tab w:val="left" w:pos="1080"/>
          <w:tab w:val="left" w:pos="1620"/>
        </w:tabs>
        <w:spacing w:before="240" w:after="240"/>
        <w:ind w:left="1080"/>
        <w:rPr>
          <w:rFonts w:eastAsia="Times New Roman" w:cs="Arial"/>
          <w:snapToGrid w:val="0"/>
          <w:szCs w:val="20"/>
        </w:rPr>
      </w:pPr>
      <w:r w:rsidRPr="001200DC">
        <w:rPr>
          <w:rFonts w:eastAsia="Times New Roman" w:cs="Arial"/>
          <w:snapToGrid w:val="0"/>
          <w:szCs w:val="20"/>
        </w:rPr>
        <w:t>A r</w:t>
      </w:r>
      <w:r>
        <w:rPr>
          <w:rFonts w:eastAsia="Times New Roman" w:cs="Arial"/>
          <w:snapToGrid w:val="0"/>
          <w:szCs w:val="20"/>
        </w:rPr>
        <w:t>é</w:t>
      </w:r>
      <w:r w:rsidRPr="001200DC">
        <w:rPr>
          <w:rFonts w:eastAsia="Times New Roman" w:cs="Arial"/>
          <w:snapToGrid w:val="0"/>
          <w:szCs w:val="20"/>
        </w:rPr>
        <w:t>sum</w:t>
      </w:r>
      <w:r>
        <w:rPr>
          <w:rFonts w:eastAsia="Times New Roman" w:cs="Arial"/>
          <w:snapToGrid w:val="0"/>
          <w:szCs w:val="20"/>
        </w:rPr>
        <w:t>é</w:t>
      </w:r>
      <w:r w:rsidRPr="001200DC">
        <w:rPr>
          <w:rFonts w:eastAsia="Times New Roman" w:cs="Arial"/>
          <w:snapToGrid w:val="0"/>
          <w:szCs w:val="20"/>
        </w:rPr>
        <w:t xml:space="preserve"> for each subcontractor’s Key Personnel and independent consultants. To the extent possible, </w:t>
      </w:r>
      <w:r w:rsidRPr="00E67354">
        <w:rPr>
          <w:rFonts w:eastAsia="Times New Roman" w:cs="Arial"/>
          <w:snapToGrid w:val="0"/>
          <w:szCs w:val="20"/>
        </w:rPr>
        <w:t>r</w:t>
      </w:r>
      <w:r>
        <w:rPr>
          <w:rFonts w:eastAsia="Times New Roman" w:cs="Arial"/>
          <w:snapToGrid w:val="0"/>
          <w:szCs w:val="20"/>
        </w:rPr>
        <w:t>é</w:t>
      </w:r>
      <w:r w:rsidRPr="00E67354">
        <w:rPr>
          <w:rFonts w:eastAsia="Times New Roman" w:cs="Arial"/>
          <w:snapToGrid w:val="0"/>
          <w:szCs w:val="20"/>
        </w:rPr>
        <w:t>sum</w:t>
      </w:r>
      <w:r>
        <w:rPr>
          <w:rFonts w:eastAsia="Times New Roman" w:cs="Arial"/>
          <w:snapToGrid w:val="0"/>
          <w:szCs w:val="20"/>
        </w:rPr>
        <w:t>é</w:t>
      </w:r>
      <w:r w:rsidRPr="00E67354">
        <w:rPr>
          <w:rFonts w:eastAsia="Times New Roman" w:cs="Arial"/>
          <w:snapToGrid w:val="0"/>
          <w:szCs w:val="20"/>
        </w:rPr>
        <w:t xml:space="preserve">s </w:t>
      </w:r>
      <w:r w:rsidRPr="001200DC">
        <w:rPr>
          <w:rFonts w:eastAsia="Times New Roman" w:cs="Arial"/>
          <w:snapToGrid w:val="0"/>
          <w:szCs w:val="20"/>
        </w:rPr>
        <w:t>should not include personal information such as social security number, home address, home telephone number, marital status, sex, birthdate, etc. All subcontractors must conform to all requirements of this RFP. (Refer to RFP</w:t>
      </w:r>
      <w:r>
        <w:rPr>
          <w:rFonts w:eastAsia="Times New Roman" w:cs="Arial"/>
          <w:snapToGrid w:val="0"/>
          <w:szCs w:val="20"/>
        </w:rPr>
        <w:t>,</w:t>
      </w:r>
      <w:r w:rsidRPr="001200DC">
        <w:rPr>
          <w:rFonts w:eastAsia="Times New Roman" w:cs="Arial"/>
          <w:snapToGrid w:val="0"/>
          <w:szCs w:val="20"/>
        </w:rPr>
        <w:t xml:space="preserve"> Section </w:t>
      </w:r>
      <w:r w:rsidR="009F49B9">
        <w:rPr>
          <w:rFonts w:eastAsia="Times New Roman" w:cs="Arial"/>
          <w:snapToGrid w:val="0"/>
          <w:szCs w:val="20"/>
        </w:rPr>
        <w:t>2</w:t>
      </w:r>
      <w:r w:rsidRPr="001200DC">
        <w:rPr>
          <w:rFonts w:eastAsia="Times New Roman" w:cs="Arial"/>
          <w:snapToGrid w:val="0"/>
          <w:szCs w:val="20"/>
        </w:rPr>
        <w:t>.</w:t>
      </w:r>
      <w:r>
        <w:rPr>
          <w:rFonts w:eastAsia="Times New Roman" w:cs="Arial"/>
          <w:snapToGrid w:val="0"/>
          <w:szCs w:val="20"/>
        </w:rPr>
        <w:t>8</w:t>
      </w:r>
      <w:r w:rsidRPr="001200DC">
        <w:rPr>
          <w:rFonts w:eastAsia="Times New Roman" w:cs="Arial"/>
          <w:snapToGrid w:val="0"/>
          <w:szCs w:val="20"/>
        </w:rPr>
        <w:t xml:space="preserve"> for the definition of </w:t>
      </w:r>
      <w:r>
        <w:rPr>
          <w:rFonts w:eastAsia="Times New Roman" w:cs="Arial"/>
          <w:snapToGrid w:val="0"/>
          <w:szCs w:val="20"/>
        </w:rPr>
        <w:t>“</w:t>
      </w:r>
      <w:r w:rsidRPr="006A1F25">
        <w:rPr>
          <w:rFonts w:eastAsia="Times New Roman" w:cs="Arial"/>
          <w:snapToGrid w:val="0"/>
          <w:szCs w:val="20"/>
        </w:rPr>
        <w:t>subcontractor</w:t>
      </w:r>
      <w:r>
        <w:rPr>
          <w:rFonts w:eastAsia="Times New Roman" w:cs="Arial"/>
          <w:snapToGrid w:val="0"/>
          <w:szCs w:val="20"/>
        </w:rPr>
        <w:t>”</w:t>
      </w:r>
      <w:r w:rsidRPr="001200DC">
        <w:rPr>
          <w:rFonts w:eastAsia="Times New Roman" w:cs="Arial"/>
          <w:snapToGrid w:val="0"/>
          <w:szCs w:val="20"/>
        </w:rPr>
        <w:t>)</w:t>
      </w:r>
      <w:r w:rsidR="006C6950">
        <w:rPr>
          <w:rFonts w:eastAsia="Times New Roman" w:cs="Arial"/>
          <w:snapToGrid w:val="0"/>
          <w:szCs w:val="20"/>
        </w:rPr>
        <w:t>.</w:t>
      </w:r>
    </w:p>
    <w:p w14:paraId="58B990A1" w14:textId="262C0D81" w:rsidR="00537458" w:rsidRPr="008F2F1B" w:rsidRDefault="00537458" w:rsidP="00A0749C">
      <w:pPr>
        <w:widowControl w:val="0"/>
        <w:numPr>
          <w:ilvl w:val="1"/>
          <w:numId w:val="65"/>
        </w:numPr>
        <w:tabs>
          <w:tab w:val="left" w:pos="1080"/>
        </w:tabs>
        <w:spacing w:before="240" w:after="240"/>
        <w:ind w:left="1080"/>
        <w:rPr>
          <w:rFonts w:eastAsia="Times New Roman" w:cs="Arial"/>
          <w:snapToGrid w:val="0"/>
          <w:szCs w:val="20"/>
        </w:rPr>
      </w:pPr>
      <w:r w:rsidRPr="008F2F1B">
        <w:rPr>
          <w:rFonts w:eastAsia="Times New Roman" w:cs="Arial"/>
          <w:snapToGrid w:val="0"/>
          <w:szCs w:val="20"/>
        </w:rPr>
        <w:t xml:space="preserve">A commitment letter, signed by an official representative of each subcontractor or independent consultant, acknowledging their intended participation/availability and confirmation that they have been made aware of the terms and conditions of the proposed contract. </w:t>
      </w:r>
      <w:r w:rsidRPr="008F2F1B">
        <w:rPr>
          <w:rFonts w:cs="Arial"/>
        </w:rPr>
        <w:t>A commitment letter is required for all subcontractors. No cost should be inc</w:t>
      </w:r>
      <w:r>
        <w:rPr>
          <w:rFonts w:cs="Arial"/>
        </w:rPr>
        <w:t xml:space="preserve">luded in the </w:t>
      </w:r>
      <w:proofErr w:type="gramStart"/>
      <w:r>
        <w:rPr>
          <w:rFonts w:cs="Arial"/>
        </w:rPr>
        <w:t>commitment letter</w:t>
      </w:r>
      <w:proofErr w:type="gramEnd"/>
      <w:r>
        <w:rPr>
          <w:rFonts w:cs="Arial"/>
        </w:rPr>
        <w:t xml:space="preserve"> (Refer to RFP, Section </w:t>
      </w:r>
      <w:r w:rsidR="009F49B9">
        <w:rPr>
          <w:rFonts w:cs="Arial"/>
        </w:rPr>
        <w:t>3</w:t>
      </w:r>
      <w:r>
        <w:rPr>
          <w:rFonts w:cs="Arial"/>
        </w:rPr>
        <w:t>.2</w:t>
      </w:r>
      <w:r w:rsidR="00D6522A">
        <w:rPr>
          <w:rFonts w:cs="Arial"/>
        </w:rPr>
        <w:t>.</w:t>
      </w:r>
      <w:r w:rsidR="009B75B7">
        <w:rPr>
          <w:rFonts w:cs="Arial"/>
        </w:rPr>
        <w:t>10</w:t>
      </w:r>
      <w:r>
        <w:rPr>
          <w:rFonts w:cs="Arial"/>
        </w:rPr>
        <w:t>)</w:t>
      </w:r>
      <w:r w:rsidR="00D6522A">
        <w:rPr>
          <w:rFonts w:cs="Arial"/>
        </w:rPr>
        <w:t>.</w:t>
      </w:r>
    </w:p>
    <w:p w14:paraId="61EE58B6" w14:textId="6DC1D739" w:rsidR="00537458" w:rsidRPr="008F2F1B" w:rsidRDefault="00537458" w:rsidP="00A0749C">
      <w:pPr>
        <w:widowControl w:val="0"/>
        <w:numPr>
          <w:ilvl w:val="1"/>
          <w:numId w:val="65"/>
        </w:numPr>
        <w:tabs>
          <w:tab w:val="left" w:pos="1080"/>
          <w:tab w:val="left" w:pos="1440"/>
        </w:tabs>
        <w:spacing w:before="240" w:after="240"/>
        <w:ind w:left="1080"/>
        <w:rPr>
          <w:rFonts w:cs="Arial"/>
        </w:rPr>
      </w:pPr>
      <w:r w:rsidRPr="008F2F1B">
        <w:rPr>
          <w:rFonts w:cs="Arial"/>
        </w:rPr>
        <w:t xml:space="preserve">All proposed subcontractors must be listed on the GSPD-05-105 form. </w:t>
      </w:r>
      <w:r w:rsidRPr="008F2F1B">
        <w:rPr>
          <w:rFonts w:eastAsia="Times New Roman" w:cs="Arial"/>
          <w:snapToGrid w:val="0"/>
          <w:szCs w:val="20"/>
        </w:rPr>
        <w:t xml:space="preserve">The full legal names of all proposed subcontractors (including independent consultants) that will be used to perform services on the Bidder Declaration (GSPD-05-105) in accordance with the instructions stated on the form (Refer to </w:t>
      </w:r>
      <w:r>
        <w:rPr>
          <w:rFonts w:eastAsia="Times New Roman" w:cs="Arial"/>
          <w:snapToGrid w:val="0"/>
          <w:szCs w:val="20"/>
        </w:rPr>
        <w:t xml:space="preserve">RFP, </w:t>
      </w:r>
      <w:r w:rsidRPr="008F2F1B">
        <w:rPr>
          <w:rFonts w:eastAsia="Times New Roman" w:cs="Arial"/>
          <w:snapToGrid w:val="0"/>
          <w:szCs w:val="20"/>
        </w:rPr>
        <w:t xml:space="preserve">Section </w:t>
      </w:r>
      <w:r w:rsidR="009F49B9">
        <w:rPr>
          <w:rFonts w:eastAsia="Times New Roman" w:cs="Arial"/>
          <w:snapToGrid w:val="0"/>
          <w:szCs w:val="20"/>
        </w:rPr>
        <w:t>3</w:t>
      </w:r>
      <w:r w:rsidRPr="008F2F1B">
        <w:rPr>
          <w:rFonts w:eastAsia="Times New Roman" w:cs="Arial"/>
          <w:snapToGrid w:val="0"/>
          <w:szCs w:val="20"/>
        </w:rPr>
        <w:t>.2</w:t>
      </w:r>
      <w:r w:rsidR="00D6522A">
        <w:rPr>
          <w:rFonts w:eastAsia="Times New Roman" w:cs="Arial"/>
          <w:snapToGrid w:val="0"/>
          <w:szCs w:val="20"/>
        </w:rPr>
        <w:t>.</w:t>
      </w:r>
      <w:r w:rsidR="009B75B7">
        <w:rPr>
          <w:rFonts w:eastAsia="Times New Roman" w:cs="Arial"/>
          <w:snapToGrid w:val="0"/>
          <w:szCs w:val="20"/>
        </w:rPr>
        <w:t>9</w:t>
      </w:r>
      <w:r w:rsidRPr="008F2F1B">
        <w:rPr>
          <w:rFonts w:eastAsia="Times New Roman" w:cs="Arial"/>
          <w:snapToGrid w:val="0"/>
          <w:szCs w:val="20"/>
        </w:rPr>
        <w:t>).</w:t>
      </w:r>
    </w:p>
    <w:p w14:paraId="0FCE315C" w14:textId="77777777" w:rsidR="00537458" w:rsidRDefault="00537458" w:rsidP="00A0749C">
      <w:pPr>
        <w:pStyle w:val="ListParagraph"/>
        <w:widowControl w:val="0"/>
        <w:numPr>
          <w:ilvl w:val="0"/>
          <w:numId w:val="23"/>
        </w:numPr>
        <w:spacing w:before="240" w:after="240"/>
        <w:ind w:left="720" w:hanging="720"/>
        <w:contextualSpacing w:val="0"/>
        <w:rPr>
          <w:rFonts w:eastAsia="Times New Roman" w:cs="Arial"/>
          <w:snapToGrid w:val="0"/>
          <w:szCs w:val="20"/>
        </w:rPr>
      </w:pPr>
      <w:r w:rsidRPr="008F2F1B">
        <w:rPr>
          <w:rFonts w:eastAsia="Times New Roman" w:cs="Arial"/>
          <w:snapToGrid w:val="0"/>
          <w:szCs w:val="20"/>
        </w:rPr>
        <w:t>Organization Chart</w:t>
      </w:r>
    </w:p>
    <w:p w14:paraId="744857D5" w14:textId="368A495C" w:rsidR="00537458" w:rsidRPr="00632F4F" w:rsidRDefault="00537458" w:rsidP="00A0749C">
      <w:pPr>
        <w:pStyle w:val="ListParagraph"/>
        <w:widowControl w:val="0"/>
        <w:rPr>
          <w:rFonts w:cs="Arial"/>
          <w:strike/>
          <w:szCs w:val="24"/>
        </w:rPr>
      </w:pPr>
      <w:r w:rsidRPr="00D448B6">
        <w:rPr>
          <w:rFonts w:cs="Arial"/>
          <w:szCs w:val="24"/>
        </w:rPr>
        <w:t>Include an organization chart showing the hierarchy of Key Personnel working on this project. The organization chart must show the relationship between the bidders’ Project Manager</w:t>
      </w:r>
      <w:r>
        <w:rPr>
          <w:rFonts w:cs="Arial"/>
          <w:szCs w:val="24"/>
        </w:rPr>
        <w:t>, Fiscal Manager,</w:t>
      </w:r>
      <w:r w:rsidRPr="00D448B6">
        <w:rPr>
          <w:rFonts w:cs="Arial"/>
          <w:szCs w:val="24"/>
        </w:rPr>
        <w:t xml:space="preserve"> </w:t>
      </w:r>
      <w:r w:rsidR="007723DC">
        <w:rPr>
          <w:rFonts w:cs="Arial"/>
          <w:szCs w:val="24"/>
        </w:rPr>
        <w:t xml:space="preserve">Partner/Senior Associate (if applicable), </w:t>
      </w:r>
      <w:r w:rsidRPr="00D448B6">
        <w:rPr>
          <w:rFonts w:cs="Arial"/>
          <w:szCs w:val="24"/>
        </w:rPr>
        <w:t>and all Key Personnel of the bidder’s organization and all other parties (subcontractors and/or independent consultants) that will have primary responsibility for managing, directing, overseeing and/or conducting the work of the project.</w:t>
      </w:r>
    </w:p>
    <w:p w14:paraId="165E762D" w14:textId="77777777" w:rsidR="00537458" w:rsidRDefault="00537458" w:rsidP="00A0749C">
      <w:pPr>
        <w:pStyle w:val="ListParagraph"/>
        <w:widowControl w:val="0"/>
        <w:spacing w:before="240" w:after="240"/>
        <w:contextualSpacing w:val="0"/>
        <w:rPr>
          <w:rFonts w:cs="Arial"/>
          <w:szCs w:val="24"/>
        </w:rPr>
      </w:pPr>
      <w:r w:rsidRPr="00A80331">
        <w:rPr>
          <w:rFonts w:cs="Arial"/>
          <w:szCs w:val="24"/>
        </w:rPr>
        <w:t>Additionally, the organization chart must include for the prime contractor, the job position title and name of Key Personnel, subcontractors and/or independent consultants identified above, as well as, the job position title and name of each supervisor who has approval authority over Key Personnel, subcontractors and/or independent consultants and the relationship of the individuals to the bidder, i.e., bidder, bidder’s employee, subcontractor, or subcontractor’s employee. In addition, the subcontractor must identify the supervisor who has approval authority over their Key Personnel.</w:t>
      </w:r>
    </w:p>
    <w:p w14:paraId="40E85020" w14:textId="77777777" w:rsidR="00537458" w:rsidRDefault="00537458" w:rsidP="00A0749C">
      <w:pPr>
        <w:pStyle w:val="ListParagraph"/>
        <w:widowControl w:val="0"/>
        <w:numPr>
          <w:ilvl w:val="0"/>
          <w:numId w:val="23"/>
        </w:numPr>
        <w:spacing w:before="240" w:after="240"/>
        <w:ind w:left="720" w:hanging="720"/>
        <w:contextualSpacing w:val="0"/>
        <w:rPr>
          <w:rFonts w:cs="Arial"/>
        </w:rPr>
      </w:pPr>
      <w:r w:rsidRPr="008F2F1B">
        <w:rPr>
          <w:rFonts w:cs="Arial"/>
        </w:rPr>
        <w:t>Staffing Labor Hours by Task</w:t>
      </w:r>
      <w:r>
        <w:rPr>
          <w:rFonts w:cs="Arial"/>
        </w:rPr>
        <w:t xml:space="preserve"> and Subtask</w:t>
      </w:r>
    </w:p>
    <w:p w14:paraId="2B56A2CF" w14:textId="5F0A47F0" w:rsidR="00537458" w:rsidRDefault="00537458" w:rsidP="00537458">
      <w:pPr>
        <w:pStyle w:val="ListParagraph"/>
        <w:widowControl w:val="0"/>
        <w:spacing w:before="240" w:after="240"/>
        <w:contextualSpacing w:val="0"/>
        <w:rPr>
          <w:rFonts w:cs="Arial"/>
        </w:rPr>
      </w:pPr>
      <w:r w:rsidRPr="00D15B08">
        <w:rPr>
          <w:rFonts w:cs="Arial"/>
        </w:rPr>
        <w:t>For each individual and job position title</w:t>
      </w:r>
      <w:r w:rsidR="006F4AA2">
        <w:rPr>
          <w:rFonts w:cs="Arial"/>
        </w:rPr>
        <w:t xml:space="preserve"> (including Project Manager, Fiscal Manager, </w:t>
      </w:r>
      <w:r w:rsidR="007723DC">
        <w:rPr>
          <w:rFonts w:cs="Arial"/>
          <w:szCs w:val="24"/>
        </w:rPr>
        <w:t xml:space="preserve">Partner/Senior Associate (if applicable), </w:t>
      </w:r>
      <w:r w:rsidR="006F4AA2">
        <w:rPr>
          <w:rFonts w:cs="Arial"/>
        </w:rPr>
        <w:t xml:space="preserve">and any </w:t>
      </w:r>
      <w:r w:rsidR="007723DC">
        <w:rPr>
          <w:rFonts w:cs="Arial"/>
        </w:rPr>
        <w:t>K</w:t>
      </w:r>
      <w:r w:rsidR="006F4AA2">
        <w:rPr>
          <w:rFonts w:cs="Arial"/>
        </w:rPr>
        <w:t xml:space="preserve">ey </w:t>
      </w:r>
      <w:r w:rsidR="007723DC">
        <w:rPr>
          <w:rFonts w:cs="Arial"/>
        </w:rPr>
        <w:t>P</w:t>
      </w:r>
      <w:r w:rsidR="006F4AA2">
        <w:rPr>
          <w:rFonts w:cs="Arial"/>
        </w:rPr>
        <w:t>ersonnel),</w:t>
      </w:r>
      <w:r w:rsidRPr="00D15B08">
        <w:rPr>
          <w:rFonts w:cs="Arial"/>
        </w:rPr>
        <w:t xml:space="preserve"> include the specific tasks</w:t>
      </w:r>
      <w:r>
        <w:rPr>
          <w:rFonts w:cs="Arial"/>
        </w:rPr>
        <w:t xml:space="preserve"> and </w:t>
      </w:r>
      <w:r w:rsidRPr="00D15B08">
        <w:rPr>
          <w:rFonts w:cs="Arial"/>
        </w:rPr>
        <w:t>subtasks each individual/job position title that will perform services</w:t>
      </w:r>
      <w:r w:rsidR="001F7561">
        <w:rPr>
          <w:rFonts w:cs="Arial"/>
        </w:rPr>
        <w:t>,</w:t>
      </w:r>
      <w:r w:rsidRPr="00D15B08">
        <w:rPr>
          <w:rFonts w:cs="Arial"/>
        </w:rPr>
        <w:t xml:space="preserve"> and the specific number of labor hours the individual/job position title will devote to each task</w:t>
      </w:r>
      <w:r>
        <w:rPr>
          <w:rFonts w:cs="Arial"/>
        </w:rPr>
        <w:t xml:space="preserve"> and </w:t>
      </w:r>
      <w:r w:rsidRPr="00D15B08">
        <w:rPr>
          <w:rFonts w:cs="Arial"/>
        </w:rPr>
        <w:t xml:space="preserve">subtask contained in Section </w:t>
      </w:r>
      <w:r w:rsidR="00DC395C">
        <w:rPr>
          <w:rFonts w:cs="Arial"/>
        </w:rPr>
        <w:t>7</w:t>
      </w:r>
      <w:r w:rsidRPr="00D15B08">
        <w:rPr>
          <w:rFonts w:cs="Arial"/>
        </w:rPr>
        <w:t xml:space="preserve"> Scope of Project. Please refer to </w:t>
      </w:r>
      <w:r w:rsidR="00177E8B">
        <w:rPr>
          <w:rFonts w:cs="Arial"/>
        </w:rPr>
        <w:t>RFP Section 3.2</w:t>
      </w:r>
      <w:r w:rsidR="00D6522A">
        <w:rPr>
          <w:rFonts w:cs="Arial"/>
        </w:rPr>
        <w:t>.</w:t>
      </w:r>
      <w:r w:rsidR="005E7F9B">
        <w:rPr>
          <w:rFonts w:cs="Arial"/>
        </w:rPr>
        <w:t>3</w:t>
      </w:r>
      <w:r w:rsidR="00177E8B">
        <w:rPr>
          <w:rFonts w:cs="Arial"/>
        </w:rPr>
        <w:t xml:space="preserve"> and </w:t>
      </w:r>
      <w:r w:rsidRPr="00D15B08">
        <w:rPr>
          <w:rFonts w:cs="Arial"/>
        </w:rPr>
        <w:t xml:space="preserve">Attachment </w:t>
      </w:r>
      <w:r w:rsidR="005E7F9B">
        <w:rPr>
          <w:rFonts w:cs="Arial"/>
        </w:rPr>
        <w:t>4</w:t>
      </w:r>
      <w:r w:rsidRPr="00D15B08">
        <w:rPr>
          <w:rFonts w:cs="Arial"/>
        </w:rPr>
        <w:t xml:space="preserve">, Sample Technical Proposal Staffing Labor Hours Worksheets. A Staffing Labor Hours Worksheet (Attachment </w:t>
      </w:r>
      <w:r w:rsidR="005E7F9B">
        <w:rPr>
          <w:rFonts w:cs="Arial"/>
        </w:rPr>
        <w:t>4</w:t>
      </w:r>
      <w:r w:rsidRPr="00D15B08">
        <w:rPr>
          <w:rFonts w:cs="Arial"/>
        </w:rPr>
        <w:t xml:space="preserve">) must be completed for each fiscal year covered under this contract or part thereof. The labor hours specified in the Staffing Labor Hours Worksheet (Attachment </w:t>
      </w:r>
      <w:r w:rsidR="005E7F9B">
        <w:rPr>
          <w:rFonts w:cs="Arial"/>
        </w:rPr>
        <w:t>4</w:t>
      </w:r>
      <w:r w:rsidRPr="00D15B08">
        <w:rPr>
          <w:rFonts w:cs="Arial"/>
        </w:rPr>
        <w:t xml:space="preserve">) must correlate with the labor hours contained in the Cost </w:t>
      </w:r>
      <w:r w:rsidRPr="00D15B08">
        <w:rPr>
          <w:rFonts w:cs="Arial"/>
        </w:rPr>
        <w:lastRenderedPageBreak/>
        <w:t>Proposal.</w:t>
      </w:r>
    </w:p>
    <w:p w14:paraId="35B0A81B" w14:textId="20E297C8" w:rsidR="00537458" w:rsidRPr="00326FB2" w:rsidRDefault="00537458" w:rsidP="00537458">
      <w:pPr>
        <w:pStyle w:val="ListParagraph"/>
        <w:widowControl w:val="0"/>
        <w:spacing w:before="240" w:after="240"/>
        <w:contextualSpacing w:val="0"/>
        <w:rPr>
          <w:rFonts w:cs="Arial"/>
        </w:rPr>
      </w:pPr>
      <w:r w:rsidRPr="00326FB2">
        <w:rPr>
          <w:rFonts w:cs="Arial"/>
        </w:rPr>
        <w:t xml:space="preserve">Do not include cost information </w:t>
      </w:r>
      <w:r w:rsidR="00A97E74">
        <w:rPr>
          <w:rFonts w:cs="Arial"/>
        </w:rPr>
        <w:t>in</w:t>
      </w:r>
      <w:r w:rsidR="00A97E74" w:rsidRPr="00326FB2">
        <w:rPr>
          <w:rFonts w:cs="Arial"/>
        </w:rPr>
        <w:t xml:space="preserve"> </w:t>
      </w:r>
      <w:r w:rsidRPr="00326FB2">
        <w:rPr>
          <w:rFonts w:cs="Arial"/>
        </w:rPr>
        <w:t>the Technical Proposal. Cost information included in any section or in any required attachment to the Technical Proposal may result in disqualification and removal of the proposal from further review at the sole discretion of the CDE.</w:t>
      </w:r>
    </w:p>
    <w:p w14:paraId="552DE388" w14:textId="77777777" w:rsidR="00537458" w:rsidRDefault="00537458" w:rsidP="00A0749C">
      <w:pPr>
        <w:pStyle w:val="ListParagraph"/>
        <w:numPr>
          <w:ilvl w:val="0"/>
          <w:numId w:val="23"/>
        </w:numPr>
        <w:spacing w:before="240" w:after="240"/>
        <w:ind w:left="720" w:hanging="720"/>
        <w:contextualSpacing w:val="0"/>
        <w:rPr>
          <w:rFonts w:cs="Arial"/>
        </w:rPr>
      </w:pPr>
      <w:r w:rsidRPr="008F2F1B">
        <w:rPr>
          <w:rFonts w:cs="Arial"/>
        </w:rPr>
        <w:t>Subcontractor Labor Hours by Task</w:t>
      </w:r>
      <w:r>
        <w:rPr>
          <w:rFonts w:cs="Arial"/>
        </w:rPr>
        <w:t xml:space="preserve"> and Subtask</w:t>
      </w:r>
    </w:p>
    <w:p w14:paraId="5C7EBC6F" w14:textId="65AB015A" w:rsidR="00537458" w:rsidRDefault="00537458" w:rsidP="00537458">
      <w:pPr>
        <w:pStyle w:val="ListParagraph"/>
        <w:tabs>
          <w:tab w:val="left" w:pos="720"/>
          <w:tab w:val="left" w:pos="1080"/>
        </w:tabs>
        <w:spacing w:before="240" w:after="240"/>
        <w:contextualSpacing w:val="0"/>
        <w:rPr>
          <w:rFonts w:cs="Arial"/>
        </w:rPr>
      </w:pPr>
      <w:r w:rsidRPr="008F2F1B">
        <w:rPr>
          <w:rFonts w:cs="Arial"/>
        </w:rPr>
        <w:t>If subcontractors (See RFP</w:t>
      </w:r>
      <w:r>
        <w:rPr>
          <w:rFonts w:cs="Arial"/>
        </w:rPr>
        <w:t>,</w:t>
      </w:r>
      <w:r w:rsidRPr="008F2F1B">
        <w:rPr>
          <w:rFonts w:cs="Arial"/>
        </w:rPr>
        <w:t xml:space="preserve"> Section </w:t>
      </w:r>
      <w:r w:rsidR="00F94052">
        <w:rPr>
          <w:rFonts w:cs="Arial"/>
        </w:rPr>
        <w:t>2</w:t>
      </w:r>
      <w:r w:rsidRPr="008F2F1B">
        <w:rPr>
          <w:rFonts w:cs="Arial"/>
        </w:rPr>
        <w:t xml:space="preserve">.8 for definition of </w:t>
      </w:r>
      <w:r>
        <w:rPr>
          <w:rFonts w:cs="Arial"/>
        </w:rPr>
        <w:t>“</w:t>
      </w:r>
      <w:r w:rsidRPr="00326FB2">
        <w:rPr>
          <w:rFonts w:cs="Arial"/>
        </w:rPr>
        <w:t>subcontractors</w:t>
      </w:r>
      <w:r>
        <w:rPr>
          <w:rFonts w:cs="Arial"/>
        </w:rPr>
        <w:t>”</w:t>
      </w:r>
      <w:r w:rsidRPr="008F2F1B">
        <w:rPr>
          <w:rFonts w:cs="Arial"/>
        </w:rPr>
        <w:t xml:space="preserve">) are being used, separate Technical Proposal Staffing Labor Hours Worksheets (Attachment </w:t>
      </w:r>
      <w:r w:rsidR="005E7F9B">
        <w:rPr>
          <w:rFonts w:cs="Arial"/>
        </w:rPr>
        <w:t>4</w:t>
      </w:r>
      <w:r w:rsidRPr="008F2F1B">
        <w:rPr>
          <w:rFonts w:cs="Arial"/>
        </w:rPr>
        <w:t>) must be completed for each subcontractor. For each subcontractor identify each individual and job position ti</w:t>
      </w:r>
      <w:r>
        <w:rPr>
          <w:rFonts w:cs="Arial"/>
        </w:rPr>
        <w:t xml:space="preserve">tle, include the specific tasks and </w:t>
      </w:r>
      <w:r w:rsidRPr="008F2F1B">
        <w:rPr>
          <w:rFonts w:cs="Arial"/>
        </w:rPr>
        <w:t>subtasks each individual/job position title that will perform services</w:t>
      </w:r>
      <w:r w:rsidR="00616DA2">
        <w:rPr>
          <w:rFonts w:cs="Arial"/>
        </w:rPr>
        <w:t>,</w:t>
      </w:r>
      <w:r w:rsidRPr="008F2F1B">
        <w:rPr>
          <w:rFonts w:cs="Arial"/>
        </w:rPr>
        <w:t xml:space="preserve"> and the specific number of labor hours the individual/job position</w:t>
      </w:r>
      <w:r>
        <w:rPr>
          <w:rFonts w:cs="Arial"/>
        </w:rPr>
        <w:t xml:space="preserve"> title will devote to each task and </w:t>
      </w:r>
      <w:r w:rsidRPr="008F2F1B">
        <w:rPr>
          <w:rFonts w:cs="Arial"/>
        </w:rPr>
        <w:t xml:space="preserve">subtask contained in Section </w:t>
      </w:r>
      <w:r w:rsidR="00DC395C">
        <w:rPr>
          <w:rFonts w:cs="Arial"/>
        </w:rPr>
        <w:t>7</w:t>
      </w:r>
      <w:r w:rsidRPr="008F2F1B">
        <w:rPr>
          <w:rFonts w:cs="Arial"/>
        </w:rPr>
        <w:t xml:space="preserve"> Scope of Project. A Staffing Labor Hours Worksheet must be completed for each fiscal year contained in this contract or part thereof. The labor hours specified in the Technical Proposal Staffing Labor Hours Worksheet (Attachment </w:t>
      </w:r>
      <w:r w:rsidR="005E7F9B">
        <w:rPr>
          <w:rFonts w:cs="Arial"/>
        </w:rPr>
        <w:t>4</w:t>
      </w:r>
      <w:r w:rsidRPr="008F2F1B">
        <w:rPr>
          <w:rFonts w:cs="Arial"/>
        </w:rPr>
        <w:t>) must correlate with the labor hours contained in the Cost Proposal.</w:t>
      </w:r>
    </w:p>
    <w:p w14:paraId="050FDAF9" w14:textId="335F87ED" w:rsidR="00537458" w:rsidRDefault="00537458" w:rsidP="00537458">
      <w:pPr>
        <w:spacing w:before="240" w:after="240"/>
        <w:ind w:left="720"/>
        <w:rPr>
          <w:rFonts w:cs="Arial"/>
        </w:rPr>
      </w:pPr>
      <w:proofErr w:type="gramStart"/>
      <w:r w:rsidRPr="00E86039">
        <w:rPr>
          <w:rFonts w:cs="Arial"/>
        </w:rPr>
        <w:t>In the event that</w:t>
      </w:r>
      <w:proofErr w:type="gramEnd"/>
      <w:r w:rsidRPr="00E86039">
        <w:rPr>
          <w:rFonts w:cs="Arial"/>
        </w:rPr>
        <w:t xml:space="preserve"> a specific subcontractor does not perform a task by hours (for example a printer) but rather they charge by the job, then the bidder may list “0” hours and make a notation on Attachment </w:t>
      </w:r>
      <w:r w:rsidR="005E7F9B">
        <w:rPr>
          <w:rFonts w:cs="Arial"/>
        </w:rPr>
        <w:t>4</w:t>
      </w:r>
      <w:r w:rsidRPr="00E86039">
        <w:rPr>
          <w:rFonts w:cs="Arial"/>
        </w:rPr>
        <w:t xml:space="preserve"> to that effect without including any costs.</w:t>
      </w:r>
    </w:p>
    <w:p w14:paraId="4C504478" w14:textId="77777777" w:rsidR="00537458" w:rsidRPr="000F47E3" w:rsidRDefault="00537458" w:rsidP="00B92667">
      <w:pPr>
        <w:spacing w:before="240"/>
        <w:ind w:left="720"/>
        <w:rPr>
          <w:rFonts w:cs="Arial"/>
          <w:i/>
        </w:rPr>
      </w:pPr>
      <w:r>
        <w:rPr>
          <w:rFonts w:cs="Arial"/>
        </w:rPr>
        <w:t>For example:</w:t>
      </w:r>
    </w:p>
    <w:p w14:paraId="3E5F8A68" w14:textId="77777777" w:rsidR="00537458" w:rsidRPr="000F47E3" w:rsidRDefault="00537458" w:rsidP="00B92667">
      <w:pPr>
        <w:ind w:left="720"/>
        <w:rPr>
          <w:rFonts w:cs="Arial"/>
          <w:i/>
        </w:rPr>
      </w:pPr>
      <w:r w:rsidRPr="000F47E3">
        <w:rPr>
          <w:rFonts w:cs="Arial"/>
          <w:i/>
        </w:rPr>
        <w:t>“Printer company name</w:t>
      </w:r>
      <w:r>
        <w:rPr>
          <w:rFonts w:cs="Arial"/>
          <w:i/>
        </w:rPr>
        <w:t>*: Task 2, 0</w:t>
      </w:r>
      <w:r w:rsidRPr="000F47E3">
        <w:rPr>
          <w:rFonts w:cs="Arial"/>
          <w:i/>
        </w:rPr>
        <w:t xml:space="preserve"> hours</w:t>
      </w:r>
    </w:p>
    <w:p w14:paraId="724D9750" w14:textId="77777777" w:rsidR="00537458" w:rsidRPr="001200DC" w:rsidRDefault="00537458" w:rsidP="00B92667">
      <w:pPr>
        <w:spacing w:after="240"/>
        <w:ind w:left="720"/>
        <w:rPr>
          <w:rFonts w:eastAsia="Times New Roman" w:cs="Arial"/>
          <w:snapToGrid w:val="0"/>
          <w:szCs w:val="20"/>
        </w:rPr>
      </w:pPr>
      <w:r>
        <w:rPr>
          <w:rFonts w:cs="Arial"/>
          <w:i/>
        </w:rPr>
        <w:t>*</w:t>
      </w:r>
      <w:r w:rsidRPr="000F47E3">
        <w:rPr>
          <w:rFonts w:cs="Arial"/>
          <w:i/>
        </w:rPr>
        <w:t>Printer will not charge hourly</w:t>
      </w:r>
      <w:r>
        <w:rPr>
          <w:rFonts w:cs="Arial"/>
          <w:i/>
        </w:rPr>
        <w:t>,</w:t>
      </w:r>
      <w:r w:rsidRPr="000F47E3">
        <w:rPr>
          <w:rFonts w:cs="Arial"/>
          <w:i/>
        </w:rPr>
        <w:t xml:space="preserve"> but by print job.</w:t>
      </w:r>
      <w:r>
        <w:rPr>
          <w:rFonts w:cs="Arial"/>
          <w:i/>
        </w:rPr>
        <w:t>”</w:t>
      </w:r>
    </w:p>
    <w:p w14:paraId="25B2C89B" w14:textId="64268ACF" w:rsidR="00537458" w:rsidRPr="00326FB2" w:rsidRDefault="00537458" w:rsidP="00537458">
      <w:pPr>
        <w:pStyle w:val="ListParagraph"/>
        <w:widowControl w:val="0"/>
        <w:spacing w:before="240" w:after="240"/>
        <w:contextualSpacing w:val="0"/>
        <w:rPr>
          <w:rFonts w:eastAsia="Times New Roman" w:cs="Arial"/>
          <w:snapToGrid w:val="0"/>
          <w:szCs w:val="20"/>
        </w:rPr>
      </w:pPr>
      <w:r w:rsidRPr="00326FB2">
        <w:rPr>
          <w:rFonts w:cs="Arial"/>
        </w:rPr>
        <w:t>Do not include cost information with the Technical Proposal. Cost information included in any section or in any required attachment to the Technical Proposal may result in disqualification and removal of the proposal from further review at the sole discretion of the CDE.</w:t>
      </w:r>
    </w:p>
    <w:p w14:paraId="56C6B58E" w14:textId="76A20637" w:rsidR="00537458" w:rsidRDefault="00537458" w:rsidP="00537458">
      <w:pPr>
        <w:pStyle w:val="Heading4"/>
        <w:rPr>
          <w:rFonts w:eastAsia="Times New Roman"/>
          <w:snapToGrid w:val="0"/>
        </w:rPr>
      </w:pPr>
      <w:r>
        <w:rPr>
          <w:rFonts w:eastAsia="Times New Roman"/>
          <w:snapToGrid w:val="0"/>
        </w:rPr>
        <w:t xml:space="preserve">3.1.4 </w:t>
      </w:r>
      <w:r w:rsidRPr="0052068A">
        <w:rPr>
          <w:rFonts w:eastAsia="Times New Roman"/>
          <w:snapToGrid w:val="0"/>
        </w:rPr>
        <w:t>Capacity</w:t>
      </w:r>
    </w:p>
    <w:p w14:paraId="202FDADC" w14:textId="77777777" w:rsidR="00537458" w:rsidRDefault="00537458" w:rsidP="00537458">
      <w:pPr>
        <w:widowControl w:val="0"/>
        <w:spacing w:before="240" w:after="240"/>
        <w:rPr>
          <w:rFonts w:eastAsia="Times New Roman" w:cs="Arial"/>
          <w:snapToGrid w:val="0"/>
          <w:szCs w:val="20"/>
        </w:rPr>
      </w:pPr>
      <w:r w:rsidRPr="0052068A">
        <w:rPr>
          <w:rFonts w:eastAsia="Times New Roman" w:cs="Arial"/>
          <w:snapToGrid w:val="0"/>
          <w:szCs w:val="20"/>
        </w:rPr>
        <w:t xml:space="preserve">The Technical Proposal must describe and demonstrate in detail the bidder’s capacity and ability to perform and administer all tasks related to this project. If the </w:t>
      </w:r>
      <w:proofErr w:type="gramStart"/>
      <w:r w:rsidRPr="0052068A">
        <w:rPr>
          <w:rFonts w:eastAsia="Times New Roman" w:cs="Arial"/>
          <w:snapToGrid w:val="0"/>
          <w:szCs w:val="20"/>
        </w:rPr>
        <w:t>bidder will be</w:t>
      </w:r>
      <w:proofErr w:type="gramEnd"/>
      <w:r w:rsidRPr="0052068A">
        <w:rPr>
          <w:rFonts w:eastAsia="Times New Roman" w:cs="Arial"/>
          <w:snapToGrid w:val="0"/>
          <w:szCs w:val="20"/>
        </w:rPr>
        <w:t xml:space="preserve"> </w:t>
      </w:r>
      <w:proofErr w:type="gramStart"/>
      <w:r w:rsidRPr="0052068A">
        <w:rPr>
          <w:rFonts w:eastAsia="Times New Roman" w:cs="Arial"/>
          <w:snapToGrid w:val="0"/>
          <w:szCs w:val="20"/>
        </w:rPr>
        <w:t>subcontracting</w:t>
      </w:r>
      <w:proofErr w:type="gramEnd"/>
      <w:r w:rsidRPr="0052068A">
        <w:rPr>
          <w:rFonts w:eastAsia="Times New Roman" w:cs="Arial"/>
          <w:snapToGrid w:val="0"/>
          <w:szCs w:val="20"/>
        </w:rPr>
        <w:t xml:space="preserve"> a portion of the work, the Technical Proposal must describe and demonstrate in detail the subcontractor’s capacity and ability to perform the portion of the work in which the subcontractor will be involved.</w:t>
      </w:r>
    </w:p>
    <w:p w14:paraId="66EBEE54" w14:textId="472A876E" w:rsidR="00537458" w:rsidRPr="003915B8" w:rsidRDefault="00537458" w:rsidP="00537458">
      <w:r w:rsidRPr="00E043D1">
        <w:t xml:space="preserve">As outlined in Section </w:t>
      </w:r>
      <w:r w:rsidR="00F94052">
        <w:t>2</w:t>
      </w:r>
      <w:r w:rsidRPr="00E043D1">
        <w:t xml:space="preserve">.2, Minimum </w:t>
      </w:r>
      <w:r w:rsidRPr="003915B8">
        <w:t xml:space="preserve">Qualifications for Bidders, the successful bidder must have the capacity and experience to conduct the work outlined in Section </w:t>
      </w:r>
      <w:r w:rsidR="001B23D5" w:rsidRPr="003915B8">
        <w:t>7</w:t>
      </w:r>
      <w:r w:rsidRPr="003915B8">
        <w:t xml:space="preserve"> of this RFP. The Technical Proposal must describe the bidder’s capacity and experience with respect to conducting the following types of activities, additionally bidders must have a minimum of</w:t>
      </w:r>
      <w:r w:rsidR="003915B8">
        <w:t xml:space="preserve"> seven</w:t>
      </w:r>
      <w:r w:rsidRPr="003915B8">
        <w:t xml:space="preserve"> years </w:t>
      </w:r>
      <w:r w:rsidRPr="003915B8">
        <w:rPr>
          <w:rFonts w:eastAsia="Times New Roman"/>
          <w:snapToGrid w:val="0"/>
          <w:szCs w:val="20"/>
        </w:rPr>
        <w:t xml:space="preserve">(within the last </w:t>
      </w:r>
      <w:r w:rsidR="003915B8">
        <w:rPr>
          <w:rFonts w:eastAsia="Times New Roman"/>
          <w:snapToGrid w:val="0"/>
          <w:szCs w:val="20"/>
        </w:rPr>
        <w:t>ten</w:t>
      </w:r>
      <w:r w:rsidRPr="003915B8">
        <w:rPr>
          <w:rFonts w:eastAsia="Times New Roman"/>
          <w:snapToGrid w:val="0"/>
          <w:szCs w:val="20"/>
        </w:rPr>
        <w:t xml:space="preserve"> years</w:t>
      </w:r>
      <w:r w:rsidRPr="003915B8">
        <w:t xml:space="preserve"> of </w:t>
      </w:r>
      <w:r w:rsidR="003915B8">
        <w:t xml:space="preserve">recent </w:t>
      </w:r>
      <w:r w:rsidRPr="003915B8">
        <w:t>full-time experience in:</w:t>
      </w:r>
    </w:p>
    <w:p w14:paraId="04230681" w14:textId="77777777" w:rsidR="00537458" w:rsidRPr="003915B8" w:rsidRDefault="00537458" w:rsidP="00537458"/>
    <w:p w14:paraId="3D9E91DC" w14:textId="77777777" w:rsidR="003915B8" w:rsidRPr="003915B8" w:rsidRDefault="003915B8" w:rsidP="003915B8">
      <w:pPr>
        <w:pStyle w:val="ListParagraph"/>
        <w:numPr>
          <w:ilvl w:val="0"/>
          <w:numId w:val="59"/>
        </w:numPr>
        <w:spacing w:after="240"/>
        <w:ind w:left="720"/>
      </w:pPr>
      <w:r w:rsidRPr="003915B8">
        <w:t>Establishing good working relationships with Members of Congress and their staffs on a bipartisan basis, Committee staffs in the U.S. Senate and U.S. House of Representatives on a bipartisan basis, and Federal agencies.</w:t>
      </w:r>
    </w:p>
    <w:p w14:paraId="074E7CE4" w14:textId="77777777" w:rsidR="003915B8" w:rsidRPr="003915B8" w:rsidRDefault="003915B8" w:rsidP="003915B8">
      <w:pPr>
        <w:pStyle w:val="ListParagraph"/>
        <w:numPr>
          <w:ilvl w:val="0"/>
          <w:numId w:val="59"/>
        </w:numPr>
        <w:spacing w:after="240"/>
        <w:ind w:left="720"/>
      </w:pPr>
      <w:r w:rsidRPr="003915B8">
        <w:lastRenderedPageBreak/>
        <w:t>Drafting, monitoring, and amending legislation and/or regulations.</w:t>
      </w:r>
    </w:p>
    <w:p w14:paraId="6919F3BE" w14:textId="77777777" w:rsidR="003915B8" w:rsidRPr="003915B8" w:rsidRDefault="003915B8" w:rsidP="003915B8">
      <w:pPr>
        <w:pStyle w:val="ListParagraph"/>
        <w:numPr>
          <w:ilvl w:val="0"/>
          <w:numId w:val="59"/>
        </w:numPr>
        <w:spacing w:after="240"/>
        <w:ind w:left="720"/>
      </w:pPr>
      <w:r w:rsidRPr="003915B8">
        <w:t>Thorough knowledge of the Congressional legislative, budgeting, and appropriations processes.</w:t>
      </w:r>
    </w:p>
    <w:p w14:paraId="23A8B3B7" w14:textId="77777777" w:rsidR="003915B8" w:rsidRPr="003915B8" w:rsidRDefault="003915B8" w:rsidP="003915B8">
      <w:pPr>
        <w:pStyle w:val="ListParagraph"/>
        <w:numPr>
          <w:ilvl w:val="0"/>
          <w:numId w:val="59"/>
        </w:numPr>
        <w:spacing w:after="240"/>
        <w:ind w:left="720"/>
      </w:pPr>
      <w:r w:rsidRPr="003915B8">
        <w:t>Experience in coalition building and participation at the federal/national level.</w:t>
      </w:r>
    </w:p>
    <w:p w14:paraId="3BE46EE9" w14:textId="1570BFD3" w:rsidR="00537458" w:rsidRPr="00A57C29" w:rsidRDefault="003915B8" w:rsidP="003915B8">
      <w:pPr>
        <w:pStyle w:val="ListParagraph"/>
        <w:numPr>
          <w:ilvl w:val="1"/>
          <w:numId w:val="59"/>
        </w:numPr>
        <w:spacing w:after="240"/>
        <w:ind w:left="720"/>
        <w:contextualSpacing w:val="0"/>
        <w:rPr>
          <w:rFonts w:eastAsia="Times New Roman"/>
          <w:snapToGrid w:val="0"/>
        </w:rPr>
      </w:pPr>
      <w:r w:rsidRPr="003915B8">
        <w:t>Thorough knowledge of education and nutrition law and policy.</w:t>
      </w:r>
    </w:p>
    <w:p w14:paraId="3C883D3A" w14:textId="4A05C4F8" w:rsidR="0065344F" w:rsidRPr="003915B8" w:rsidRDefault="0065344F" w:rsidP="00A57C29">
      <w:pPr>
        <w:pStyle w:val="ListParagraph"/>
        <w:spacing w:after="240"/>
        <w:ind w:left="0"/>
        <w:contextualSpacing w:val="0"/>
        <w:rPr>
          <w:rFonts w:eastAsia="Times New Roman"/>
          <w:snapToGrid w:val="0"/>
        </w:rPr>
      </w:pPr>
      <w:r w:rsidRPr="0065344F">
        <w:rPr>
          <w:rFonts w:eastAsia="Times New Roman"/>
          <w:snapToGrid w:val="0"/>
        </w:rPr>
        <w:t>The Technical Proposal must describe the bidder’s ability to conduct services outlined in this RFP without bias or preconceived opinions.</w:t>
      </w:r>
    </w:p>
    <w:p w14:paraId="457FB9A9" w14:textId="0D1B495C" w:rsidR="00537458" w:rsidRDefault="00537458" w:rsidP="00537458">
      <w:pPr>
        <w:pStyle w:val="Heading4"/>
        <w:rPr>
          <w:rFonts w:eastAsia="Times New Roman"/>
          <w:snapToGrid w:val="0"/>
        </w:rPr>
      </w:pPr>
      <w:r>
        <w:rPr>
          <w:rFonts w:eastAsia="Times New Roman"/>
          <w:snapToGrid w:val="0"/>
        </w:rPr>
        <w:t xml:space="preserve">3.1.5 </w:t>
      </w:r>
      <w:r w:rsidRPr="00317C89">
        <w:rPr>
          <w:rFonts w:eastAsia="Times New Roman"/>
          <w:snapToGrid w:val="0"/>
        </w:rPr>
        <w:t>Facilities and Resources</w:t>
      </w:r>
    </w:p>
    <w:p w14:paraId="50025A24" w14:textId="6202306F" w:rsidR="00537458" w:rsidRPr="00317C89" w:rsidRDefault="00537458" w:rsidP="00537458">
      <w:pPr>
        <w:widowControl w:val="0"/>
        <w:spacing w:before="240" w:after="240"/>
        <w:rPr>
          <w:rFonts w:eastAsia="Times New Roman" w:cs="Arial"/>
          <w:snapToGrid w:val="0"/>
          <w:szCs w:val="20"/>
        </w:rPr>
      </w:pPr>
      <w:r w:rsidRPr="00317C89">
        <w:rPr>
          <w:rFonts w:eastAsia="Times New Roman" w:cs="Arial"/>
          <w:snapToGrid w:val="0"/>
          <w:szCs w:val="20"/>
        </w:rPr>
        <w:t xml:space="preserve">The Technical Proposal must describe in detail the prime bidder’s company/business and its ownership structure. The Technical Proposal must describe in detail a description of the prime bidder’s </w:t>
      </w:r>
      <w:proofErr w:type="gramStart"/>
      <w:r w:rsidRPr="00317C89">
        <w:rPr>
          <w:rFonts w:eastAsia="Times New Roman" w:cs="Arial"/>
          <w:snapToGrid w:val="0"/>
          <w:szCs w:val="20"/>
        </w:rPr>
        <w:t>and,</w:t>
      </w:r>
      <w:proofErr w:type="gramEnd"/>
      <w:r w:rsidRPr="00317C89">
        <w:rPr>
          <w:rFonts w:eastAsia="Times New Roman" w:cs="Arial"/>
          <w:snapToGrid w:val="0"/>
          <w:szCs w:val="20"/>
        </w:rPr>
        <w:t xml:space="preserve"> the subcontractor’s (if any), facilities and equipment</w:t>
      </w:r>
      <w:r>
        <w:rPr>
          <w:rFonts w:eastAsia="Times New Roman" w:cs="Arial"/>
          <w:snapToGrid w:val="0"/>
          <w:szCs w:val="20"/>
        </w:rPr>
        <w:t xml:space="preserve"> that </w:t>
      </w:r>
      <w:proofErr w:type="gramStart"/>
      <w:r>
        <w:rPr>
          <w:rFonts w:eastAsia="Times New Roman" w:cs="Arial"/>
          <w:snapToGrid w:val="0"/>
          <w:szCs w:val="20"/>
        </w:rPr>
        <w:t>supports</w:t>
      </w:r>
      <w:proofErr w:type="gramEnd"/>
      <w:r>
        <w:rPr>
          <w:rFonts w:eastAsia="Times New Roman" w:cs="Arial"/>
          <w:snapToGrid w:val="0"/>
          <w:szCs w:val="20"/>
        </w:rPr>
        <w:t xml:space="preserve"> the work outlined in Section </w:t>
      </w:r>
      <w:r w:rsidR="001B23D5">
        <w:rPr>
          <w:rFonts w:eastAsia="Times New Roman" w:cs="Arial"/>
          <w:snapToGrid w:val="0"/>
          <w:szCs w:val="20"/>
        </w:rPr>
        <w:t>7</w:t>
      </w:r>
      <w:r>
        <w:rPr>
          <w:rFonts w:eastAsia="Times New Roman" w:cs="Arial"/>
          <w:snapToGrid w:val="0"/>
          <w:szCs w:val="20"/>
        </w:rPr>
        <w:t xml:space="preserve"> of the RFP</w:t>
      </w:r>
      <w:r w:rsidRPr="00317C89">
        <w:rPr>
          <w:rFonts w:eastAsia="Times New Roman" w:cs="Arial"/>
          <w:snapToGrid w:val="0"/>
          <w:szCs w:val="20"/>
        </w:rPr>
        <w:t>. The Technical Proposal must state the location(s) of the office(s) from which the primary work on this contract is to be performed.</w:t>
      </w:r>
    </w:p>
    <w:p w14:paraId="0548F771" w14:textId="215B300F" w:rsidR="00537458" w:rsidRDefault="00537458" w:rsidP="00537458">
      <w:pPr>
        <w:pStyle w:val="Heading4"/>
        <w:rPr>
          <w:rFonts w:eastAsia="Times New Roman"/>
          <w:snapToGrid w:val="0"/>
        </w:rPr>
      </w:pPr>
      <w:r>
        <w:rPr>
          <w:rFonts w:eastAsia="Times New Roman"/>
          <w:snapToGrid w:val="0"/>
        </w:rPr>
        <w:t xml:space="preserve">3.1.6 </w:t>
      </w:r>
      <w:r w:rsidRPr="00317C89">
        <w:rPr>
          <w:rFonts w:eastAsia="Times New Roman"/>
          <w:snapToGrid w:val="0"/>
        </w:rPr>
        <w:t>Bidder References</w:t>
      </w:r>
    </w:p>
    <w:p w14:paraId="5B494DCA" w14:textId="596100E0" w:rsidR="00537458" w:rsidRDefault="00537458" w:rsidP="00537458">
      <w:pPr>
        <w:spacing w:before="240" w:after="240"/>
        <w:rPr>
          <w:rFonts w:eastAsia="Times New Roman"/>
          <w:snapToGrid w:val="0"/>
          <w:szCs w:val="20"/>
        </w:rPr>
      </w:pPr>
      <w:r w:rsidRPr="00317C89">
        <w:rPr>
          <w:rFonts w:eastAsia="Times New Roman"/>
          <w:snapToGrid w:val="0"/>
          <w:szCs w:val="20"/>
        </w:rPr>
        <w:t xml:space="preserve">Provide three (3) references using the Bidder Reference Form included in this RFP as Attachment </w:t>
      </w:r>
      <w:r w:rsidR="00C60923">
        <w:rPr>
          <w:rFonts w:eastAsia="Times New Roman"/>
          <w:snapToGrid w:val="0"/>
          <w:szCs w:val="20"/>
        </w:rPr>
        <w:t>9</w:t>
      </w:r>
      <w:r w:rsidRPr="00317C89">
        <w:rPr>
          <w:rFonts w:eastAsia="Times New Roman"/>
          <w:snapToGrid w:val="0"/>
          <w:szCs w:val="20"/>
        </w:rPr>
        <w:t xml:space="preserve">. </w:t>
      </w:r>
      <w:r>
        <w:rPr>
          <w:rFonts w:eastAsia="Times New Roman"/>
          <w:snapToGrid w:val="0"/>
          <w:szCs w:val="20"/>
        </w:rPr>
        <w:t xml:space="preserve">See </w:t>
      </w:r>
      <w:r w:rsidR="00500391">
        <w:rPr>
          <w:rFonts w:eastAsia="Times New Roman"/>
          <w:snapToGrid w:val="0"/>
          <w:szCs w:val="20"/>
        </w:rPr>
        <w:t xml:space="preserve">RFP </w:t>
      </w:r>
      <w:r>
        <w:rPr>
          <w:rFonts w:eastAsia="Times New Roman"/>
          <w:snapToGrid w:val="0"/>
          <w:szCs w:val="20"/>
        </w:rPr>
        <w:t xml:space="preserve">Section </w:t>
      </w:r>
      <w:r w:rsidR="00F94052">
        <w:rPr>
          <w:rFonts w:eastAsia="Times New Roman"/>
          <w:snapToGrid w:val="0"/>
          <w:szCs w:val="20"/>
        </w:rPr>
        <w:t>3</w:t>
      </w:r>
      <w:r>
        <w:rPr>
          <w:rFonts w:eastAsia="Times New Roman"/>
          <w:snapToGrid w:val="0"/>
          <w:szCs w:val="20"/>
        </w:rPr>
        <w:t>.2.</w:t>
      </w:r>
      <w:r w:rsidR="00C60923">
        <w:rPr>
          <w:rFonts w:eastAsia="Times New Roman"/>
          <w:snapToGrid w:val="0"/>
          <w:szCs w:val="20"/>
        </w:rPr>
        <w:t>8</w:t>
      </w:r>
      <w:r>
        <w:rPr>
          <w:rFonts w:eastAsia="Times New Roman"/>
          <w:snapToGrid w:val="0"/>
          <w:szCs w:val="20"/>
        </w:rPr>
        <w:t xml:space="preserve">. </w:t>
      </w:r>
      <w:r w:rsidRPr="00317C89">
        <w:rPr>
          <w:rFonts w:eastAsia="Times New Roman"/>
          <w:snapToGrid w:val="0"/>
          <w:szCs w:val="20"/>
        </w:rPr>
        <w:t xml:space="preserve">References may be contacted to verify the information provided on the form. </w:t>
      </w:r>
      <w:r>
        <w:t>References</w:t>
      </w:r>
      <w:r w:rsidRPr="00DC4A42">
        <w:t xml:space="preserve"> that contain false or misleading statements</w:t>
      </w:r>
      <w:r>
        <w:t xml:space="preserve"> </w:t>
      </w:r>
      <w:r w:rsidRPr="00DC4A42">
        <w:t>shall be rejected.</w:t>
      </w:r>
      <w:r>
        <w:t xml:space="preserve"> </w:t>
      </w:r>
      <w:r w:rsidRPr="00317C89">
        <w:rPr>
          <w:rFonts w:eastAsia="Times New Roman"/>
          <w:snapToGrid w:val="0"/>
          <w:szCs w:val="20"/>
        </w:rPr>
        <w:t>Failure to complete and include the form with the Technical Proposal may cause your proposal to be rejected and deemed non-responsive.</w:t>
      </w:r>
    </w:p>
    <w:p w14:paraId="263A30E0" w14:textId="7DE009BF" w:rsidR="00537458" w:rsidRDefault="00537458" w:rsidP="00537458">
      <w:pPr>
        <w:pStyle w:val="Heading4"/>
        <w:rPr>
          <w:rFonts w:eastAsia="Times New Roman"/>
          <w:snapToGrid w:val="0"/>
        </w:rPr>
      </w:pPr>
      <w:r>
        <w:rPr>
          <w:rFonts w:eastAsia="Times New Roman"/>
          <w:snapToGrid w:val="0"/>
        </w:rPr>
        <w:t>3.1.7 Disabled Veteran Business Enterprise (DVBE) Program Requirements</w:t>
      </w:r>
    </w:p>
    <w:p w14:paraId="52ABC6C6" w14:textId="0701033F" w:rsidR="003915B8" w:rsidRDefault="00537458" w:rsidP="00537458">
      <w:pPr>
        <w:spacing w:before="240" w:after="240"/>
        <w:rPr>
          <w:rFonts w:cs="Arial"/>
        </w:rPr>
      </w:pPr>
      <w:r>
        <w:rPr>
          <w:rFonts w:cs="Arial"/>
        </w:rPr>
        <w:t xml:space="preserve">Public Contract Code section 10115 et. seq., and California Military and Veterans Code section 999, et. seq., </w:t>
      </w:r>
      <w:r w:rsidR="003915B8">
        <w:rPr>
          <w:rFonts w:cs="Arial"/>
        </w:rPr>
        <w:t>requires a goal of three percent DVBE participation for all contracts on an Agency-side basis unless exempted.</w:t>
      </w:r>
    </w:p>
    <w:p w14:paraId="35D5CCA2" w14:textId="455318EB" w:rsidR="00537458" w:rsidRPr="00663853" w:rsidRDefault="003915B8" w:rsidP="00A57C29">
      <w:pPr>
        <w:spacing w:before="240" w:after="240"/>
      </w:pPr>
      <w:r>
        <w:rPr>
          <w:rFonts w:cs="Arial"/>
        </w:rPr>
        <w:t xml:space="preserve">Please note that due to the services that are being provided </w:t>
      </w:r>
      <w:proofErr w:type="gramStart"/>
      <w:r>
        <w:rPr>
          <w:rFonts w:cs="Arial"/>
        </w:rPr>
        <w:t>the CDE</w:t>
      </w:r>
      <w:proofErr w:type="gramEnd"/>
      <w:r>
        <w:rPr>
          <w:rFonts w:cs="Arial"/>
        </w:rPr>
        <w:t xml:space="preserve"> WILL NOT require DVBE participation for this RFP.</w:t>
      </w:r>
    </w:p>
    <w:p w14:paraId="661839FE" w14:textId="15FE6DEC" w:rsidR="00537458" w:rsidRPr="006A0010" w:rsidRDefault="00537458" w:rsidP="00F67ED5">
      <w:pPr>
        <w:pStyle w:val="Heading3"/>
        <w:rPr>
          <w:sz w:val="24"/>
        </w:rPr>
      </w:pPr>
      <w:r>
        <w:t xml:space="preserve">3.2 Technical Proposal </w:t>
      </w:r>
      <w:r w:rsidRPr="00A91542">
        <w:t xml:space="preserve">Required </w:t>
      </w:r>
      <w:r>
        <w:t>Forms/</w:t>
      </w:r>
      <w:r w:rsidRPr="00A91542">
        <w:t>Attachments</w:t>
      </w:r>
    </w:p>
    <w:p w14:paraId="4A75A8A1" w14:textId="2C7938E4" w:rsidR="00537458" w:rsidRPr="0097472E" w:rsidRDefault="00537458" w:rsidP="00537458">
      <w:pPr>
        <w:tabs>
          <w:tab w:val="left" w:pos="0"/>
        </w:tabs>
        <w:spacing w:before="240" w:after="240"/>
        <w:rPr>
          <w:rFonts w:cs="Arial"/>
        </w:rPr>
      </w:pPr>
      <w:r>
        <w:t xml:space="preserve">The bidder’s Technical Proposal must be submitted as specified in Section </w:t>
      </w:r>
      <w:r w:rsidR="00F94052">
        <w:t>3</w:t>
      </w:r>
      <w:r>
        <w:t xml:space="preserve">.5 Submission of </w:t>
      </w:r>
      <w:r w:rsidR="00A57C29">
        <w:t>Proposal and</w:t>
      </w:r>
      <w:r>
        <w:t xml:space="preserve"> must include the following correctly completed attachments. </w:t>
      </w:r>
      <w:r>
        <w:rPr>
          <w:rFonts w:cs="Arial"/>
        </w:rPr>
        <w:t>Failure to complete the attachments correctly or missing attachments may cause your proposal to be deemed non-responsive and therefore rejected.</w:t>
      </w:r>
    </w:p>
    <w:p w14:paraId="3F818DC2" w14:textId="21374134" w:rsidR="005E7F9B" w:rsidRDefault="005E7F9B" w:rsidP="00537458">
      <w:pPr>
        <w:pStyle w:val="Heading4"/>
      </w:pPr>
      <w:r>
        <w:t>3.2.1 Attachment Checklist (RFP Attachment 2)</w:t>
      </w:r>
    </w:p>
    <w:p w14:paraId="5E122F1E" w14:textId="7FE2CE6B" w:rsidR="008A7671" w:rsidRDefault="006C6950" w:rsidP="008A7671">
      <w:pPr>
        <w:spacing w:before="240" w:after="240"/>
      </w:pPr>
      <w:r>
        <w:t xml:space="preserve">The </w:t>
      </w:r>
      <w:r w:rsidR="008A7671" w:rsidRPr="000F01DF">
        <w:t xml:space="preserve">Attachment Checklist (RFP Attachment </w:t>
      </w:r>
      <w:r w:rsidR="008A7671">
        <w:t>2</w:t>
      </w:r>
      <w:r w:rsidR="008A7671" w:rsidRPr="000F01DF">
        <w:t>)</w:t>
      </w:r>
      <w:r w:rsidR="008A7671">
        <w:t xml:space="preserve"> must be completed and submitted with the original Technical Proposal, along with originals of all correctly completed required forms/attachments. A copy of the form and required forms/attachments must be included with each copy of the Technical Proposal. The CDE will review the contents of the Attachment Checklist for the presence and completion of all required forms/attachments (See Section 4 Evaluation Process).</w:t>
      </w:r>
      <w:r w:rsidR="00A0749C">
        <w:t xml:space="preserve"> </w:t>
      </w:r>
      <w:r w:rsidR="008A7671">
        <w:lastRenderedPageBreak/>
        <w:t xml:space="preserve">Proposals that do not provide </w:t>
      </w:r>
      <w:proofErr w:type="gramStart"/>
      <w:r w:rsidR="008A7671">
        <w:t>all of</w:t>
      </w:r>
      <w:proofErr w:type="gramEnd"/>
      <w:r w:rsidR="008A7671">
        <w:t xml:space="preserve"> the correctly completed forms/attachments as required by the RFP may be rejected as non-responsive.</w:t>
      </w:r>
    </w:p>
    <w:p w14:paraId="1ED2FCC9" w14:textId="5DF2FD82" w:rsidR="00537458" w:rsidRDefault="00537458" w:rsidP="00537458">
      <w:pPr>
        <w:pStyle w:val="Heading4"/>
      </w:pPr>
      <w:r>
        <w:t>3.2.</w:t>
      </w:r>
      <w:r w:rsidR="005E7F9B">
        <w:t>2</w:t>
      </w:r>
      <w:r>
        <w:t xml:space="preserve"> </w:t>
      </w:r>
      <w:r w:rsidRPr="00D93C4D">
        <w:t>Bidder Certification Sheet</w:t>
      </w:r>
      <w:r>
        <w:t xml:space="preserve"> (RFP Attachment </w:t>
      </w:r>
      <w:r w:rsidR="005E7F9B">
        <w:t>3</w:t>
      </w:r>
      <w:r>
        <w:t>)</w:t>
      </w:r>
    </w:p>
    <w:p w14:paraId="1F386BC3" w14:textId="31443E03" w:rsidR="00537458" w:rsidRDefault="00537458" w:rsidP="00537458">
      <w:pPr>
        <w:spacing w:before="240" w:after="240"/>
      </w:pPr>
      <w:r>
        <w:t xml:space="preserve">The Bidder Certification Sheet (RFP Attachment </w:t>
      </w:r>
      <w:r w:rsidR="005E7F9B">
        <w:t>3</w:t>
      </w:r>
      <w:r>
        <w:t>) must be completed and signed by an individual who is authorized to bind the bidder contractually. The Bidder Certification Sheet must be completed and submitted with the original Technical Proposal and a copy of the form included with each copy of the Technical Proposal.</w:t>
      </w:r>
    </w:p>
    <w:p w14:paraId="528AC8EB" w14:textId="7FC4F466" w:rsidR="00537458" w:rsidRDefault="00537458" w:rsidP="00537458">
      <w:pPr>
        <w:spacing w:before="240" w:after="240"/>
      </w:pPr>
      <w:r>
        <w:t xml:space="preserve">Only an individual who is authorized to contractually bind the Bidder shall sign the Bidder Certification Sheet (RFP Attachment </w:t>
      </w:r>
      <w:r w:rsidR="005E7F9B">
        <w:t>3</w:t>
      </w:r>
      <w:r>
        <w:t xml:space="preserve">). The individual signing the Bidder Certification Sheet must indicate </w:t>
      </w:r>
      <w:r w:rsidR="006C6950">
        <w:t>their</w:t>
      </w:r>
      <w:r>
        <w:t xml:space="preserve"> position title. The mailing address, telephone number, and </w:t>
      </w:r>
      <w:r w:rsidR="006C6950">
        <w:t>email address</w:t>
      </w:r>
      <w:r>
        <w:t xml:space="preserve"> of the authorized representative who signed the Bidder Certification Sheet must be included.</w:t>
      </w:r>
    </w:p>
    <w:p w14:paraId="314AB83D" w14:textId="16375800" w:rsidR="00537458" w:rsidRDefault="00537458" w:rsidP="00537458">
      <w:pPr>
        <w:pStyle w:val="Heading4"/>
      </w:pPr>
      <w:r>
        <w:t>3.2.</w:t>
      </w:r>
      <w:r w:rsidR="005E7F9B">
        <w:t>3</w:t>
      </w:r>
      <w:r>
        <w:t xml:space="preserve"> Technical Proposal Staffing Labor Hours Worksheets (RFP Attachment </w:t>
      </w:r>
      <w:r w:rsidR="005E7F9B">
        <w:t>4</w:t>
      </w:r>
      <w:r>
        <w:t>)</w:t>
      </w:r>
    </w:p>
    <w:p w14:paraId="1A8ABFF9" w14:textId="06A2C04F" w:rsidR="00537458" w:rsidRDefault="00537458" w:rsidP="00537458">
      <w:pPr>
        <w:spacing w:before="240" w:after="240"/>
      </w:pPr>
      <w:r w:rsidRPr="00D93C4D">
        <w:t>Technical Proposal Staffing Labor Hours Worksheets</w:t>
      </w:r>
      <w:r>
        <w:t xml:space="preserve"> (RFP Attachment </w:t>
      </w:r>
      <w:r w:rsidR="005E7F9B">
        <w:t>4</w:t>
      </w:r>
      <w:r>
        <w:t xml:space="preserve">) must be completed for each fiscal year, or part thereof. If subcontractors are being used, separate Staffing Labor Hours Worksheets (RFP Attachment </w:t>
      </w:r>
      <w:r w:rsidR="00500228">
        <w:t>4</w:t>
      </w:r>
      <w:r>
        <w:t xml:space="preserve">) must be submitted for each subcontractor. See RFP Section </w:t>
      </w:r>
      <w:r w:rsidR="006663E8">
        <w:t>3</w:t>
      </w:r>
      <w:r>
        <w:t>.1.3 (</w:t>
      </w:r>
      <w:r w:rsidR="006663E8">
        <w:t>3</w:t>
      </w:r>
      <w:r>
        <w:t xml:space="preserve">.1.3.9 and </w:t>
      </w:r>
      <w:r w:rsidR="006663E8">
        <w:t>3</w:t>
      </w:r>
      <w:r>
        <w:t>.1.3.10</w:t>
      </w:r>
      <w:r w:rsidR="00063F5C">
        <w:t>)</w:t>
      </w:r>
      <w:r>
        <w:t>.</w:t>
      </w:r>
    </w:p>
    <w:p w14:paraId="0E345470" w14:textId="55F865AB" w:rsidR="006663E8" w:rsidRPr="00326FB2" w:rsidRDefault="006663E8" w:rsidP="00132985">
      <w:pPr>
        <w:pStyle w:val="ListParagraph"/>
        <w:widowControl w:val="0"/>
        <w:numPr>
          <w:ilvl w:val="0"/>
          <w:numId w:val="45"/>
        </w:numPr>
        <w:spacing w:before="240" w:after="240"/>
        <w:contextualSpacing w:val="0"/>
        <w:rPr>
          <w:rFonts w:cs="Arial"/>
        </w:rPr>
      </w:pPr>
      <w:r w:rsidRPr="00D15B08">
        <w:rPr>
          <w:rFonts w:cs="Arial"/>
        </w:rPr>
        <w:t>For each individual and job position title</w:t>
      </w:r>
      <w:r w:rsidR="006F4AA2">
        <w:rPr>
          <w:rFonts w:cs="Arial"/>
        </w:rPr>
        <w:t xml:space="preserve"> (including Project Manager, Fiscal Manager, </w:t>
      </w:r>
      <w:r w:rsidR="00DA0D5D">
        <w:rPr>
          <w:rFonts w:cs="Arial"/>
          <w:szCs w:val="24"/>
        </w:rPr>
        <w:t xml:space="preserve">Partner/Senior Associate (if applicable), </w:t>
      </w:r>
      <w:r w:rsidR="006F4AA2">
        <w:rPr>
          <w:rFonts w:cs="Arial"/>
        </w:rPr>
        <w:t xml:space="preserve">and any </w:t>
      </w:r>
      <w:r w:rsidR="00DA0D5D">
        <w:rPr>
          <w:rFonts w:cs="Arial"/>
        </w:rPr>
        <w:t>K</w:t>
      </w:r>
      <w:r w:rsidR="006F4AA2">
        <w:rPr>
          <w:rFonts w:cs="Arial"/>
        </w:rPr>
        <w:t xml:space="preserve">ey </w:t>
      </w:r>
      <w:r w:rsidR="00DA0D5D">
        <w:rPr>
          <w:rFonts w:cs="Arial"/>
        </w:rPr>
        <w:t>P</w:t>
      </w:r>
      <w:r w:rsidR="006F4AA2">
        <w:rPr>
          <w:rFonts w:cs="Arial"/>
        </w:rPr>
        <w:t>ersonnel),</w:t>
      </w:r>
      <w:r w:rsidR="006F4AA2" w:rsidRPr="00D15B08">
        <w:rPr>
          <w:rFonts w:cs="Arial"/>
        </w:rPr>
        <w:t xml:space="preserve"> </w:t>
      </w:r>
      <w:r w:rsidRPr="00D15B08">
        <w:rPr>
          <w:rFonts w:cs="Arial"/>
        </w:rPr>
        <w:t>include the specific tasks</w:t>
      </w:r>
      <w:r>
        <w:rPr>
          <w:rFonts w:cs="Arial"/>
        </w:rPr>
        <w:t xml:space="preserve"> and </w:t>
      </w:r>
      <w:r w:rsidRPr="00D15B08">
        <w:rPr>
          <w:rFonts w:cs="Arial"/>
        </w:rPr>
        <w:t>subtasks each individual/job position title that will perform services and the specific number of labor hours the individual/job position title will devote to each task</w:t>
      </w:r>
      <w:r>
        <w:rPr>
          <w:rFonts w:cs="Arial"/>
        </w:rPr>
        <w:t xml:space="preserve"> and </w:t>
      </w:r>
      <w:r w:rsidRPr="00D15B08">
        <w:rPr>
          <w:rFonts w:cs="Arial"/>
        </w:rPr>
        <w:t xml:space="preserve">subtask contained in Section </w:t>
      </w:r>
      <w:r>
        <w:rPr>
          <w:rFonts w:cs="Arial"/>
        </w:rPr>
        <w:t>7</w:t>
      </w:r>
      <w:r w:rsidRPr="00D15B08">
        <w:rPr>
          <w:rFonts w:cs="Arial"/>
        </w:rPr>
        <w:t xml:space="preserve"> Scope of Project. A Staffing Labor Hours Worksheet (Attachment </w:t>
      </w:r>
      <w:r w:rsidR="00500228">
        <w:rPr>
          <w:rFonts w:cs="Arial"/>
        </w:rPr>
        <w:t>4</w:t>
      </w:r>
      <w:r w:rsidRPr="00D15B08">
        <w:rPr>
          <w:rFonts w:cs="Arial"/>
        </w:rPr>
        <w:t xml:space="preserve">) must be completed for each fiscal year covered under this contract or part thereof. The labor hours specified in the Staffing Labor Hours Worksheet (Attachment </w:t>
      </w:r>
      <w:r w:rsidR="00500228">
        <w:rPr>
          <w:rFonts w:cs="Arial"/>
        </w:rPr>
        <w:t>4</w:t>
      </w:r>
      <w:r w:rsidRPr="00D15B08">
        <w:rPr>
          <w:rFonts w:cs="Arial"/>
        </w:rPr>
        <w:t>) must correlate with the labor hours contained in the Cost Proposal</w:t>
      </w:r>
      <w:r>
        <w:rPr>
          <w:rFonts w:cs="Arial"/>
        </w:rPr>
        <w:t xml:space="preserve">. </w:t>
      </w:r>
      <w:r w:rsidRPr="00326FB2">
        <w:rPr>
          <w:rFonts w:cs="Arial"/>
        </w:rPr>
        <w:t>Do not include cost information with the Technical Proposal. Cost information included in any section or in any required attachment to the Technical Proposal may result in disqualification and removal of the proposal from further review at the sole discretion of the CDE.</w:t>
      </w:r>
    </w:p>
    <w:p w14:paraId="48F22C73" w14:textId="6C5F60BF" w:rsidR="006663E8" w:rsidRDefault="006663E8" w:rsidP="00132985">
      <w:pPr>
        <w:pStyle w:val="ListParagraph"/>
        <w:numPr>
          <w:ilvl w:val="0"/>
          <w:numId w:val="45"/>
        </w:numPr>
        <w:tabs>
          <w:tab w:val="left" w:pos="720"/>
          <w:tab w:val="left" w:pos="1080"/>
        </w:tabs>
        <w:spacing w:before="240" w:after="240"/>
        <w:contextualSpacing w:val="0"/>
        <w:rPr>
          <w:rFonts w:cs="Arial"/>
        </w:rPr>
      </w:pPr>
      <w:r w:rsidRPr="008F2F1B">
        <w:rPr>
          <w:rFonts w:cs="Arial"/>
        </w:rPr>
        <w:t>If subcontractors (See RFP</w:t>
      </w:r>
      <w:r>
        <w:rPr>
          <w:rFonts w:cs="Arial"/>
        </w:rPr>
        <w:t>,</w:t>
      </w:r>
      <w:r w:rsidRPr="008F2F1B">
        <w:rPr>
          <w:rFonts w:cs="Arial"/>
        </w:rPr>
        <w:t xml:space="preserve"> Section </w:t>
      </w:r>
      <w:r>
        <w:rPr>
          <w:rFonts w:cs="Arial"/>
        </w:rPr>
        <w:t>2</w:t>
      </w:r>
      <w:r w:rsidRPr="008F2F1B">
        <w:rPr>
          <w:rFonts w:cs="Arial"/>
        </w:rPr>
        <w:t xml:space="preserve">.8 for definition of </w:t>
      </w:r>
      <w:r>
        <w:rPr>
          <w:rFonts w:cs="Arial"/>
        </w:rPr>
        <w:t>“</w:t>
      </w:r>
      <w:r w:rsidRPr="00326FB2">
        <w:rPr>
          <w:rFonts w:cs="Arial"/>
        </w:rPr>
        <w:t>subcontractors</w:t>
      </w:r>
      <w:r>
        <w:rPr>
          <w:rFonts w:cs="Arial"/>
        </w:rPr>
        <w:t>”</w:t>
      </w:r>
      <w:r w:rsidRPr="008F2F1B">
        <w:rPr>
          <w:rFonts w:cs="Arial"/>
        </w:rPr>
        <w:t xml:space="preserve">) are being used, separate Technical Proposal Staffing Labor Hours Worksheets (Attachment </w:t>
      </w:r>
      <w:r w:rsidR="00500228">
        <w:rPr>
          <w:rFonts w:cs="Arial"/>
        </w:rPr>
        <w:t>4</w:t>
      </w:r>
      <w:r w:rsidRPr="008F2F1B">
        <w:rPr>
          <w:rFonts w:cs="Arial"/>
        </w:rPr>
        <w:t>) must be completed for each subcontractor.</w:t>
      </w:r>
    </w:p>
    <w:p w14:paraId="0DA00CF9" w14:textId="43EFC005" w:rsidR="006663E8" w:rsidRPr="006663E8" w:rsidRDefault="006663E8" w:rsidP="00132985">
      <w:pPr>
        <w:pStyle w:val="ListParagraph"/>
        <w:numPr>
          <w:ilvl w:val="0"/>
          <w:numId w:val="45"/>
        </w:numPr>
        <w:spacing w:before="240" w:after="240"/>
        <w:contextualSpacing w:val="0"/>
        <w:rPr>
          <w:rFonts w:cs="Arial"/>
        </w:rPr>
      </w:pPr>
      <w:proofErr w:type="gramStart"/>
      <w:r w:rsidRPr="006663E8">
        <w:rPr>
          <w:rFonts w:cs="Arial"/>
        </w:rPr>
        <w:t>In the event that</w:t>
      </w:r>
      <w:proofErr w:type="gramEnd"/>
      <w:r w:rsidRPr="006663E8">
        <w:rPr>
          <w:rFonts w:cs="Arial"/>
        </w:rPr>
        <w:t xml:space="preserve"> a specific subcontractor does not perform a task by hours (for example a printer) but rather they charge by the job, then the bidder may list “0” hours and make a notation on Attachment </w:t>
      </w:r>
      <w:r w:rsidR="00500228">
        <w:rPr>
          <w:rFonts w:cs="Arial"/>
        </w:rPr>
        <w:t>4</w:t>
      </w:r>
      <w:r w:rsidRPr="006663E8">
        <w:rPr>
          <w:rFonts w:cs="Arial"/>
        </w:rPr>
        <w:t xml:space="preserve"> to that effect without including any costs.</w:t>
      </w:r>
    </w:p>
    <w:p w14:paraId="501E7416" w14:textId="77777777" w:rsidR="006663E8" w:rsidRPr="006663E8" w:rsidRDefault="006663E8" w:rsidP="006663E8">
      <w:pPr>
        <w:pStyle w:val="ListParagraph"/>
        <w:spacing w:before="240" w:after="240"/>
        <w:rPr>
          <w:rFonts w:cs="Arial"/>
          <w:i/>
        </w:rPr>
      </w:pPr>
      <w:r w:rsidRPr="006663E8">
        <w:rPr>
          <w:rFonts w:cs="Arial"/>
        </w:rPr>
        <w:t>For example:</w:t>
      </w:r>
    </w:p>
    <w:p w14:paraId="3B5862B5" w14:textId="77777777" w:rsidR="006663E8" w:rsidRPr="006663E8" w:rsidRDefault="006663E8" w:rsidP="006663E8">
      <w:pPr>
        <w:pStyle w:val="ListParagraph"/>
        <w:spacing w:before="240" w:after="240"/>
        <w:rPr>
          <w:rFonts w:cs="Arial"/>
          <w:i/>
        </w:rPr>
      </w:pPr>
      <w:r w:rsidRPr="006663E8">
        <w:rPr>
          <w:rFonts w:cs="Arial"/>
          <w:i/>
        </w:rPr>
        <w:t>“Printer company name*: Task 2, 0 hours</w:t>
      </w:r>
    </w:p>
    <w:p w14:paraId="48CF971D" w14:textId="77777777" w:rsidR="006663E8" w:rsidRPr="006663E8" w:rsidRDefault="006663E8" w:rsidP="006663E8">
      <w:pPr>
        <w:pStyle w:val="ListParagraph"/>
        <w:spacing w:before="240" w:after="240"/>
        <w:rPr>
          <w:rFonts w:eastAsia="Times New Roman" w:cs="Arial"/>
          <w:snapToGrid w:val="0"/>
          <w:szCs w:val="20"/>
        </w:rPr>
      </w:pPr>
      <w:r w:rsidRPr="006663E8">
        <w:rPr>
          <w:rFonts w:cs="Arial"/>
          <w:i/>
        </w:rPr>
        <w:t>*Printer will not charge hourly, but by print job.”</w:t>
      </w:r>
    </w:p>
    <w:p w14:paraId="6A6F4DFC" w14:textId="5E262E0F" w:rsidR="00537458" w:rsidRDefault="00537458" w:rsidP="00537458">
      <w:pPr>
        <w:pStyle w:val="Heading4"/>
      </w:pPr>
      <w:r>
        <w:lastRenderedPageBreak/>
        <w:t>3.2.</w:t>
      </w:r>
      <w:r w:rsidR="008A7671">
        <w:t>4</w:t>
      </w:r>
      <w:r>
        <w:t xml:space="preserve"> Federal Certifications (RFP Attachment 5)</w:t>
      </w:r>
    </w:p>
    <w:p w14:paraId="4B0FAE36" w14:textId="77777777" w:rsidR="00537458" w:rsidRDefault="00537458" w:rsidP="00537458">
      <w:pPr>
        <w:spacing w:before="240" w:after="240"/>
      </w:pPr>
      <w:r w:rsidRPr="00D93C4D">
        <w:t>Federal Certifications</w:t>
      </w:r>
      <w:r>
        <w:t xml:space="preserve"> (RFP Attachment 5) must be completed, signed and dated with an original signature on the form and included in the original Technical Proposal and a copy of the form included with each copy of the Technical Proposal.</w:t>
      </w:r>
    </w:p>
    <w:p w14:paraId="339B3C83" w14:textId="186C53F0" w:rsidR="00537458" w:rsidRDefault="00537458" w:rsidP="00537458">
      <w:pPr>
        <w:pStyle w:val="Heading4"/>
      </w:pPr>
      <w:r>
        <w:t>3.2.</w:t>
      </w:r>
      <w:r w:rsidR="008A7671">
        <w:t>5</w:t>
      </w:r>
      <w:r>
        <w:t xml:space="preserve"> Darfur Contracting Act Certification (RFP Attachment 6</w:t>
      </w:r>
      <w:r w:rsidR="009B75B7">
        <w:t xml:space="preserve"> or 6a</w:t>
      </w:r>
      <w:r>
        <w:t>)</w:t>
      </w:r>
    </w:p>
    <w:p w14:paraId="656D40D5" w14:textId="77777777" w:rsidR="00537458" w:rsidRDefault="00537458" w:rsidP="00537458">
      <w:pPr>
        <w:spacing w:before="240" w:after="240"/>
      </w:pPr>
      <w:r w:rsidRPr="00D93C4D">
        <w:t>Darfur Contracting Act Certification</w:t>
      </w:r>
      <w:r>
        <w:t xml:space="preserve"> (RFP Attachment 6) must be completed if the business entity (bidder) currently or within the previous three years has had business activities or other operations outside the United States. Or, if the business entity (bidder) has not within the previous three years had business activities or other operations outside the United States, then the </w:t>
      </w:r>
      <w:r w:rsidRPr="00D93C4D">
        <w:t>Darfur Contracting Act Certification Supplemental</w:t>
      </w:r>
      <w:r>
        <w:t xml:space="preserve"> (RFP Attachment 6a) form must be completed. The completed form must be signed and dated with an original signature and included in the original Technical Proposal and a copy of the form included with each copy of the Technical Proposal.</w:t>
      </w:r>
    </w:p>
    <w:p w14:paraId="4C5DCAA6" w14:textId="2F9EAB85" w:rsidR="009B75B7" w:rsidRDefault="009B75B7" w:rsidP="00537458">
      <w:pPr>
        <w:pStyle w:val="Heading4"/>
      </w:pPr>
      <w:r>
        <w:t>3.2.6 Iran Contracting Act Certification (RFP Attachment 7)</w:t>
      </w:r>
    </w:p>
    <w:p w14:paraId="6A2176B0" w14:textId="3833A10B" w:rsidR="009B75B7" w:rsidRDefault="009B75B7" w:rsidP="009B75B7">
      <w:pPr>
        <w:spacing w:before="240" w:after="240"/>
      </w:pPr>
      <w:r>
        <w:t>Iran Contracting Act</w:t>
      </w:r>
      <w:r w:rsidRPr="00D93C4D">
        <w:t xml:space="preserve"> Certification</w:t>
      </w:r>
      <w:r>
        <w:t xml:space="preserve"> (RFP Attachment 7) must be completed, signed and dated with an original signature on the form included in the original Technical Proposal and a copy of the form included with each copy of the Technical Proposal.</w:t>
      </w:r>
    </w:p>
    <w:p w14:paraId="2B5D2404" w14:textId="4DA2A971" w:rsidR="00537458" w:rsidRDefault="00537458" w:rsidP="00537458">
      <w:pPr>
        <w:pStyle w:val="Heading4"/>
      </w:pPr>
      <w:r>
        <w:t>3.2.</w:t>
      </w:r>
      <w:r w:rsidR="009B75B7">
        <w:t>7</w:t>
      </w:r>
      <w:r>
        <w:t xml:space="preserve"> California Civil Rights Laws Certification (RFP Attachment </w:t>
      </w:r>
      <w:r w:rsidR="009B75B7">
        <w:t>8</w:t>
      </w:r>
      <w:r>
        <w:t>)</w:t>
      </w:r>
    </w:p>
    <w:p w14:paraId="2F3B71DD" w14:textId="04010BEF" w:rsidR="00537458" w:rsidRDefault="00537458" w:rsidP="00537458">
      <w:pPr>
        <w:spacing w:before="240" w:after="240"/>
      </w:pPr>
      <w:r w:rsidRPr="00D93C4D">
        <w:t>California Civil Rights Laws Certification</w:t>
      </w:r>
      <w:r>
        <w:t xml:space="preserve"> (RFP Attachment </w:t>
      </w:r>
      <w:r w:rsidR="009B75B7">
        <w:t>8</w:t>
      </w:r>
      <w:r>
        <w:t>) must be completed, signed and dated with an original signature on the form included in the original Technical Proposal and a copy of the form included with each copy of the Technical Proposal.</w:t>
      </w:r>
    </w:p>
    <w:p w14:paraId="168BFEE8" w14:textId="0742C7A2" w:rsidR="00537458" w:rsidRDefault="00537458" w:rsidP="00537458">
      <w:pPr>
        <w:pStyle w:val="Heading4"/>
      </w:pPr>
      <w:r>
        <w:t>3.2.</w:t>
      </w:r>
      <w:r w:rsidR="009B75B7">
        <w:t>8</w:t>
      </w:r>
      <w:r>
        <w:t xml:space="preserve"> Bidder References (RFP Attachment </w:t>
      </w:r>
      <w:r w:rsidR="00C60923">
        <w:t>9</w:t>
      </w:r>
      <w:r>
        <w:t>)</w:t>
      </w:r>
    </w:p>
    <w:p w14:paraId="13BED909" w14:textId="709E1AEC" w:rsidR="00537458" w:rsidRDefault="00537458" w:rsidP="00537458">
      <w:pPr>
        <w:spacing w:before="240" w:after="240"/>
      </w:pPr>
      <w:r>
        <w:t xml:space="preserve">Bidders must provide three (3) references using the Bidder Reference Form included in this RFP (Attachment </w:t>
      </w:r>
      <w:r w:rsidR="00C60923">
        <w:t>9</w:t>
      </w:r>
      <w:r>
        <w:t xml:space="preserve">). See </w:t>
      </w:r>
      <w:r w:rsidR="00522D63">
        <w:t xml:space="preserve">RFP </w:t>
      </w:r>
      <w:r>
        <w:t xml:space="preserve">Section </w:t>
      </w:r>
      <w:r w:rsidR="00522D63">
        <w:t>3</w:t>
      </w:r>
      <w:r>
        <w:t>.1.6. References may be contacted by CDE to verify the information provided on the form. References</w:t>
      </w:r>
      <w:r w:rsidRPr="00DC4A42">
        <w:t xml:space="preserve"> that contain false or misleading statements</w:t>
      </w:r>
      <w:r>
        <w:t xml:space="preserve"> </w:t>
      </w:r>
      <w:r w:rsidRPr="00DC4A42">
        <w:t>shall be rejected.</w:t>
      </w:r>
      <w:r>
        <w:t xml:space="preserve"> Failure to complete and include the form with the Technical Proposal will cause your proposal to be rejected and deemed non-responsive.</w:t>
      </w:r>
    </w:p>
    <w:p w14:paraId="1B98DE14" w14:textId="4E7A700F" w:rsidR="00537458" w:rsidRDefault="00537458" w:rsidP="00537458">
      <w:pPr>
        <w:pStyle w:val="Heading4"/>
      </w:pPr>
      <w:r>
        <w:t>3.2.</w:t>
      </w:r>
      <w:r w:rsidR="009B75B7">
        <w:t>9</w:t>
      </w:r>
      <w:r>
        <w:t xml:space="preserve"> Bidder Declaration (GSPD-05-105)</w:t>
      </w:r>
    </w:p>
    <w:p w14:paraId="528C5465" w14:textId="042BF8F1" w:rsidR="00537458" w:rsidRDefault="00537458" w:rsidP="00537458">
      <w:pPr>
        <w:spacing w:before="240" w:after="240"/>
      </w:pPr>
      <w:r>
        <w:t xml:space="preserve">The </w:t>
      </w:r>
      <w:r w:rsidRPr="004157A8">
        <w:t xml:space="preserve">Bidder Declaration </w:t>
      </w:r>
      <w:proofErr w:type="gramStart"/>
      <w:r w:rsidRPr="004157A8">
        <w:t>form</w:t>
      </w:r>
      <w:proofErr w:type="gramEnd"/>
      <w:r w:rsidRPr="004157A8">
        <w:t xml:space="preserve"> GSPD-05-105</w:t>
      </w:r>
      <w:r w:rsidR="00753B68">
        <w:t xml:space="preserve">) </w:t>
      </w:r>
      <w:r>
        <w:t xml:space="preserve">must be completed in accordance with the instructions provided on the form. All subcontractors (see Section </w:t>
      </w:r>
      <w:r w:rsidR="00522D63">
        <w:t>2</w:t>
      </w:r>
      <w:r>
        <w:t xml:space="preserve">.8 for definition of a </w:t>
      </w:r>
      <w:r w:rsidR="00522D63">
        <w:t>“</w:t>
      </w:r>
      <w:r>
        <w:t>subcontractor</w:t>
      </w:r>
      <w:r w:rsidR="00522D63">
        <w:t>”</w:t>
      </w:r>
      <w:r>
        <w:t>) and/or independent consultants proposed to be used for this project must be identified on the Bidder Declaration form</w:t>
      </w:r>
      <w:r w:rsidR="00522D63">
        <w:t>. Subcontractors listed on the Bidder Declaration form must match the subcontractors and/or independent consultants named in response to</w:t>
      </w:r>
      <w:r>
        <w:t xml:space="preserve"> RFP Section </w:t>
      </w:r>
      <w:r w:rsidR="00522D63">
        <w:t>3</w:t>
      </w:r>
      <w:r>
        <w:t>.1.3</w:t>
      </w:r>
      <w:r w:rsidR="00522D63">
        <w:t xml:space="preserve"> (Organization Structure and Personnel Resources</w:t>
      </w:r>
      <w:r>
        <w:t xml:space="preserve">). The Bidder Declaration form can be found </w:t>
      </w:r>
      <w:r w:rsidR="00BE60C6">
        <w:t xml:space="preserve">on the DGS website </w:t>
      </w:r>
      <w:r>
        <w:t xml:space="preserve">at </w:t>
      </w:r>
      <w:hyperlink r:id="rId11" w:tooltip="Bidder Declaration form on DGS website" w:history="1">
        <w:r w:rsidRPr="008328D9">
          <w:rPr>
            <w:rStyle w:val="Hyperlink"/>
          </w:rPr>
          <w:t>https://www.documents.dgs.ca.gov/dgs/fmc/gs/pd/gspd05-105.pdf</w:t>
        </w:r>
      </w:hyperlink>
      <w:r>
        <w:t>.</w:t>
      </w:r>
    </w:p>
    <w:p w14:paraId="6C8E8A32" w14:textId="0AD05691" w:rsidR="00537458" w:rsidRDefault="00537458" w:rsidP="00537458">
      <w:pPr>
        <w:spacing w:before="240" w:after="240"/>
        <w:rPr>
          <w:rStyle w:val="Hyperlink"/>
          <w:color w:val="auto"/>
          <w:u w:val="none"/>
        </w:rPr>
      </w:pPr>
      <w:r>
        <w:lastRenderedPageBreak/>
        <w:t xml:space="preserve">The Bidder Declaration form will be used to determine compliance with DVBE participation requirements as specified in RFP Section </w:t>
      </w:r>
      <w:r w:rsidR="008D2E5B">
        <w:t>3.1.7</w:t>
      </w:r>
      <w:r>
        <w:t xml:space="preserve"> and Attachment </w:t>
      </w:r>
      <w:r w:rsidR="009B75B7">
        <w:t>10</w:t>
      </w:r>
      <w:r>
        <w:t xml:space="preserve">. The form must be completed, signed and dated with an original signature on the form included in the original Technical Proposal and a copy of the form included with each copy of the Technical Proposal. A </w:t>
      </w:r>
      <w:proofErr w:type="gramStart"/>
      <w:r>
        <w:t>print out</w:t>
      </w:r>
      <w:proofErr w:type="gramEnd"/>
      <w:r>
        <w:t xml:space="preserve"> of the Supplier Profile for each participating DVBE must also be included with each copy of the Technical Proposal. The Supplier Profile can be found on the DGS </w:t>
      </w:r>
      <w:r w:rsidR="0018588B">
        <w:t>w</w:t>
      </w:r>
      <w:r>
        <w:t>ebsite</w:t>
      </w:r>
      <w:r w:rsidR="00BE60C6">
        <w:t xml:space="preserve"> at</w:t>
      </w:r>
      <w:r>
        <w:t xml:space="preserve"> </w:t>
      </w:r>
      <w:hyperlink r:id="rId12" w:tooltip="Cal eProcure website" w:history="1">
        <w:r>
          <w:rPr>
            <w:rStyle w:val="Hyperlink"/>
          </w:rPr>
          <w:t>https://caleprocure.ca.gov/pages/PublicSearch/supplier-search.aspx</w:t>
        </w:r>
      </w:hyperlink>
      <w:r>
        <w:rPr>
          <w:rStyle w:val="Hyperlink"/>
          <w:color w:val="auto"/>
          <w:u w:val="none"/>
        </w:rPr>
        <w:t>.</w:t>
      </w:r>
    </w:p>
    <w:p w14:paraId="2684E4A2" w14:textId="0ABDF528" w:rsidR="00DA0D5D" w:rsidRDefault="00DA0D5D" w:rsidP="00537458">
      <w:pPr>
        <w:spacing w:before="240" w:after="240"/>
        <w:rPr>
          <w:rStyle w:val="Hyperlink"/>
          <w:color w:val="auto"/>
          <w:u w:val="none"/>
        </w:rPr>
      </w:pPr>
      <w:r w:rsidRPr="00DA0D5D">
        <w:t xml:space="preserve">Please note that due to the services that are being provided </w:t>
      </w:r>
      <w:proofErr w:type="gramStart"/>
      <w:r w:rsidRPr="00DA0D5D">
        <w:t>the CDE</w:t>
      </w:r>
      <w:proofErr w:type="gramEnd"/>
      <w:r w:rsidRPr="00DA0D5D">
        <w:t xml:space="preserve"> WILL NOT require DVBE participation for this RFP.</w:t>
      </w:r>
    </w:p>
    <w:p w14:paraId="33588265" w14:textId="37E74EF1" w:rsidR="00537458" w:rsidRDefault="00537458" w:rsidP="00537458">
      <w:pPr>
        <w:pStyle w:val="Heading4"/>
      </w:pPr>
      <w:r>
        <w:t>3.2.</w:t>
      </w:r>
      <w:r w:rsidR="009B75B7">
        <w:t>10</w:t>
      </w:r>
      <w:r>
        <w:t xml:space="preserve"> Subcontractor Commitment Letter(s)</w:t>
      </w:r>
    </w:p>
    <w:p w14:paraId="658F3BA0" w14:textId="4DCB5F2F" w:rsidR="00537458" w:rsidRPr="00EE02A1" w:rsidRDefault="00537458" w:rsidP="00537458">
      <w:pPr>
        <w:spacing w:before="240" w:after="240"/>
      </w:pPr>
      <w:r w:rsidRPr="00EE02A1">
        <w:rPr>
          <w:rFonts w:eastAsia="Times New Roman" w:cs="Arial"/>
          <w:snapToGrid w:val="0"/>
          <w:szCs w:val="20"/>
        </w:rPr>
        <w:t xml:space="preserve">A </w:t>
      </w:r>
      <w:r>
        <w:rPr>
          <w:rFonts w:eastAsia="Times New Roman" w:cs="Arial"/>
          <w:snapToGrid w:val="0"/>
          <w:szCs w:val="20"/>
        </w:rPr>
        <w:t xml:space="preserve">subcontractor </w:t>
      </w:r>
      <w:r w:rsidRPr="00EE02A1">
        <w:rPr>
          <w:rFonts w:eastAsia="Times New Roman" w:cs="Arial"/>
          <w:snapToGrid w:val="0"/>
          <w:szCs w:val="20"/>
        </w:rPr>
        <w:t>commitment letter, signed by an official representative of each subcontractor or independent consultant</w:t>
      </w:r>
      <w:r>
        <w:rPr>
          <w:rFonts w:eastAsia="Times New Roman" w:cs="Arial"/>
          <w:snapToGrid w:val="0"/>
          <w:szCs w:val="20"/>
        </w:rPr>
        <w:t xml:space="preserve"> (see</w:t>
      </w:r>
      <w:r w:rsidR="0066101C">
        <w:rPr>
          <w:rFonts w:eastAsia="Times New Roman" w:cs="Arial"/>
          <w:snapToGrid w:val="0"/>
          <w:szCs w:val="20"/>
        </w:rPr>
        <w:t xml:space="preserve"> RFP</w:t>
      </w:r>
      <w:r>
        <w:rPr>
          <w:rFonts w:eastAsia="Times New Roman" w:cs="Arial"/>
          <w:snapToGrid w:val="0"/>
          <w:szCs w:val="20"/>
        </w:rPr>
        <w:t xml:space="preserve"> Section </w:t>
      </w:r>
      <w:r w:rsidR="0066101C">
        <w:rPr>
          <w:rFonts w:eastAsia="Times New Roman" w:cs="Arial"/>
          <w:snapToGrid w:val="0"/>
          <w:szCs w:val="20"/>
        </w:rPr>
        <w:t>2</w:t>
      </w:r>
      <w:r>
        <w:rPr>
          <w:rFonts w:eastAsia="Times New Roman" w:cs="Arial"/>
          <w:snapToGrid w:val="0"/>
          <w:szCs w:val="20"/>
        </w:rPr>
        <w:t>.8 for definition of subcontractor)</w:t>
      </w:r>
      <w:r w:rsidRPr="00EE02A1">
        <w:rPr>
          <w:rFonts w:eastAsia="Times New Roman" w:cs="Arial"/>
          <w:snapToGrid w:val="0"/>
          <w:szCs w:val="20"/>
        </w:rPr>
        <w:t>, acknowledging their intended participation/availability and confirmation that they have been made aware of the terms and conditions of the proposed contract</w:t>
      </w:r>
      <w:r>
        <w:rPr>
          <w:rFonts w:eastAsia="Times New Roman" w:cs="Arial"/>
          <w:snapToGrid w:val="0"/>
          <w:szCs w:val="20"/>
        </w:rPr>
        <w:t xml:space="preserve"> is required for each subcontractor who will provide services in the bidder’s Technical Proposal</w:t>
      </w:r>
      <w:r w:rsidRPr="00EE02A1">
        <w:rPr>
          <w:rFonts w:eastAsia="Times New Roman" w:cs="Arial"/>
          <w:snapToGrid w:val="0"/>
          <w:szCs w:val="20"/>
        </w:rPr>
        <w:t xml:space="preserve">. </w:t>
      </w:r>
      <w:r w:rsidRPr="00EE02A1">
        <w:rPr>
          <w:rFonts w:cs="Arial"/>
        </w:rPr>
        <w:t>A commitment letter is required for all subcontractors</w:t>
      </w:r>
      <w:r w:rsidR="0066101C">
        <w:rPr>
          <w:rFonts w:cs="Arial"/>
        </w:rPr>
        <w:t xml:space="preserve"> and/or independent consultants, which are also </w:t>
      </w:r>
      <w:r w:rsidR="001F7F80">
        <w:rPr>
          <w:rFonts w:cs="Arial"/>
        </w:rPr>
        <w:t xml:space="preserve">required to be </w:t>
      </w:r>
      <w:r w:rsidR="0066101C">
        <w:rPr>
          <w:rFonts w:cs="Arial"/>
        </w:rPr>
        <w:t>named in response to RFP Section 3.1.3</w:t>
      </w:r>
      <w:r w:rsidRPr="00EE02A1">
        <w:rPr>
          <w:rFonts w:cs="Arial"/>
        </w:rPr>
        <w:t xml:space="preserve">. No cost should be included in the </w:t>
      </w:r>
      <w:proofErr w:type="gramStart"/>
      <w:r w:rsidRPr="00EE02A1">
        <w:rPr>
          <w:rFonts w:cs="Arial"/>
        </w:rPr>
        <w:t>commitment letter</w:t>
      </w:r>
      <w:proofErr w:type="gramEnd"/>
      <w:r w:rsidRPr="00EE02A1">
        <w:rPr>
          <w:rFonts w:cs="Arial"/>
        </w:rPr>
        <w:t xml:space="preserve">. </w:t>
      </w:r>
      <w:r>
        <w:t>Each letter must be completed, signed and dated with an original signature included in the original Technical Proposal and a copy of the letter included with each copy of the Technical Proposal.</w:t>
      </w:r>
    </w:p>
    <w:p w14:paraId="5617A3B8" w14:textId="6E1C8D01" w:rsidR="000F18CF" w:rsidRDefault="000F18CF" w:rsidP="000F18CF">
      <w:pPr>
        <w:pStyle w:val="Heading4"/>
      </w:pPr>
      <w:r>
        <w:t>3.2.</w:t>
      </w:r>
      <w:r w:rsidR="008A7671">
        <w:t>1</w:t>
      </w:r>
      <w:r w:rsidR="009B75B7">
        <w:t>1</w:t>
      </w:r>
      <w:r>
        <w:t xml:space="preserve"> Contractor Certification Clauses CCC 04/2017</w:t>
      </w:r>
    </w:p>
    <w:p w14:paraId="63F09FB6" w14:textId="5719856C" w:rsidR="000F18CF" w:rsidRDefault="000F18CF" w:rsidP="000F18CF">
      <w:pPr>
        <w:spacing w:before="240" w:after="240"/>
      </w:pPr>
      <w:r w:rsidRPr="00D93C4D">
        <w:t>Contractor Certification Clauses CCC 04/2017</w:t>
      </w:r>
      <w:r>
        <w:t xml:space="preserve">. The CCC 04/2017 must be completed, signed and dated with an original signature on the form and included in the original Technical Proposal and a copy of the form included with each copy of the Technical Proposal. The CCC 04/2017 can be found </w:t>
      </w:r>
      <w:r w:rsidR="00BE60C6">
        <w:t xml:space="preserve">on the DGS website </w:t>
      </w:r>
      <w:r>
        <w:t xml:space="preserve">at </w:t>
      </w:r>
      <w:hyperlink r:id="rId13" w:tooltip="Contractor Certification Clause 04/2017 on the DGS website" w:history="1">
        <w:r w:rsidRPr="000105A3">
          <w:rPr>
            <w:rStyle w:val="Hyperlink"/>
          </w:rPr>
          <w:t>https://www.dgs.ca.gov/OLS/Resources/Page-Content/Office-of-Legal-Services-Resources-List-Folder/Standard-Contract-Language</w:t>
        </w:r>
      </w:hyperlink>
      <w:r>
        <w:rPr>
          <w:rStyle w:val="Hyperlink"/>
          <w:color w:val="auto"/>
          <w:u w:val="none"/>
        </w:rPr>
        <w:t>.</w:t>
      </w:r>
    </w:p>
    <w:p w14:paraId="42EF4849" w14:textId="4F55CE91" w:rsidR="00537458" w:rsidRDefault="004564C9" w:rsidP="00537458">
      <w:pPr>
        <w:pStyle w:val="Heading4"/>
      </w:pPr>
      <w:r>
        <w:t>3</w:t>
      </w:r>
      <w:r w:rsidR="00537458">
        <w:t>.2.1</w:t>
      </w:r>
      <w:r w:rsidR="009B75B7">
        <w:t>2</w:t>
      </w:r>
      <w:r w:rsidR="00537458">
        <w:t xml:space="preserve"> Payee Data Record (STD.</w:t>
      </w:r>
      <w:r w:rsidR="006C6950">
        <w:t xml:space="preserve"> </w:t>
      </w:r>
      <w:r w:rsidR="00537458">
        <w:t>204)</w:t>
      </w:r>
    </w:p>
    <w:p w14:paraId="70B4E638" w14:textId="2039B111" w:rsidR="00537458" w:rsidRDefault="00537458" w:rsidP="00537458">
      <w:pPr>
        <w:spacing w:before="240" w:after="240"/>
        <w:rPr>
          <w:rStyle w:val="Hyperlink"/>
          <w:color w:val="auto"/>
          <w:u w:val="none"/>
        </w:rPr>
      </w:pPr>
      <w:r>
        <w:t>The Payee Data Record (STD</w:t>
      </w:r>
      <w:r w:rsidRPr="003D6B53">
        <w:t>.</w:t>
      </w:r>
      <w:r>
        <w:t xml:space="preserve"> </w:t>
      </w:r>
      <w:r w:rsidRPr="003D6B53">
        <w:t>204</w:t>
      </w:r>
      <w:r>
        <w:t>) must be fully completed, signed and dated with an original signature on the form included with the original Technical Proposal and a copy of the form included with each copy of the Technical Proposal. The Payee Data Record STD. 204 can be found</w:t>
      </w:r>
      <w:r w:rsidR="00BE60C6">
        <w:t xml:space="preserve"> on the DGS website</w:t>
      </w:r>
      <w:r>
        <w:t xml:space="preserve"> at </w:t>
      </w:r>
      <w:hyperlink r:id="rId14" w:tooltip="Payee Data Record" w:history="1">
        <w:r w:rsidRPr="00C87236">
          <w:rPr>
            <w:rStyle w:val="Hyperlink"/>
          </w:rPr>
          <w:t>http://www.documents.dgs.ca.gov/dgs/fmc/pdf/std204.pdf</w:t>
        </w:r>
      </w:hyperlink>
      <w:r>
        <w:rPr>
          <w:rStyle w:val="Hyperlink"/>
          <w:color w:val="auto"/>
          <w:u w:val="none"/>
        </w:rPr>
        <w:t>.</w:t>
      </w:r>
    </w:p>
    <w:p w14:paraId="497BCB05" w14:textId="7A7611EB" w:rsidR="0066101C" w:rsidRDefault="0066101C" w:rsidP="0066101C">
      <w:pPr>
        <w:spacing w:before="240" w:after="240"/>
      </w:pPr>
      <w:r>
        <w:t xml:space="preserve">The Payee Data Record Supplement (STD. 205) may be completed, signed and dated with an original signature and included with the original Technical Proposal and a copy of the form included with each copy of the Technical Proposal if the bidding firm must identify a remittance address if different from the mailing address identified on </w:t>
      </w:r>
      <w:proofErr w:type="gramStart"/>
      <w:r>
        <w:t>the STD</w:t>
      </w:r>
      <w:proofErr w:type="gramEnd"/>
      <w:r>
        <w:t xml:space="preserve">. 204. The Payee Data Record Supplemental STD. 205 can be found </w:t>
      </w:r>
      <w:r w:rsidR="00BE60C6">
        <w:t xml:space="preserve">on the DGS website </w:t>
      </w:r>
      <w:r>
        <w:t xml:space="preserve">at </w:t>
      </w:r>
      <w:hyperlink r:id="rId15" w:tooltip="Payee Data Record Supplement (STD 205) form on the DGS website." w:history="1">
        <w:r w:rsidRPr="005A0F69">
          <w:rPr>
            <w:rStyle w:val="Hyperlink"/>
          </w:rPr>
          <w:t>https://www.documents.dgs.ca.gov/dgs/fmc/pdf/std205.pdf</w:t>
        </w:r>
      </w:hyperlink>
      <w:r>
        <w:t>.</w:t>
      </w:r>
    </w:p>
    <w:p w14:paraId="66F0DA0B" w14:textId="023F8872" w:rsidR="00537458" w:rsidRDefault="004564C9" w:rsidP="00537458">
      <w:pPr>
        <w:pStyle w:val="Heading4"/>
      </w:pPr>
      <w:r>
        <w:t>3</w:t>
      </w:r>
      <w:r w:rsidR="00537458">
        <w:t>.2.1</w:t>
      </w:r>
      <w:r w:rsidR="009B75B7">
        <w:t>3</w:t>
      </w:r>
      <w:r w:rsidR="00537458">
        <w:t xml:space="preserve"> Certificate of Good Standing</w:t>
      </w:r>
    </w:p>
    <w:p w14:paraId="40E9C0D2" w14:textId="30C2269C" w:rsidR="00537458" w:rsidRPr="0015076D" w:rsidRDefault="00537458" w:rsidP="00537458">
      <w:pPr>
        <w:spacing w:before="240" w:after="240"/>
        <w:rPr>
          <w:szCs w:val="24"/>
        </w:rPr>
      </w:pPr>
      <w:r w:rsidRPr="0015076D">
        <w:rPr>
          <w:szCs w:val="24"/>
        </w:rPr>
        <w:t xml:space="preserve">A copy of the </w:t>
      </w:r>
      <w:r w:rsidRPr="0015076D">
        <w:rPr>
          <w:rFonts w:cs="Arial"/>
          <w:bCs/>
          <w:szCs w:val="24"/>
        </w:rPr>
        <w:t xml:space="preserve">bidding firm’s most current Certificate of Good Standing issued by the California Secretary of State, or a separate paragraph that clearly states the bidder’s legal status and </w:t>
      </w:r>
      <w:r w:rsidRPr="0015076D">
        <w:rPr>
          <w:rFonts w:cs="Arial"/>
          <w:bCs/>
          <w:szCs w:val="24"/>
        </w:rPr>
        <w:lastRenderedPageBreak/>
        <w:t>evidence that it is legally constituted and qualified to do business with the State of California (see RFP</w:t>
      </w:r>
      <w:r>
        <w:rPr>
          <w:rFonts w:cs="Arial"/>
          <w:bCs/>
          <w:szCs w:val="24"/>
        </w:rPr>
        <w:t>,</w:t>
      </w:r>
      <w:r w:rsidRPr="0015076D">
        <w:rPr>
          <w:rFonts w:cs="Arial"/>
          <w:bCs/>
          <w:szCs w:val="24"/>
        </w:rPr>
        <w:t xml:space="preserve"> S</w:t>
      </w:r>
      <w:r>
        <w:rPr>
          <w:rFonts w:cs="Arial"/>
          <w:bCs/>
          <w:szCs w:val="24"/>
        </w:rPr>
        <w:t xml:space="preserve">ection </w:t>
      </w:r>
      <w:r w:rsidR="006C2173">
        <w:rPr>
          <w:rFonts w:cs="Arial"/>
          <w:bCs/>
          <w:szCs w:val="24"/>
        </w:rPr>
        <w:t>2</w:t>
      </w:r>
      <w:r>
        <w:rPr>
          <w:rFonts w:cs="Arial"/>
          <w:bCs/>
          <w:szCs w:val="24"/>
        </w:rPr>
        <w:t>.1 Bidder Eligibility).</w:t>
      </w:r>
    </w:p>
    <w:p w14:paraId="5CAD8D55" w14:textId="5E08ADD2" w:rsidR="00537458" w:rsidRPr="006A0010" w:rsidRDefault="004564C9" w:rsidP="00537458">
      <w:pPr>
        <w:pStyle w:val="Heading4"/>
      </w:pPr>
      <w:r>
        <w:t>3</w:t>
      </w:r>
      <w:r w:rsidR="00537458">
        <w:t>.2.1</w:t>
      </w:r>
      <w:r w:rsidR="009B75B7">
        <w:t>4</w:t>
      </w:r>
      <w:r w:rsidR="00537458">
        <w:t xml:space="preserve"> </w:t>
      </w:r>
      <w:r w:rsidR="00537458" w:rsidRPr="00CD6CE2">
        <w:t>Conditional Attachments</w:t>
      </w:r>
    </w:p>
    <w:p w14:paraId="0913DA36" w14:textId="627C4B7A" w:rsidR="00537458" w:rsidRPr="0009408F" w:rsidRDefault="00537458" w:rsidP="00537458">
      <w:pPr>
        <w:pStyle w:val="ListParagraph"/>
        <w:tabs>
          <w:tab w:val="left" w:pos="0"/>
          <w:tab w:val="left" w:pos="630"/>
          <w:tab w:val="left" w:pos="1350"/>
        </w:tabs>
        <w:spacing w:before="240" w:after="240"/>
        <w:ind w:left="0"/>
        <w:contextualSpacing w:val="0"/>
      </w:pPr>
      <w:r w:rsidRPr="0009408F">
        <w:t xml:space="preserve">The following two (2) </w:t>
      </w:r>
      <w:r w:rsidR="008D3596">
        <w:t>a</w:t>
      </w:r>
      <w:r w:rsidRPr="0009408F">
        <w:t xml:space="preserve">ttachments are required by the successful bidder of this RFP, upon award of the contract, and do not need to be included with the </w:t>
      </w:r>
      <w:proofErr w:type="gramStart"/>
      <w:r w:rsidRPr="0009408F">
        <w:t>bidders</w:t>
      </w:r>
      <w:proofErr w:type="gramEnd"/>
      <w:r w:rsidRPr="0009408F">
        <w:t xml:space="preserve"> </w:t>
      </w:r>
      <w:r>
        <w:t>Technical Proposal</w:t>
      </w:r>
      <w:r w:rsidRPr="0009408F">
        <w:t xml:space="preserve">. However, </w:t>
      </w:r>
      <w:proofErr w:type="gramStart"/>
      <w:r w:rsidRPr="0009408F">
        <w:t>bidders’</w:t>
      </w:r>
      <w:proofErr w:type="gramEnd"/>
      <w:r w:rsidRPr="0009408F">
        <w:t xml:space="preserve"> are required to certify on the Bidder Certif</w:t>
      </w:r>
      <w:r>
        <w:t xml:space="preserve">ication </w:t>
      </w:r>
      <w:r w:rsidR="006C6950">
        <w:t>Sheet</w:t>
      </w:r>
      <w:r>
        <w:t xml:space="preserve"> (RFP Attachment </w:t>
      </w:r>
      <w:r w:rsidR="008D3596">
        <w:t>3</w:t>
      </w:r>
      <w:r>
        <w:t>)</w:t>
      </w:r>
      <w:r w:rsidRPr="0009408F">
        <w:t xml:space="preserve"> that Attachment </w:t>
      </w:r>
      <w:r w:rsidR="00D8386E" w:rsidRPr="0009408F">
        <w:t>1</w:t>
      </w:r>
      <w:r w:rsidR="00D8386E">
        <w:t>2</w:t>
      </w:r>
      <w:r w:rsidR="00D8386E" w:rsidRPr="0009408F">
        <w:t xml:space="preserve"> </w:t>
      </w:r>
      <w:r w:rsidRPr="0009408F">
        <w:t xml:space="preserve">and Attachment </w:t>
      </w:r>
      <w:r w:rsidR="00D8386E" w:rsidRPr="0009408F">
        <w:t>1</w:t>
      </w:r>
      <w:r w:rsidR="00D8386E">
        <w:t>3</w:t>
      </w:r>
      <w:r w:rsidR="00D8386E" w:rsidRPr="0009408F">
        <w:t xml:space="preserve"> </w:t>
      </w:r>
      <w:r w:rsidRPr="0009408F">
        <w:t>will be completed and signed in accordance with the instructions indicated below:</w:t>
      </w:r>
    </w:p>
    <w:p w14:paraId="59A70569" w14:textId="17BA96B1" w:rsidR="00537458" w:rsidRPr="00663853" w:rsidRDefault="00537458" w:rsidP="0040006E">
      <w:pPr>
        <w:pStyle w:val="List4"/>
        <w:numPr>
          <w:ilvl w:val="0"/>
          <w:numId w:val="12"/>
        </w:numPr>
        <w:spacing w:before="240" w:after="240"/>
        <w:ind w:hanging="720"/>
        <w:rPr>
          <w:rFonts w:ascii="Arial" w:hAnsi="Arial" w:cs="Arial"/>
        </w:rPr>
      </w:pPr>
      <w:r w:rsidRPr="000F01DF">
        <w:rPr>
          <w:rFonts w:ascii="Arial" w:hAnsi="Arial" w:cs="Arial"/>
          <w:szCs w:val="24"/>
        </w:rPr>
        <w:t>Conflict of Interest and Confidential</w:t>
      </w:r>
      <w:r>
        <w:rPr>
          <w:rFonts w:ascii="Arial" w:hAnsi="Arial" w:cs="Arial"/>
          <w:szCs w:val="24"/>
        </w:rPr>
        <w:t>ity</w:t>
      </w:r>
      <w:r w:rsidRPr="000F01DF">
        <w:rPr>
          <w:rFonts w:ascii="Arial" w:hAnsi="Arial" w:cs="Arial"/>
          <w:szCs w:val="24"/>
        </w:rPr>
        <w:t xml:space="preserve"> Statement (RFP Attachment </w:t>
      </w:r>
      <w:r w:rsidR="00D8386E" w:rsidRPr="000F01DF">
        <w:rPr>
          <w:rFonts w:ascii="Arial" w:hAnsi="Arial" w:cs="Arial"/>
          <w:szCs w:val="24"/>
        </w:rPr>
        <w:t>1</w:t>
      </w:r>
      <w:r w:rsidR="00D8386E">
        <w:rPr>
          <w:rFonts w:ascii="Arial" w:hAnsi="Arial" w:cs="Arial"/>
          <w:szCs w:val="24"/>
        </w:rPr>
        <w:t>2</w:t>
      </w:r>
      <w:r w:rsidRPr="000F01DF">
        <w:rPr>
          <w:rFonts w:ascii="Arial" w:hAnsi="Arial" w:cs="Arial"/>
          <w:szCs w:val="24"/>
        </w:rPr>
        <w:t>)</w:t>
      </w:r>
    </w:p>
    <w:p w14:paraId="77876508" w14:textId="79AE96B6" w:rsidR="00537458" w:rsidRPr="00C276B4" w:rsidRDefault="00537458" w:rsidP="0040006E">
      <w:pPr>
        <w:pStyle w:val="List4"/>
        <w:tabs>
          <w:tab w:val="left" w:pos="360"/>
        </w:tabs>
        <w:spacing w:before="240" w:after="240"/>
        <w:ind w:left="720" w:firstLine="0"/>
        <w:rPr>
          <w:rFonts w:ascii="Arial" w:hAnsi="Arial" w:cs="Arial"/>
        </w:rPr>
      </w:pPr>
      <w:r>
        <w:rPr>
          <w:rFonts w:ascii="Arial" w:hAnsi="Arial" w:cs="Arial"/>
          <w:szCs w:val="24"/>
        </w:rPr>
        <w:t xml:space="preserve">The Conflict of Interest and Confidentiality Statement (RFP Attachment </w:t>
      </w:r>
      <w:r w:rsidR="00D8386E">
        <w:rPr>
          <w:rFonts w:ascii="Arial" w:hAnsi="Arial" w:cs="Arial"/>
          <w:szCs w:val="24"/>
        </w:rPr>
        <w:t>12</w:t>
      </w:r>
      <w:r>
        <w:rPr>
          <w:rFonts w:ascii="Arial" w:hAnsi="Arial" w:cs="Arial"/>
          <w:szCs w:val="24"/>
        </w:rPr>
        <w:t xml:space="preserve">) </w:t>
      </w:r>
      <w:r w:rsidRPr="007E21F1">
        <w:rPr>
          <w:rFonts w:ascii="Arial" w:hAnsi="Arial" w:cs="Arial"/>
          <w:szCs w:val="24"/>
        </w:rPr>
        <w:t xml:space="preserve">must be completed, signed and dated by the successful bidder, and all subcontractors, as a condition of receipt of the contract. By signing the Bidder Certification Sheet (RFP Attachment </w:t>
      </w:r>
      <w:r w:rsidR="008D3596">
        <w:rPr>
          <w:rFonts w:ascii="Arial" w:hAnsi="Arial" w:cs="Arial"/>
          <w:szCs w:val="24"/>
        </w:rPr>
        <w:t>3</w:t>
      </w:r>
      <w:r w:rsidRPr="007E21F1">
        <w:rPr>
          <w:rFonts w:ascii="Arial" w:hAnsi="Arial" w:cs="Arial"/>
          <w:szCs w:val="24"/>
        </w:rPr>
        <w:t>), the bidder agrees to comply with this requirement.</w:t>
      </w:r>
    </w:p>
    <w:p w14:paraId="203BE695" w14:textId="5B4F04BE" w:rsidR="00537458" w:rsidRPr="00663853" w:rsidRDefault="00537458" w:rsidP="0040006E">
      <w:pPr>
        <w:pStyle w:val="List4"/>
        <w:numPr>
          <w:ilvl w:val="0"/>
          <w:numId w:val="12"/>
        </w:numPr>
        <w:spacing w:before="240" w:after="240"/>
        <w:ind w:hanging="720"/>
        <w:rPr>
          <w:snapToGrid w:val="0"/>
        </w:rPr>
      </w:pPr>
      <w:r w:rsidRPr="000F01DF">
        <w:rPr>
          <w:rFonts w:ascii="Arial" w:hAnsi="Arial" w:cs="Arial"/>
        </w:rPr>
        <w:t xml:space="preserve">California Department of Education Computer Security </w:t>
      </w:r>
      <w:r w:rsidRPr="00240400">
        <w:rPr>
          <w:rFonts w:ascii="Arial" w:hAnsi="Arial" w:cs="Arial"/>
        </w:rPr>
        <w:t xml:space="preserve">Policy (RFP Attachment </w:t>
      </w:r>
      <w:r w:rsidR="00D8386E" w:rsidRPr="00240400">
        <w:rPr>
          <w:rFonts w:ascii="Arial" w:hAnsi="Arial" w:cs="Arial"/>
        </w:rPr>
        <w:t>1</w:t>
      </w:r>
      <w:r w:rsidR="00D8386E">
        <w:rPr>
          <w:rFonts w:ascii="Arial" w:hAnsi="Arial" w:cs="Arial"/>
        </w:rPr>
        <w:t>3</w:t>
      </w:r>
      <w:r w:rsidRPr="00240400">
        <w:rPr>
          <w:rFonts w:ascii="Arial" w:hAnsi="Arial" w:cs="Arial"/>
        </w:rPr>
        <w:t>)</w:t>
      </w:r>
    </w:p>
    <w:p w14:paraId="3509B394" w14:textId="2D5A8D29" w:rsidR="00537458" w:rsidRPr="00380CA7" w:rsidRDefault="00537458" w:rsidP="0040006E">
      <w:pPr>
        <w:pStyle w:val="List4"/>
        <w:tabs>
          <w:tab w:val="left" w:pos="360"/>
        </w:tabs>
        <w:spacing w:before="240" w:after="240"/>
        <w:ind w:left="720" w:firstLine="0"/>
        <w:rPr>
          <w:snapToGrid w:val="0"/>
        </w:rPr>
      </w:pPr>
      <w:r>
        <w:rPr>
          <w:rFonts w:ascii="Arial" w:hAnsi="Arial" w:cs="Arial"/>
        </w:rPr>
        <w:t xml:space="preserve">The California Department of Education Computer Security Policy (RFP Attachment </w:t>
      </w:r>
      <w:r w:rsidR="00D8386E">
        <w:rPr>
          <w:rFonts w:ascii="Arial" w:hAnsi="Arial" w:cs="Arial"/>
        </w:rPr>
        <w:t>13</w:t>
      </w:r>
      <w:r>
        <w:rPr>
          <w:rFonts w:ascii="Arial" w:hAnsi="Arial" w:cs="Arial"/>
        </w:rPr>
        <w:t xml:space="preserve">) </w:t>
      </w:r>
      <w:r w:rsidRPr="007E21F1">
        <w:rPr>
          <w:rFonts w:ascii="Arial" w:hAnsi="Arial" w:cs="Arial"/>
        </w:rPr>
        <w:t xml:space="preserve">must be completed, signed and dated by the bidder, subcontractors and each of their employees engaging in services to CDE related to this RFP and the resulting contract and kept on file by the bidder and made available to the CDE upon request, as a condition of receipt of the contract. By signing the Bidder Certification Sheet (RFP Attachment </w:t>
      </w:r>
      <w:r w:rsidR="008D3596">
        <w:rPr>
          <w:rFonts w:ascii="Arial" w:hAnsi="Arial" w:cs="Arial"/>
        </w:rPr>
        <w:t>3</w:t>
      </w:r>
      <w:r w:rsidRPr="007E21F1">
        <w:rPr>
          <w:rFonts w:ascii="Arial" w:hAnsi="Arial" w:cs="Arial"/>
        </w:rPr>
        <w:t>) the bidder agrees to comply with this requirement.</w:t>
      </w:r>
    </w:p>
    <w:p w14:paraId="40D62E31" w14:textId="4BFEABBF" w:rsidR="00537458" w:rsidRPr="006A0010" w:rsidRDefault="004564C9" w:rsidP="00537458">
      <w:pPr>
        <w:pStyle w:val="Heading4"/>
      </w:pPr>
      <w:r>
        <w:t>3</w:t>
      </w:r>
      <w:r w:rsidR="00537458" w:rsidRPr="00BC3C65">
        <w:t>.2.</w:t>
      </w:r>
      <w:r w:rsidR="00537458">
        <w:t>1</w:t>
      </w:r>
      <w:r w:rsidR="00E729A8">
        <w:t>5</w:t>
      </w:r>
      <w:r w:rsidR="00537458" w:rsidRPr="00BC3C65">
        <w:t xml:space="preserve"> Preference Programs</w:t>
      </w:r>
    </w:p>
    <w:p w14:paraId="73B6F307" w14:textId="77777777" w:rsidR="00537458" w:rsidRPr="00BC3C65" w:rsidRDefault="00537458" w:rsidP="00537458">
      <w:pPr>
        <w:pStyle w:val="ListParagraph"/>
        <w:spacing w:before="240" w:after="240"/>
        <w:ind w:left="0"/>
        <w:contextualSpacing w:val="0"/>
      </w:pPr>
      <w:r>
        <w:t xml:space="preserve">The State of California </w:t>
      </w:r>
      <w:r w:rsidRPr="00BC3C65">
        <w:t>has the following preference programs to encourage participation in state contracts by various segments of the business community:</w:t>
      </w:r>
    </w:p>
    <w:p w14:paraId="4C963C98" w14:textId="77777777" w:rsidR="00537458" w:rsidRDefault="00537458" w:rsidP="0040006E">
      <w:pPr>
        <w:pStyle w:val="ListParagraph"/>
        <w:numPr>
          <w:ilvl w:val="1"/>
          <w:numId w:val="9"/>
        </w:numPr>
        <w:spacing w:before="240" w:after="240"/>
        <w:ind w:left="720" w:hanging="720"/>
        <w:contextualSpacing w:val="0"/>
      </w:pPr>
      <w:r w:rsidRPr="00CB46E0">
        <w:t>Small Business Preference</w:t>
      </w:r>
    </w:p>
    <w:p w14:paraId="3A9F602C" w14:textId="4A7C7533" w:rsidR="00537458" w:rsidRDefault="00537458" w:rsidP="0040006E">
      <w:pPr>
        <w:spacing w:after="240"/>
        <w:ind w:left="720"/>
        <w:rPr>
          <w:rStyle w:val="Hyperlink"/>
          <w:rFonts w:eastAsiaTheme="majorEastAsia" w:cstheme="majorBidi"/>
          <w:iCs/>
          <w:sz w:val="28"/>
          <w:szCs w:val="28"/>
        </w:rPr>
      </w:pPr>
      <w:r w:rsidRPr="00BC3C65">
        <w:t xml:space="preserve">A five percent bid preference is available </w:t>
      </w:r>
      <w:r w:rsidR="003F791C">
        <w:t xml:space="preserve">and will be applied in accordance with Attachment </w:t>
      </w:r>
      <w:r w:rsidR="008D3596">
        <w:t>1</w:t>
      </w:r>
      <w:r w:rsidR="009B75B7">
        <w:t>1</w:t>
      </w:r>
      <w:r w:rsidRPr="00BC3C65">
        <w:t xml:space="preserve">. The </w:t>
      </w:r>
      <w:r>
        <w:t>s</w:t>
      </w:r>
      <w:r w:rsidRPr="00BC3C65">
        <w:t xml:space="preserve">mall </w:t>
      </w:r>
      <w:r>
        <w:t>b</w:t>
      </w:r>
      <w:r w:rsidRPr="00BC3C65">
        <w:t xml:space="preserve">usiness preference will be applied to those bidders declaring their eligibility on the Small Business </w:t>
      </w:r>
      <w:r w:rsidR="003F791C">
        <w:t>and Non-Small Business Subcontractor Preferences</w:t>
      </w:r>
      <w:r w:rsidRPr="00BC3C65">
        <w:t xml:space="preserve"> (</w:t>
      </w:r>
      <w:r w:rsidR="003F791C">
        <w:t xml:space="preserve">RFP </w:t>
      </w:r>
      <w:r w:rsidRPr="00BC3C65">
        <w:t xml:space="preserve">Attachment </w:t>
      </w:r>
      <w:r w:rsidR="008A7671">
        <w:t>1</w:t>
      </w:r>
      <w:r w:rsidR="009B75B7">
        <w:t>1</w:t>
      </w:r>
      <w:r w:rsidRPr="00BC3C65">
        <w:t xml:space="preserve">). </w:t>
      </w:r>
      <w:r>
        <w:t xml:space="preserve">Attachment </w:t>
      </w:r>
      <w:r w:rsidR="008A7671">
        <w:t>1</w:t>
      </w:r>
      <w:r w:rsidR="009B75B7">
        <w:t>1</w:t>
      </w:r>
      <w:r>
        <w:t xml:space="preserve"> must be completed, signed and dated with an original signature on the form included in the original Technical Proposal and a copy of the form included with each copy of the Technical Proposal, if the preference is being claimed. The bidder must include a </w:t>
      </w:r>
      <w:proofErr w:type="gramStart"/>
      <w:r>
        <w:t>print out</w:t>
      </w:r>
      <w:proofErr w:type="gramEnd"/>
      <w:r>
        <w:t xml:space="preserve"> of the Supplier Certification Profile, if applying for the preference. The Supplier Certification Profile can be found on the DGS </w:t>
      </w:r>
      <w:r w:rsidR="00756EC6">
        <w:t>w</w:t>
      </w:r>
      <w:r>
        <w:t xml:space="preserve">ebsite, </w:t>
      </w:r>
      <w:hyperlink r:id="rId16" w:tooltip="Cal eProcure website" w:history="1">
        <w:r>
          <w:rPr>
            <w:rStyle w:val="Hyperlink"/>
          </w:rPr>
          <w:t>https://caleprocure.ca.gov/pages/PublicSearch/supplier-search.aspx</w:t>
        </w:r>
      </w:hyperlink>
      <w:r>
        <w:rPr>
          <w:rStyle w:val="Hyperlink"/>
        </w:rPr>
        <w:t>.</w:t>
      </w:r>
    </w:p>
    <w:p w14:paraId="5E19B59D" w14:textId="77777777" w:rsidR="00BB222A" w:rsidRPr="00BC067B" w:rsidRDefault="00BB222A" w:rsidP="0040006E">
      <w:pPr>
        <w:spacing w:after="240"/>
        <w:ind w:left="720"/>
      </w:pPr>
      <w:r w:rsidRPr="00BC067B">
        <w:t>To apply for the Small Business Preference, Bidders must document Small Business participation by completing and submitting the following forms with the Technical Proposal:</w:t>
      </w:r>
    </w:p>
    <w:p w14:paraId="1B593642" w14:textId="223DB828" w:rsidR="00BB222A" w:rsidRPr="00BC067B" w:rsidRDefault="00BB222A" w:rsidP="0040006E">
      <w:pPr>
        <w:pStyle w:val="ListParagraph"/>
        <w:numPr>
          <w:ilvl w:val="3"/>
          <w:numId w:val="24"/>
        </w:numPr>
        <w:spacing w:after="240"/>
        <w:ind w:left="1080"/>
      </w:pPr>
      <w:r w:rsidRPr="00BC067B">
        <w:t>The Bidder Declaration Form (GSPD-05-105)</w:t>
      </w:r>
    </w:p>
    <w:p w14:paraId="48833CDF" w14:textId="6304405E" w:rsidR="00BB222A" w:rsidRPr="00BB222A" w:rsidRDefault="00BB222A" w:rsidP="0040006E">
      <w:pPr>
        <w:spacing w:after="240"/>
        <w:ind w:left="1080"/>
        <w:rPr>
          <w:color w:val="0000FF"/>
          <w:u w:val="single"/>
        </w:rPr>
      </w:pPr>
      <w:r w:rsidRPr="00BC067B">
        <w:lastRenderedPageBreak/>
        <w:t>The Bidder Declaration Form (GSPD-05-105) must be completed in accordance with the instructions provided on the form. When completing the Bidder Declaration, bidders must identify all subcontractors proposed for participation in the contract (See RFP Section 3.2.</w:t>
      </w:r>
      <w:r>
        <w:t>9</w:t>
      </w:r>
      <w:r w:rsidRPr="00BC067B">
        <w:t xml:space="preserve">). Bidders must identify the percentage figure representing the percentage of participation for each subcontractor, including the Small Business subcontractor, rather than </w:t>
      </w:r>
      <w:proofErr w:type="gramStart"/>
      <w:r w:rsidRPr="00BC067B">
        <w:t>an</w:t>
      </w:r>
      <w:proofErr w:type="gramEnd"/>
      <w:r w:rsidRPr="00BC067B">
        <w:t xml:space="preserve"> actual dollar figure. No actual dollar figures should appear on the Bidder Declaration. The Bidder Declaration form can be found at </w:t>
      </w:r>
      <w:hyperlink r:id="rId17" w:tooltip="Bidder Declaration Form (GSPD-05-105) on the DGS website" w:history="1">
        <w:r w:rsidRPr="00BB222A">
          <w:rPr>
            <w:rStyle w:val="Hyperlink"/>
          </w:rPr>
          <w:t>https://www.documents.dgs.ca.gov/dgs/fmc/gs/pd/gspd05-105.pdf</w:t>
        </w:r>
      </w:hyperlink>
      <w:r w:rsidRPr="00BB222A">
        <w:rPr>
          <w:color w:val="0000FF"/>
          <w:u w:val="single"/>
        </w:rPr>
        <w:t>.</w:t>
      </w:r>
    </w:p>
    <w:p w14:paraId="6DC30802" w14:textId="7B222937" w:rsidR="00BB222A" w:rsidRPr="00BC067B" w:rsidRDefault="00BB222A" w:rsidP="0040006E">
      <w:pPr>
        <w:pStyle w:val="ListParagraph"/>
        <w:numPr>
          <w:ilvl w:val="2"/>
          <w:numId w:val="24"/>
        </w:numPr>
        <w:spacing w:after="240"/>
        <w:ind w:left="1080"/>
      </w:pPr>
      <w:r w:rsidRPr="00BC067B">
        <w:t>Small Business Subcontractor Commitment Letter</w:t>
      </w:r>
    </w:p>
    <w:p w14:paraId="6E171C20" w14:textId="77777777" w:rsidR="00BB222A" w:rsidRPr="00BC067B" w:rsidRDefault="00BB222A" w:rsidP="0040006E">
      <w:pPr>
        <w:spacing w:after="240"/>
        <w:ind w:left="1080"/>
      </w:pPr>
      <w:r w:rsidRPr="00BC067B">
        <w:t xml:space="preserve">The Technical Proposal must include a subcontractor commitment letter from each Small Business subcontractor signed by an official representative of each subcontractor or independent consultant, acknowledging their intended participation/availability and confirmation that they have been made aware of the terms and conditions of the proposed contract. No cost should be included in the </w:t>
      </w:r>
      <w:proofErr w:type="gramStart"/>
      <w:r w:rsidRPr="00BC067B">
        <w:t>commitment letter</w:t>
      </w:r>
      <w:proofErr w:type="gramEnd"/>
      <w:r w:rsidRPr="00BC067B">
        <w:t>. Each letter must include the solicitation number and be signed and dated with an original signature included in the original Technical Proposal and a copy of the letter included with each copy of the Technical Proposal.</w:t>
      </w:r>
    </w:p>
    <w:p w14:paraId="079EEAF2" w14:textId="0D2559F8" w:rsidR="00BB222A" w:rsidRPr="00BC067B" w:rsidRDefault="00BB222A" w:rsidP="0040006E">
      <w:pPr>
        <w:pStyle w:val="ListParagraph"/>
        <w:numPr>
          <w:ilvl w:val="2"/>
          <w:numId w:val="24"/>
        </w:numPr>
        <w:spacing w:after="240"/>
        <w:ind w:left="1080"/>
      </w:pPr>
      <w:r w:rsidRPr="00BC067B">
        <w:t>Small Business Certification</w:t>
      </w:r>
    </w:p>
    <w:p w14:paraId="0F39405E" w14:textId="68D1C302" w:rsidR="00537458" w:rsidRDefault="00BB222A" w:rsidP="0040006E">
      <w:pPr>
        <w:spacing w:after="240"/>
        <w:ind w:left="1080"/>
      </w:pPr>
      <w:r w:rsidRPr="00BC067B">
        <w:t xml:space="preserve">The Technical Proposal must include a copy of the Small Business certification for each Small Business Contractor/subcontractor. Small Business certification confirmation can be printed from Cal eProcure at </w:t>
      </w:r>
      <w:hyperlink r:id="rId18" w:tooltip="Cal eProcure website" w:history="1">
        <w:r w:rsidRPr="00BB222A">
          <w:rPr>
            <w:rStyle w:val="Hyperlink"/>
          </w:rPr>
          <w:t>https://caleprocure.ca.gov/pages/PublicSearch/supplier-search.aspx</w:t>
        </w:r>
      </w:hyperlink>
      <w:r w:rsidRPr="00BB222A">
        <w:rPr>
          <w:color w:val="0000FF"/>
          <w:u w:val="single"/>
        </w:rPr>
        <w:t>.</w:t>
      </w:r>
    </w:p>
    <w:p w14:paraId="22671B76" w14:textId="76CB69D6" w:rsidR="00537458" w:rsidRDefault="00537458" w:rsidP="00537458">
      <w:pPr>
        <w:ind w:left="720"/>
      </w:pPr>
      <w:r w:rsidRPr="00BC3C65">
        <w:t xml:space="preserve">Information regarding this preference program may be obtained </w:t>
      </w:r>
      <w:r>
        <w:t xml:space="preserve">on the DGS </w:t>
      </w:r>
      <w:r w:rsidR="00756EC6">
        <w:t>w</w:t>
      </w:r>
      <w:r>
        <w:t xml:space="preserve">ebsite, </w:t>
      </w:r>
      <w:hyperlink r:id="rId19" w:tooltip="How to do business with the State of California DGS page" w:history="1">
        <w:r w:rsidRPr="008328D9">
          <w:rPr>
            <w:rStyle w:val="Hyperlink"/>
          </w:rPr>
          <w:t>https://www.dgs.ca.gov/PD/Resources/Page-Content/Procurement-Division-Resources-List-Folder/How-to-do-business-with-the-state-of-California</w:t>
        </w:r>
      </w:hyperlink>
      <w:r w:rsidR="00B56673">
        <w:t>.</w:t>
      </w:r>
    </w:p>
    <w:p w14:paraId="68953204" w14:textId="77777777" w:rsidR="00537458" w:rsidRDefault="00537458" w:rsidP="007A7EC6">
      <w:pPr>
        <w:pStyle w:val="ListParagraph"/>
        <w:numPr>
          <w:ilvl w:val="1"/>
          <w:numId w:val="9"/>
        </w:numPr>
        <w:spacing w:before="240" w:after="240"/>
        <w:ind w:left="720" w:hanging="720"/>
        <w:contextualSpacing w:val="0"/>
      </w:pPr>
      <w:r w:rsidRPr="00CB46E0">
        <w:t>DVBE Incentive Option</w:t>
      </w:r>
    </w:p>
    <w:p w14:paraId="3EACAD7A" w14:textId="2F7B1860" w:rsidR="00537458" w:rsidRPr="00371695" w:rsidRDefault="00537458" w:rsidP="007A7EC6">
      <w:pPr>
        <w:pStyle w:val="ListParagraph"/>
        <w:spacing w:before="240" w:after="240"/>
        <w:contextualSpacing w:val="0"/>
      </w:pPr>
      <w:r w:rsidRPr="006B523D">
        <w:rPr>
          <w:iCs/>
        </w:rPr>
        <w:t>In accordance with Section 999.5(a) of the Military and Veterans Code, an incentive will be given to responsive and responsible bidders who commit to DVBE participation as outlined below. The incentive amount for awards based on the lowest responsive/responsible Cost Proposal received will vary in conjunction with the percentage of DVBE participation. The following represents the percentages that will be a</w:t>
      </w:r>
      <w:r>
        <w:rPr>
          <w:iCs/>
        </w:rPr>
        <w:t>pplied toward the bidder’s Cost</w:t>
      </w:r>
      <w:r w:rsidRPr="006B523D">
        <w:rPr>
          <w:iCs/>
        </w:rPr>
        <w:t xml:space="preserve"> Proposal amount:</w:t>
      </w:r>
    </w:p>
    <w:p w14:paraId="0187FBFD" w14:textId="77777777" w:rsidR="00537458" w:rsidRDefault="00537458" w:rsidP="007A7EC6">
      <w:pPr>
        <w:pStyle w:val="ListParagraph"/>
        <w:numPr>
          <w:ilvl w:val="0"/>
          <w:numId w:val="39"/>
        </w:numPr>
        <w:spacing w:before="240" w:after="240"/>
      </w:pPr>
      <w:r>
        <w:t>Confirmed DVBE Participation of 5% or more, the DVBE Incentive is 5%.</w:t>
      </w:r>
    </w:p>
    <w:p w14:paraId="58DAC425" w14:textId="77777777" w:rsidR="00537458" w:rsidRDefault="00537458" w:rsidP="007A7EC6">
      <w:pPr>
        <w:pStyle w:val="ListParagraph"/>
        <w:numPr>
          <w:ilvl w:val="0"/>
          <w:numId w:val="39"/>
        </w:numPr>
        <w:spacing w:before="240" w:after="240"/>
      </w:pPr>
      <w:r>
        <w:t>Confirmed DVBE Participation of 4% to 4.99%, the DVBE Incentive is 4%.</w:t>
      </w:r>
    </w:p>
    <w:p w14:paraId="5BA391DD" w14:textId="77777777" w:rsidR="00537458" w:rsidRDefault="00537458" w:rsidP="007A7EC6">
      <w:pPr>
        <w:pStyle w:val="ListParagraph"/>
        <w:numPr>
          <w:ilvl w:val="0"/>
          <w:numId w:val="39"/>
        </w:numPr>
        <w:spacing w:before="240" w:after="240"/>
        <w:contextualSpacing w:val="0"/>
      </w:pPr>
      <w:r>
        <w:t>Confirmed DVBE Participation of 3% to 3.99%, the DVBE Incentive is 3%.</w:t>
      </w:r>
    </w:p>
    <w:p w14:paraId="2D1FA919" w14:textId="06865A7A" w:rsidR="00537458" w:rsidRDefault="00537458" w:rsidP="007A7EC6">
      <w:pPr>
        <w:pStyle w:val="ListParagraph"/>
        <w:spacing w:before="240" w:after="240"/>
        <w:contextualSpacing w:val="0"/>
      </w:pPr>
      <w:r w:rsidRPr="00BC3C65">
        <w:t xml:space="preserve">Refer to RFP Attachment </w:t>
      </w:r>
      <w:r w:rsidR="009B75B7">
        <w:t>10</w:t>
      </w:r>
      <w:r w:rsidRPr="00BC3C65">
        <w:t>, California Disabled Veterans Business Enterprise Program Requirements for specific information regarding the DVBE Incentive Option.</w:t>
      </w:r>
    </w:p>
    <w:p w14:paraId="682D3175" w14:textId="21AD8DEF" w:rsidR="00BB222A" w:rsidRDefault="00BB222A" w:rsidP="007A7EC6">
      <w:pPr>
        <w:spacing w:before="240" w:after="240"/>
        <w:ind w:left="720"/>
        <w:rPr>
          <w:rFonts w:cs="Arial"/>
        </w:rPr>
      </w:pPr>
      <w:r>
        <w:rPr>
          <w:rFonts w:cs="Arial"/>
        </w:rPr>
        <w:t>To apply for the DVBE Incentive Option, Bidders must document DVBE participation commitment by completing and submitting the following forms with the Technical Proposal:</w:t>
      </w:r>
    </w:p>
    <w:p w14:paraId="28CF3351" w14:textId="0CAC76C5" w:rsidR="00BB222A" w:rsidRDefault="00BB222A" w:rsidP="007A7EC6">
      <w:pPr>
        <w:pStyle w:val="ListParagraph"/>
        <w:numPr>
          <w:ilvl w:val="0"/>
          <w:numId w:val="60"/>
        </w:numPr>
        <w:spacing w:before="240" w:after="240"/>
      </w:pPr>
      <w:r>
        <w:lastRenderedPageBreak/>
        <w:t>The Bidder Declaration F</w:t>
      </w:r>
      <w:r w:rsidRPr="00C87236">
        <w:t xml:space="preserve">orm </w:t>
      </w:r>
      <w:r>
        <w:t>(</w:t>
      </w:r>
      <w:r w:rsidRPr="00C87236">
        <w:t>GSPD-05-105</w:t>
      </w:r>
      <w:r>
        <w:t xml:space="preserve">) </w:t>
      </w:r>
    </w:p>
    <w:p w14:paraId="35B09D2C" w14:textId="775A3513" w:rsidR="00BB222A" w:rsidRDefault="00BB222A" w:rsidP="007A7EC6">
      <w:pPr>
        <w:spacing w:before="240" w:after="240"/>
        <w:ind w:left="1080"/>
      </w:pPr>
      <w:r>
        <w:t xml:space="preserve">The Bidder Declaration Form (GSPD-05-105) must be completed in accordance with the instructions provided on the form. </w:t>
      </w:r>
      <w:r w:rsidRPr="006B523D">
        <w:rPr>
          <w:color w:val="000000"/>
          <w:szCs w:val="24"/>
        </w:rPr>
        <w:t xml:space="preserve">When completing the </w:t>
      </w:r>
      <w:r>
        <w:rPr>
          <w:color w:val="000000"/>
          <w:szCs w:val="24"/>
        </w:rPr>
        <w:t>Bidder D</w:t>
      </w:r>
      <w:r w:rsidRPr="006B523D">
        <w:rPr>
          <w:color w:val="000000"/>
          <w:szCs w:val="24"/>
        </w:rPr>
        <w:t xml:space="preserve">eclaration, bidders must identify </w:t>
      </w:r>
      <w:r w:rsidRPr="00E30BE8">
        <w:rPr>
          <w:color w:val="000000"/>
          <w:szCs w:val="24"/>
        </w:rPr>
        <w:t xml:space="preserve">all </w:t>
      </w:r>
      <w:r w:rsidRPr="006B523D">
        <w:rPr>
          <w:color w:val="000000"/>
          <w:szCs w:val="24"/>
        </w:rPr>
        <w:t>subcontractors proposed for participation in the contract</w:t>
      </w:r>
      <w:r>
        <w:rPr>
          <w:color w:val="000000"/>
          <w:szCs w:val="24"/>
        </w:rPr>
        <w:t xml:space="preserve"> (See RFP Section 3.2.9)</w:t>
      </w:r>
      <w:r w:rsidRPr="006B523D">
        <w:rPr>
          <w:color w:val="000000"/>
          <w:szCs w:val="24"/>
        </w:rPr>
        <w:t xml:space="preserve">. Bidders </w:t>
      </w:r>
      <w:r>
        <w:rPr>
          <w:color w:val="000000"/>
          <w:szCs w:val="24"/>
        </w:rPr>
        <w:t>must</w:t>
      </w:r>
      <w:r w:rsidRPr="006B523D">
        <w:rPr>
          <w:color w:val="000000"/>
          <w:szCs w:val="24"/>
        </w:rPr>
        <w:t xml:space="preserve"> identify the percentage figure representing the </w:t>
      </w:r>
      <w:r>
        <w:rPr>
          <w:color w:val="000000"/>
          <w:szCs w:val="24"/>
        </w:rPr>
        <w:t>percentage</w:t>
      </w:r>
      <w:r w:rsidRPr="006B523D">
        <w:rPr>
          <w:color w:val="000000"/>
          <w:szCs w:val="24"/>
        </w:rPr>
        <w:t xml:space="preserve"> of participation for each </w:t>
      </w:r>
      <w:r>
        <w:rPr>
          <w:color w:val="000000"/>
          <w:szCs w:val="24"/>
        </w:rPr>
        <w:t xml:space="preserve">subcontractor, including the DVBE </w:t>
      </w:r>
      <w:r w:rsidRPr="006B523D">
        <w:rPr>
          <w:color w:val="000000"/>
          <w:szCs w:val="24"/>
        </w:rPr>
        <w:t>subcontractor</w:t>
      </w:r>
      <w:r>
        <w:rPr>
          <w:color w:val="000000"/>
          <w:szCs w:val="24"/>
        </w:rPr>
        <w:t>,</w:t>
      </w:r>
      <w:r w:rsidRPr="006B523D">
        <w:rPr>
          <w:color w:val="000000"/>
          <w:szCs w:val="24"/>
        </w:rPr>
        <w:t xml:space="preserve"> rather than </w:t>
      </w:r>
      <w:proofErr w:type="gramStart"/>
      <w:r w:rsidRPr="006B523D">
        <w:rPr>
          <w:color w:val="000000"/>
          <w:szCs w:val="24"/>
        </w:rPr>
        <w:t>an</w:t>
      </w:r>
      <w:proofErr w:type="gramEnd"/>
      <w:r w:rsidRPr="006B523D">
        <w:rPr>
          <w:color w:val="000000"/>
          <w:szCs w:val="24"/>
        </w:rPr>
        <w:t xml:space="preserve"> actual dollar figure. No actual dollar figures should appear on the </w:t>
      </w:r>
      <w:r>
        <w:rPr>
          <w:color w:val="000000"/>
          <w:szCs w:val="24"/>
        </w:rPr>
        <w:t>Bidder Declaration</w:t>
      </w:r>
      <w:r w:rsidRPr="006B523D">
        <w:rPr>
          <w:color w:val="000000"/>
          <w:szCs w:val="24"/>
        </w:rPr>
        <w:t>.</w:t>
      </w:r>
      <w:r>
        <w:rPr>
          <w:color w:val="000000"/>
          <w:szCs w:val="24"/>
        </w:rPr>
        <w:t xml:space="preserve"> The Bidder Declaration form can be found at </w:t>
      </w:r>
      <w:hyperlink r:id="rId20" w:tooltip="Bidder Declaration Form (GSPD-05-105) on the DGS website" w:history="1">
        <w:r w:rsidRPr="008328D9">
          <w:rPr>
            <w:rStyle w:val="Hyperlink"/>
          </w:rPr>
          <w:t>https://www.documents.dgs.ca.gov/dgs/fmc/gs/pd/gspd05-105.pdf</w:t>
        </w:r>
      </w:hyperlink>
      <w:r>
        <w:t>.</w:t>
      </w:r>
    </w:p>
    <w:p w14:paraId="538A8311" w14:textId="30500067" w:rsidR="00BB222A" w:rsidRDefault="00BB222A" w:rsidP="007A7EC6">
      <w:pPr>
        <w:pStyle w:val="ListParagraph"/>
        <w:numPr>
          <w:ilvl w:val="0"/>
          <w:numId w:val="60"/>
        </w:numPr>
        <w:spacing w:before="240" w:after="240"/>
      </w:pPr>
      <w:r>
        <w:t>DVBE Subcontractor Commitment Letter</w:t>
      </w:r>
    </w:p>
    <w:p w14:paraId="03D2F41A" w14:textId="77777777" w:rsidR="00BB222A" w:rsidRDefault="00BB222A" w:rsidP="007A7EC6">
      <w:pPr>
        <w:spacing w:before="240" w:after="240"/>
        <w:ind w:left="1080"/>
      </w:pPr>
      <w:r>
        <w:t xml:space="preserve">The Technical Proposal must include a subcontractor commitment letter from each DVBE subcontractor </w:t>
      </w:r>
      <w:r w:rsidRPr="00E30BE8">
        <w:rPr>
          <w:rFonts w:eastAsia="Times New Roman" w:cs="Arial"/>
          <w:snapToGrid w:val="0"/>
          <w:szCs w:val="20"/>
        </w:rPr>
        <w:t>signed by an official representative of each subcontractor or independent consultant, acknowledging their intended participation/availability and confirmation that they have been made aware of the terms and conditions of the proposed contract</w:t>
      </w:r>
      <w:r>
        <w:rPr>
          <w:rFonts w:eastAsia="Times New Roman" w:cs="Arial"/>
          <w:snapToGrid w:val="0"/>
          <w:szCs w:val="20"/>
        </w:rPr>
        <w:t>.</w:t>
      </w:r>
      <w:r w:rsidRPr="00E30BE8">
        <w:rPr>
          <w:rFonts w:cs="Arial"/>
        </w:rPr>
        <w:t xml:space="preserve"> No cost should be included in the </w:t>
      </w:r>
      <w:proofErr w:type="gramStart"/>
      <w:r w:rsidRPr="00E30BE8">
        <w:rPr>
          <w:rFonts w:cs="Arial"/>
        </w:rPr>
        <w:t>commitment letter</w:t>
      </w:r>
      <w:proofErr w:type="gramEnd"/>
      <w:r w:rsidRPr="00E30BE8">
        <w:rPr>
          <w:rFonts w:cs="Arial"/>
        </w:rPr>
        <w:t xml:space="preserve">. </w:t>
      </w:r>
      <w:r>
        <w:t>Each letter must include the solicitation number and be signed and dated with an original signature included in the original Technical Proposal and a copy of the letter included with each copy of the Technical Proposal.</w:t>
      </w:r>
    </w:p>
    <w:p w14:paraId="4EEB4384" w14:textId="16E5D587" w:rsidR="00BB222A" w:rsidRDefault="00BB222A" w:rsidP="007A7EC6">
      <w:pPr>
        <w:pStyle w:val="ListParagraph"/>
        <w:numPr>
          <w:ilvl w:val="0"/>
          <w:numId w:val="60"/>
        </w:numPr>
        <w:spacing w:before="240" w:after="240"/>
      </w:pPr>
      <w:r>
        <w:t>DVBE Certification</w:t>
      </w:r>
    </w:p>
    <w:p w14:paraId="3289F007" w14:textId="77777777" w:rsidR="00BB222A" w:rsidRDefault="00BB222A" w:rsidP="007A7EC6">
      <w:pPr>
        <w:spacing w:before="240" w:after="240"/>
        <w:ind w:left="1080"/>
      </w:pPr>
      <w:r>
        <w:t xml:space="preserve">The Technical Proposal must include a copy of the DVBE certification for each DVBE contractor/subcontractor. DVBE certification confirmation can be printed from Cal eProcure at </w:t>
      </w:r>
      <w:hyperlink r:id="rId21" w:tooltip="Cal eProcure website" w:history="1">
        <w:r w:rsidRPr="00B16785">
          <w:rPr>
            <w:rStyle w:val="Hyperlink"/>
          </w:rPr>
          <w:t>https://caleprocure.ca.gov/pages/PublicSearch/supplier-search.aspx</w:t>
        </w:r>
      </w:hyperlink>
      <w:r>
        <w:t>.</w:t>
      </w:r>
    </w:p>
    <w:p w14:paraId="70CA048C" w14:textId="7D8C43A5" w:rsidR="00BB222A" w:rsidRDefault="00BB222A" w:rsidP="007A7EC6">
      <w:pPr>
        <w:pStyle w:val="ListParagraph"/>
        <w:numPr>
          <w:ilvl w:val="0"/>
          <w:numId w:val="60"/>
        </w:numPr>
        <w:spacing w:before="240" w:after="240"/>
      </w:pPr>
      <w:r>
        <w:t>Disabled Veteran Business Enterprise (DVBE) Declaration (STD. 843)</w:t>
      </w:r>
    </w:p>
    <w:p w14:paraId="2EAE07D8" w14:textId="5F2E446D" w:rsidR="00BB222A" w:rsidRPr="00FA4707" w:rsidRDefault="00BB222A" w:rsidP="007A7EC6">
      <w:pPr>
        <w:spacing w:before="240" w:after="240"/>
        <w:ind w:left="1080"/>
        <w:rPr>
          <w:rStyle w:val="Hyperlink"/>
          <w:color w:val="auto"/>
          <w:u w:val="none"/>
        </w:rPr>
      </w:pPr>
      <w:r>
        <w:t xml:space="preserve">The </w:t>
      </w:r>
      <w:r w:rsidRPr="00B64110">
        <w:t>DVBE Declaration form</w:t>
      </w:r>
      <w:r>
        <w:t xml:space="preserve"> (STD. 843) must be completed in accordance with the instructions on the form for all DVBE entities who will work on this project. The DVBE Declaration form will be used to confirm compliance with DVBE participation requirements as specified herein and Attachment 9. The form must be completed, signed and dated with an original signature on the form included in the original Technical Proposal and a copy of the form included with each copy of the Technical Proposal. The DVBE Declaration form can be found at </w:t>
      </w:r>
      <w:hyperlink r:id="rId22" w:tooltip="Disabled Veteran Business Enterprise Declaration Form (STD 843) on the DGS website" w:history="1">
        <w:r w:rsidRPr="0050695F">
          <w:rPr>
            <w:rStyle w:val="Hyperlink"/>
          </w:rPr>
          <w:t>https://www.documents.dgs.ca.gov/dgs/fmc/gs/pd/pd_843.pdf</w:t>
        </w:r>
      </w:hyperlink>
      <w:r>
        <w:t>.</w:t>
      </w:r>
    </w:p>
    <w:p w14:paraId="4104AADB" w14:textId="6F851870" w:rsidR="00BB222A" w:rsidRPr="00BC067B" w:rsidRDefault="00BB222A" w:rsidP="00BC067B">
      <w:pPr>
        <w:spacing w:before="240" w:after="240"/>
        <w:ind w:left="720"/>
        <w:rPr>
          <w:color w:val="000000"/>
          <w:szCs w:val="24"/>
        </w:rPr>
      </w:pPr>
      <w:r>
        <w:rPr>
          <w:color w:val="000000"/>
          <w:szCs w:val="24"/>
        </w:rPr>
        <w:t xml:space="preserve">The successful bidder is </w:t>
      </w:r>
      <w:r w:rsidRPr="001B68F6">
        <w:rPr>
          <w:color w:val="000000"/>
          <w:szCs w:val="24"/>
        </w:rPr>
        <w:t>contractually obligated to use the subcontractors for the</w:t>
      </w:r>
      <w:r>
        <w:rPr>
          <w:color w:val="000000"/>
          <w:szCs w:val="24"/>
        </w:rPr>
        <w:t xml:space="preserve"> corresponding w</w:t>
      </w:r>
      <w:r w:rsidRPr="001B68F6">
        <w:rPr>
          <w:color w:val="000000"/>
          <w:szCs w:val="24"/>
        </w:rPr>
        <w:t xml:space="preserve">ork identified unless the </w:t>
      </w:r>
      <w:r>
        <w:rPr>
          <w:color w:val="000000"/>
          <w:szCs w:val="24"/>
        </w:rPr>
        <w:t xml:space="preserve">CDE </w:t>
      </w:r>
      <w:r w:rsidRPr="001B68F6">
        <w:rPr>
          <w:color w:val="000000"/>
          <w:szCs w:val="24"/>
        </w:rPr>
        <w:t>agrees to a substitution and it is incorporated by</w:t>
      </w:r>
      <w:r>
        <w:rPr>
          <w:color w:val="000000"/>
          <w:szCs w:val="24"/>
        </w:rPr>
        <w:t xml:space="preserve"> </w:t>
      </w:r>
      <w:r w:rsidRPr="001B68F6">
        <w:rPr>
          <w:color w:val="000000"/>
          <w:szCs w:val="24"/>
        </w:rPr>
        <w:t>amendment to the contract</w:t>
      </w:r>
      <w:r>
        <w:rPr>
          <w:color w:val="000000"/>
          <w:szCs w:val="24"/>
        </w:rPr>
        <w:t xml:space="preserve"> (See RFP Section 11.10)</w:t>
      </w:r>
      <w:r w:rsidRPr="001B68F6">
        <w:rPr>
          <w:color w:val="000000"/>
          <w:szCs w:val="24"/>
        </w:rPr>
        <w:t>.</w:t>
      </w:r>
      <w:r>
        <w:rPr>
          <w:color w:val="000000"/>
          <w:szCs w:val="24"/>
        </w:rPr>
        <w:t xml:space="preserve"> Bidders must provide notification to DVBE subcontractors immediately after an award is announced by the CDE.</w:t>
      </w:r>
    </w:p>
    <w:p w14:paraId="32A6E772" w14:textId="77777777" w:rsidR="00537458" w:rsidRDefault="00537458" w:rsidP="00537458">
      <w:pPr>
        <w:pStyle w:val="ListParagraph"/>
        <w:numPr>
          <w:ilvl w:val="1"/>
          <w:numId w:val="9"/>
        </w:numPr>
        <w:spacing w:before="240" w:after="240"/>
        <w:ind w:left="720" w:hanging="720"/>
        <w:contextualSpacing w:val="0"/>
      </w:pPr>
      <w:r w:rsidRPr="00CB46E0">
        <w:t>Target Area Contract Preference Act</w:t>
      </w:r>
    </w:p>
    <w:p w14:paraId="4809BF34" w14:textId="7BD80EC3" w:rsidR="00537458" w:rsidRDefault="00537458" w:rsidP="00537458">
      <w:pPr>
        <w:pStyle w:val="ListParagraph"/>
        <w:spacing w:before="240" w:after="240"/>
        <w:contextualSpacing w:val="0"/>
      </w:pPr>
      <w:r w:rsidRPr="00BC3C65">
        <w:t>Information regarding this preference program may be obtained at</w:t>
      </w:r>
      <w:r>
        <w:t xml:space="preserve"> the </w:t>
      </w:r>
      <w:r w:rsidRPr="006F7F36">
        <w:t xml:space="preserve">Department of General Services, Preference Unit </w:t>
      </w:r>
      <w:r w:rsidR="00756EC6">
        <w:t>w</w:t>
      </w:r>
      <w:r w:rsidRPr="006F7F36">
        <w:t>ebsite</w:t>
      </w:r>
      <w:r>
        <w:t xml:space="preserve">, </w:t>
      </w:r>
      <w:hyperlink r:id="rId23" w:tooltip="Request Target Area Contract Preference page on the DGS website" w:history="1">
        <w:r w:rsidR="000A4BE8">
          <w:rPr>
            <w:rStyle w:val="Hyperlink"/>
          </w:rPr>
          <w:t>https://www.dgs.ca.gov/PD/Services/Page-Content/Procurement-Division-Services-List-Folder/Request-Target-Area-Contract-</w:t>
        </w:r>
        <w:r w:rsidR="000A4BE8">
          <w:rPr>
            <w:rStyle w:val="Hyperlink"/>
          </w:rPr>
          <w:lastRenderedPageBreak/>
          <w:t>Preference</w:t>
        </w:r>
      </w:hyperlink>
      <w:r>
        <w:t xml:space="preserve">. </w:t>
      </w:r>
      <w:r w:rsidRPr="00BC3C65">
        <w:t>Bidders seeking to obtain a Target Area Contract Preference Act (TACPA) preference must complete and submit the</w:t>
      </w:r>
      <w:r>
        <w:t xml:space="preserve"> </w:t>
      </w:r>
      <w:r w:rsidRPr="006F7F36">
        <w:t>TACPA Preference Request STD. 830</w:t>
      </w:r>
      <w:r w:rsidRPr="00BC3C65">
        <w:t xml:space="preserve"> </w:t>
      </w:r>
      <w:r>
        <w:t xml:space="preserve">with their proposal submission. The TACPA Preference Request form can be found </w:t>
      </w:r>
      <w:r w:rsidR="00BE60C6">
        <w:t xml:space="preserve">on the DGS website </w:t>
      </w:r>
      <w:r>
        <w:t xml:space="preserve">at </w:t>
      </w:r>
      <w:hyperlink r:id="rId24" w:tooltip="Target Area Contract Preference Act Preference Request form (STD830) on the DGS website" w:history="1">
        <w:r>
          <w:rPr>
            <w:rStyle w:val="Hyperlink"/>
          </w:rPr>
          <w:t>http://www.documents.dgs.ca.gov/dgs/fmc/pdf/std830.pdf</w:t>
        </w:r>
      </w:hyperlink>
      <w:r>
        <w:rPr>
          <w:rStyle w:val="Hyperlink"/>
          <w:color w:val="auto"/>
          <w:u w:val="none"/>
        </w:rPr>
        <w:t>.</w:t>
      </w:r>
    </w:p>
    <w:p w14:paraId="7D7A179D" w14:textId="546547C6" w:rsidR="00D4520D" w:rsidRDefault="00D4520D" w:rsidP="00D4520D">
      <w:pPr>
        <w:pStyle w:val="Heading4"/>
      </w:pPr>
      <w:r>
        <w:t>3.2.1</w:t>
      </w:r>
      <w:r w:rsidR="00851FC7">
        <w:t>6</w:t>
      </w:r>
      <w:r>
        <w:t xml:space="preserve"> Generative Artificial Intelligence (GenAI) Disclosure Notification</w:t>
      </w:r>
    </w:p>
    <w:p w14:paraId="6A02535C" w14:textId="77777777" w:rsidR="005F0064" w:rsidRDefault="005F0064" w:rsidP="00851FC7">
      <w:pPr>
        <w:spacing w:after="240"/>
      </w:pPr>
      <w:r>
        <w:t>The State of California seeks to realize the potential benefits of GenAI, through the development and deployment of GenAI tools, while balancing the risks of these new technologies.</w:t>
      </w:r>
    </w:p>
    <w:p w14:paraId="7644D5A6" w14:textId="77777777" w:rsidR="005F0064" w:rsidRDefault="005F0064" w:rsidP="00851FC7">
      <w:pPr>
        <w:spacing w:after="240"/>
      </w:pPr>
      <w:r>
        <w:t>Bidder / Offeror must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w:t>
      </w:r>
    </w:p>
    <w:p w14:paraId="49C52A5B" w14:textId="77777777" w:rsidR="005F0064" w:rsidRDefault="005F0064" w:rsidP="00851FC7">
      <w:pPr>
        <w:spacing w:after="240"/>
      </w:pPr>
      <w:r>
        <w:t xml:space="preserve">Failure to report GenAI to the State may result in disqualification. The State reserves the right to seek </w:t>
      </w:r>
      <w:proofErr w:type="gramStart"/>
      <w:r>
        <w:t>any and all</w:t>
      </w:r>
      <w:proofErr w:type="gramEnd"/>
      <w:r>
        <w:t xml:space="preserve"> relief to which it may be entitled to </w:t>
      </w:r>
      <w:proofErr w:type="gramStart"/>
      <w:r>
        <w:t>as a result of</w:t>
      </w:r>
      <w:proofErr w:type="gramEnd"/>
      <w:r>
        <w:t xml:space="preserve"> such non-disclosure.</w:t>
      </w:r>
    </w:p>
    <w:p w14:paraId="2BF6B203" w14:textId="77777777" w:rsidR="005F0064" w:rsidRDefault="005F0064" w:rsidP="00851FC7">
      <w:pPr>
        <w:spacing w:after="240"/>
      </w:pPr>
      <w:r>
        <w:t>Upon notification by a Bidder / Offeror of GenAI as required, the State reserves the right to incorporate GenAI Special Provisions into the final contract or reject bids/offers that present an unacceptable level of risk to the State.</w:t>
      </w:r>
    </w:p>
    <w:p w14:paraId="5707E23B" w14:textId="5346097D" w:rsidR="00D4520D" w:rsidRPr="00D4520D" w:rsidRDefault="005F0064" w:rsidP="00851FC7">
      <w:pPr>
        <w:spacing w:after="240"/>
      </w:pPr>
      <w:r>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38F90FF9" w14:textId="157D2827" w:rsidR="00537458" w:rsidRPr="006A0010" w:rsidRDefault="00537458" w:rsidP="00F67ED5">
      <w:pPr>
        <w:pStyle w:val="Heading3"/>
        <w:rPr>
          <w:sz w:val="24"/>
        </w:rPr>
      </w:pPr>
      <w:r>
        <w:t xml:space="preserve">3.3 </w:t>
      </w:r>
      <w:r w:rsidRPr="00BE4223">
        <w:t>Cost Proposal Requirements</w:t>
      </w:r>
    </w:p>
    <w:p w14:paraId="7F8249ED" w14:textId="2B743058" w:rsidR="0089438D" w:rsidRDefault="0089438D" w:rsidP="0089438D">
      <w:pPr>
        <w:widowControl w:val="0"/>
        <w:spacing w:before="240" w:after="240"/>
        <w:rPr>
          <w:rFonts w:cs="Arial"/>
        </w:rPr>
      </w:pPr>
      <w:r>
        <w:t xml:space="preserve">Each bidder must submit a Cost Proposal that contains </w:t>
      </w:r>
      <w:proofErr w:type="gramStart"/>
      <w:r>
        <w:t>all of</w:t>
      </w:r>
      <w:proofErr w:type="gramEnd"/>
      <w:r>
        <w:t xml:space="preserve"> the required items listed below. One original </w:t>
      </w:r>
      <w:r w:rsidR="00197061">
        <w:t xml:space="preserve">hardcopy </w:t>
      </w:r>
      <w:r>
        <w:t xml:space="preserve">(clearly marked original), three (3) copies </w:t>
      </w:r>
      <w:r w:rsidR="00197061">
        <w:t xml:space="preserve">(hardcopies) </w:t>
      </w:r>
      <w:r>
        <w:t>of the Cost Proposal, and one electronic copy of the Cost Proposal’s complete submission on a portable</w:t>
      </w:r>
      <w:r w:rsidR="00197061">
        <w:t xml:space="preserve"> USB</w:t>
      </w:r>
      <w:r>
        <w:t xml:space="preserve"> drive (must be separate from the Technical Proposal’s electronic portable </w:t>
      </w:r>
      <w:r w:rsidR="00197061">
        <w:t xml:space="preserve">USB </w:t>
      </w:r>
      <w:r>
        <w:t xml:space="preserve">drive), must </w:t>
      </w:r>
      <w:proofErr w:type="gramStart"/>
      <w:r>
        <w:t>be submitted</w:t>
      </w:r>
      <w:proofErr w:type="gramEnd"/>
      <w:r>
        <w:t xml:space="preserve"> sealed, marked, and packaged separately from the Technical Proposal.</w:t>
      </w:r>
    </w:p>
    <w:p w14:paraId="45E69461" w14:textId="74399655" w:rsidR="00537458" w:rsidRDefault="00537458" w:rsidP="0089438D">
      <w:pPr>
        <w:widowControl w:val="0"/>
        <w:spacing w:before="240" w:after="240"/>
        <w:rPr>
          <w:rFonts w:cs="Arial"/>
        </w:rPr>
      </w:pPr>
      <w:r w:rsidRPr="00C75525">
        <w:rPr>
          <w:rFonts w:cs="Arial"/>
        </w:rPr>
        <w:t>The contract will be awarded to the lowest responsible bidder meeting the requirements of this RFP. The Cost Proposal</w:t>
      </w:r>
      <w:r w:rsidRPr="00C75525" w:rsidDel="002B5835">
        <w:rPr>
          <w:rFonts w:cs="Arial"/>
        </w:rPr>
        <w:t xml:space="preserve"> </w:t>
      </w:r>
      <w:r w:rsidRPr="00C75525">
        <w:rPr>
          <w:rFonts w:cs="Arial"/>
        </w:rPr>
        <w:t>will NOT be opened unless the technical proposal has successfully met the requirements of Phase I</w:t>
      </w:r>
      <w:r w:rsidR="00DA0D5D">
        <w:rPr>
          <w:rFonts w:cs="Arial"/>
        </w:rPr>
        <w:t>,</w:t>
      </w:r>
      <w:r>
        <w:rPr>
          <w:rFonts w:cs="Arial"/>
        </w:rPr>
        <w:t xml:space="preserve"> II</w:t>
      </w:r>
      <w:r w:rsidR="00DA0D5D">
        <w:rPr>
          <w:rFonts w:cs="Arial"/>
        </w:rPr>
        <w:t>, III, and IV</w:t>
      </w:r>
      <w:r w:rsidRPr="00C75525">
        <w:rPr>
          <w:rFonts w:cs="Arial"/>
        </w:rPr>
        <w:t xml:space="preserve"> </w:t>
      </w:r>
      <w:r w:rsidR="000A4BE8">
        <w:rPr>
          <w:rFonts w:cs="Arial"/>
        </w:rPr>
        <w:t xml:space="preserve">of the </w:t>
      </w:r>
      <w:r w:rsidRPr="00C75525">
        <w:rPr>
          <w:rFonts w:cs="Arial"/>
        </w:rPr>
        <w:t xml:space="preserve">Technical </w:t>
      </w:r>
      <w:r w:rsidR="000A4BE8">
        <w:rPr>
          <w:rFonts w:cs="Arial"/>
        </w:rPr>
        <w:t xml:space="preserve">Proposal </w:t>
      </w:r>
      <w:r w:rsidRPr="00C75525">
        <w:rPr>
          <w:rFonts w:cs="Arial"/>
        </w:rPr>
        <w:t xml:space="preserve">Evaluation (see RFP Section </w:t>
      </w:r>
      <w:r w:rsidR="00DC395C">
        <w:rPr>
          <w:rFonts w:cs="Arial"/>
        </w:rPr>
        <w:t>4</w:t>
      </w:r>
      <w:r w:rsidRPr="00C75525">
        <w:rPr>
          <w:rFonts w:cs="Arial"/>
        </w:rPr>
        <w:t xml:space="preserve"> and Attachment 1</w:t>
      </w:r>
      <w:r w:rsidR="00114B63">
        <w:rPr>
          <w:rFonts w:cs="Arial"/>
        </w:rPr>
        <w:t>4</w:t>
      </w:r>
      <w:r w:rsidRPr="00C75525">
        <w:rPr>
          <w:rFonts w:cs="Arial"/>
        </w:rPr>
        <w:t xml:space="preserve">). The lowest </w:t>
      </w:r>
      <w:proofErr w:type="gramStart"/>
      <w:r w:rsidRPr="00C75525">
        <w:rPr>
          <w:rFonts w:cs="Arial"/>
        </w:rPr>
        <w:t>responsible bidder</w:t>
      </w:r>
      <w:proofErr w:type="gramEnd"/>
      <w:r w:rsidRPr="00C75525">
        <w:rPr>
          <w:rFonts w:cs="Arial"/>
        </w:rPr>
        <w:t xml:space="preserve"> will be determined by the lowest total amount for the overall contract. The resulting contract will be a cost reimbursement contract</w:t>
      </w:r>
      <w:r>
        <w:rPr>
          <w:rFonts w:cs="Arial"/>
        </w:rPr>
        <w:t xml:space="preserve"> using the Cost Proposal as the contract budget</w:t>
      </w:r>
      <w:r w:rsidRPr="00C75525">
        <w:rPr>
          <w:rFonts w:cs="Arial"/>
        </w:rPr>
        <w:t xml:space="preserve">. (Refer to RFP, Section </w:t>
      </w:r>
      <w:r w:rsidR="00132985">
        <w:rPr>
          <w:rFonts w:cs="Arial"/>
        </w:rPr>
        <w:t>2</w:t>
      </w:r>
      <w:r w:rsidRPr="00C75525">
        <w:rPr>
          <w:rFonts w:cs="Arial"/>
        </w:rPr>
        <w:t>.</w:t>
      </w:r>
      <w:r>
        <w:rPr>
          <w:rFonts w:cs="Arial"/>
        </w:rPr>
        <w:t>8</w:t>
      </w:r>
      <w:r w:rsidRPr="00C75525">
        <w:rPr>
          <w:rFonts w:cs="Arial"/>
        </w:rPr>
        <w:t xml:space="preserve"> for the definition of </w:t>
      </w:r>
      <w:r>
        <w:rPr>
          <w:rFonts w:cs="Arial"/>
        </w:rPr>
        <w:t>“</w:t>
      </w:r>
      <w:r w:rsidRPr="00F96166">
        <w:rPr>
          <w:rFonts w:cs="Arial"/>
        </w:rPr>
        <w:t>cost reimbursement</w:t>
      </w:r>
      <w:r>
        <w:rPr>
          <w:rFonts w:cs="Arial"/>
        </w:rPr>
        <w:t>”</w:t>
      </w:r>
      <w:r w:rsidRPr="00F96166">
        <w:rPr>
          <w:rFonts w:cs="Arial"/>
        </w:rPr>
        <w:t>).</w:t>
      </w:r>
    </w:p>
    <w:p w14:paraId="39D72DAC" w14:textId="5C2F907B" w:rsidR="00537458" w:rsidRDefault="004564C9" w:rsidP="00537458">
      <w:pPr>
        <w:pStyle w:val="Heading4"/>
      </w:pPr>
      <w:r>
        <w:t>3</w:t>
      </w:r>
      <w:r w:rsidR="00537458">
        <w:t>.3.1 Cost Proposal Specifications</w:t>
      </w:r>
    </w:p>
    <w:p w14:paraId="0EFFF08F" w14:textId="3D279A23" w:rsidR="00537458" w:rsidRPr="000A4BE8" w:rsidRDefault="00537458" w:rsidP="00537458">
      <w:pPr>
        <w:tabs>
          <w:tab w:val="left" w:pos="-1440"/>
        </w:tabs>
        <w:spacing w:before="240" w:after="240"/>
        <w:rPr>
          <w:rFonts w:cs="Arial"/>
          <w:szCs w:val="24"/>
        </w:rPr>
      </w:pPr>
      <w:r w:rsidRPr="007A67BF">
        <w:rPr>
          <w:rFonts w:cs="Arial"/>
          <w:szCs w:val="24"/>
        </w:rPr>
        <w:t xml:space="preserve">The following </w:t>
      </w:r>
      <w:r w:rsidRPr="000A4BE8">
        <w:rPr>
          <w:rFonts w:cs="Arial"/>
          <w:szCs w:val="24"/>
        </w:rPr>
        <w:t xml:space="preserve">fiscal years must be addressed in the </w:t>
      </w:r>
      <w:r w:rsidRPr="000A4BE8">
        <w:rPr>
          <w:rFonts w:cs="Arial"/>
        </w:rPr>
        <w:t>Cost Proposal</w:t>
      </w:r>
      <w:r w:rsidRPr="000A4BE8">
        <w:rPr>
          <w:rFonts w:cs="Arial"/>
          <w:szCs w:val="24"/>
        </w:rPr>
        <w:t xml:space="preserve">. The following proposed term of the contract spans </w:t>
      </w:r>
      <w:r w:rsidR="00693698" w:rsidRPr="000A4BE8">
        <w:rPr>
          <w:rFonts w:cs="Arial"/>
          <w:szCs w:val="24"/>
        </w:rPr>
        <w:t>three</w:t>
      </w:r>
      <w:r w:rsidRPr="000A4BE8">
        <w:rPr>
          <w:rFonts w:cs="Arial"/>
          <w:szCs w:val="24"/>
        </w:rPr>
        <w:t xml:space="preserve"> fiscal years, for a total of </w:t>
      </w:r>
      <w:r w:rsidR="000A4BE8" w:rsidRPr="000A4BE8">
        <w:rPr>
          <w:rFonts w:cs="Arial"/>
          <w:szCs w:val="24"/>
        </w:rPr>
        <w:t xml:space="preserve">24 </w:t>
      </w:r>
      <w:r w:rsidRPr="000A4BE8">
        <w:rPr>
          <w:rFonts w:cs="Arial"/>
          <w:szCs w:val="24"/>
        </w:rPr>
        <w:t xml:space="preserve">months (refer to RFP, Section </w:t>
      </w:r>
      <w:r w:rsidR="00693698" w:rsidRPr="000A4BE8">
        <w:rPr>
          <w:rFonts w:cs="Arial"/>
          <w:szCs w:val="24"/>
        </w:rPr>
        <w:t>2</w:t>
      </w:r>
      <w:r w:rsidRPr="000A4BE8">
        <w:rPr>
          <w:rFonts w:cs="Arial"/>
          <w:szCs w:val="24"/>
        </w:rPr>
        <w:t xml:space="preserve">.8 for the definition of “fiscal year.”). </w:t>
      </w:r>
      <w:r w:rsidRPr="000A4BE8">
        <w:rPr>
          <w:rFonts w:eastAsia="Times New Roman" w:cs="Arial"/>
          <w:bCs/>
          <w:snapToGrid w:val="0"/>
          <w:szCs w:val="20"/>
        </w:rPr>
        <w:t>The fiscal years defined in this RFP are as follows:</w:t>
      </w:r>
    </w:p>
    <w:p w14:paraId="55A030D5" w14:textId="300F8AA2" w:rsidR="00537458" w:rsidRPr="001D345A" w:rsidRDefault="00537458" w:rsidP="001D345A">
      <w:pPr>
        <w:pStyle w:val="ListParagraph"/>
        <w:numPr>
          <w:ilvl w:val="0"/>
          <w:numId w:val="62"/>
        </w:numPr>
        <w:spacing w:after="240"/>
        <w:rPr>
          <w:rFonts w:eastAsia="Times New Roman" w:cs="Arial"/>
          <w:bCs/>
          <w:snapToGrid w:val="0"/>
          <w:szCs w:val="20"/>
        </w:rPr>
      </w:pPr>
      <w:r w:rsidRPr="001D345A">
        <w:rPr>
          <w:rFonts w:eastAsia="Times New Roman" w:cs="Arial"/>
          <w:bCs/>
          <w:snapToGrid w:val="0"/>
          <w:szCs w:val="20"/>
        </w:rPr>
        <w:lastRenderedPageBreak/>
        <w:t>202</w:t>
      </w:r>
      <w:r w:rsidR="000A4BE8" w:rsidRPr="001D345A">
        <w:rPr>
          <w:rFonts w:eastAsia="Times New Roman" w:cs="Arial"/>
          <w:bCs/>
          <w:snapToGrid w:val="0"/>
          <w:szCs w:val="20"/>
        </w:rPr>
        <w:t>6</w:t>
      </w:r>
      <w:r w:rsidRPr="001D345A">
        <w:rPr>
          <w:rFonts w:eastAsia="Times New Roman" w:cs="Arial"/>
          <w:bCs/>
          <w:snapToGrid w:val="0"/>
          <w:szCs w:val="20"/>
        </w:rPr>
        <w:t>–202</w:t>
      </w:r>
      <w:r w:rsidR="000A4BE8" w:rsidRPr="001D345A">
        <w:rPr>
          <w:rFonts w:eastAsia="Times New Roman" w:cs="Arial"/>
          <w:bCs/>
          <w:snapToGrid w:val="0"/>
          <w:szCs w:val="20"/>
        </w:rPr>
        <w:t>7</w:t>
      </w:r>
      <w:r w:rsidRPr="001D345A">
        <w:rPr>
          <w:rFonts w:eastAsia="Times New Roman" w:cs="Arial"/>
          <w:bCs/>
          <w:snapToGrid w:val="0"/>
          <w:szCs w:val="20"/>
        </w:rPr>
        <w:t xml:space="preserve">: </w:t>
      </w:r>
      <w:r w:rsidR="000A4BE8" w:rsidRPr="001D345A">
        <w:rPr>
          <w:rFonts w:eastAsia="Times New Roman" w:cs="Arial"/>
          <w:bCs/>
          <w:snapToGrid w:val="0"/>
          <w:szCs w:val="20"/>
        </w:rPr>
        <w:t>January 1, 2027</w:t>
      </w:r>
      <w:r w:rsidRPr="001D345A">
        <w:rPr>
          <w:rFonts w:eastAsia="Times New Roman" w:cs="Arial"/>
          <w:bCs/>
          <w:snapToGrid w:val="0"/>
          <w:szCs w:val="20"/>
        </w:rPr>
        <w:t xml:space="preserve"> – June 30, 202</w:t>
      </w:r>
      <w:r w:rsidR="000A4BE8" w:rsidRPr="001D345A">
        <w:rPr>
          <w:rFonts w:eastAsia="Times New Roman" w:cs="Arial"/>
          <w:bCs/>
          <w:snapToGrid w:val="0"/>
          <w:szCs w:val="20"/>
        </w:rPr>
        <w:t>7</w:t>
      </w:r>
    </w:p>
    <w:p w14:paraId="7D7E4A7E" w14:textId="6E71C614" w:rsidR="00537458" w:rsidRPr="001D345A" w:rsidRDefault="00537458" w:rsidP="001D345A">
      <w:pPr>
        <w:pStyle w:val="ListParagraph"/>
        <w:numPr>
          <w:ilvl w:val="0"/>
          <w:numId w:val="62"/>
        </w:numPr>
        <w:spacing w:after="240"/>
        <w:rPr>
          <w:rFonts w:eastAsia="Times New Roman" w:cs="Arial"/>
          <w:bCs/>
          <w:snapToGrid w:val="0"/>
          <w:szCs w:val="20"/>
        </w:rPr>
      </w:pPr>
      <w:r w:rsidRPr="001D345A">
        <w:rPr>
          <w:rFonts w:eastAsia="Times New Roman" w:cs="Arial"/>
          <w:bCs/>
          <w:snapToGrid w:val="0"/>
          <w:szCs w:val="20"/>
        </w:rPr>
        <w:t>202</w:t>
      </w:r>
      <w:r w:rsidR="000A4BE8" w:rsidRPr="001D345A">
        <w:rPr>
          <w:rFonts w:eastAsia="Times New Roman" w:cs="Arial"/>
          <w:bCs/>
          <w:snapToGrid w:val="0"/>
          <w:szCs w:val="20"/>
        </w:rPr>
        <w:t>7</w:t>
      </w:r>
      <w:r w:rsidRPr="001D345A">
        <w:rPr>
          <w:rFonts w:eastAsia="Times New Roman" w:cs="Arial"/>
          <w:bCs/>
          <w:snapToGrid w:val="0"/>
          <w:szCs w:val="20"/>
        </w:rPr>
        <w:t>–202</w:t>
      </w:r>
      <w:r w:rsidR="000A4BE8" w:rsidRPr="001D345A">
        <w:rPr>
          <w:rFonts w:eastAsia="Times New Roman" w:cs="Arial"/>
          <w:bCs/>
          <w:snapToGrid w:val="0"/>
          <w:szCs w:val="20"/>
        </w:rPr>
        <w:t>8</w:t>
      </w:r>
      <w:r w:rsidRPr="001D345A">
        <w:rPr>
          <w:rFonts w:eastAsia="Times New Roman" w:cs="Arial"/>
          <w:bCs/>
          <w:snapToGrid w:val="0"/>
          <w:szCs w:val="20"/>
        </w:rPr>
        <w:t>: July 1, 202</w:t>
      </w:r>
      <w:r w:rsidR="000A4BE8" w:rsidRPr="001D345A">
        <w:rPr>
          <w:rFonts w:eastAsia="Times New Roman" w:cs="Arial"/>
          <w:bCs/>
          <w:snapToGrid w:val="0"/>
          <w:szCs w:val="20"/>
        </w:rPr>
        <w:t>7</w:t>
      </w:r>
      <w:r w:rsidRPr="001D345A">
        <w:rPr>
          <w:rFonts w:eastAsia="Times New Roman" w:cs="Arial"/>
          <w:bCs/>
          <w:snapToGrid w:val="0"/>
          <w:szCs w:val="20"/>
        </w:rPr>
        <w:t xml:space="preserve"> – June 30, 202</w:t>
      </w:r>
      <w:r w:rsidR="000A4BE8" w:rsidRPr="001D345A">
        <w:rPr>
          <w:rFonts w:eastAsia="Times New Roman" w:cs="Arial"/>
          <w:bCs/>
          <w:snapToGrid w:val="0"/>
          <w:szCs w:val="20"/>
        </w:rPr>
        <w:t>8</w:t>
      </w:r>
    </w:p>
    <w:p w14:paraId="70FCD249" w14:textId="630AAE34" w:rsidR="00537458" w:rsidRPr="001D345A" w:rsidRDefault="00537458" w:rsidP="001D345A">
      <w:pPr>
        <w:pStyle w:val="ListParagraph"/>
        <w:numPr>
          <w:ilvl w:val="0"/>
          <w:numId w:val="62"/>
        </w:numPr>
        <w:spacing w:after="240"/>
        <w:contextualSpacing w:val="0"/>
        <w:rPr>
          <w:rFonts w:eastAsia="Times New Roman" w:cs="Arial"/>
          <w:bCs/>
          <w:snapToGrid w:val="0"/>
          <w:szCs w:val="20"/>
        </w:rPr>
      </w:pPr>
      <w:r w:rsidRPr="001D345A">
        <w:rPr>
          <w:rFonts w:eastAsia="Times New Roman" w:cs="Arial"/>
          <w:bCs/>
          <w:snapToGrid w:val="0"/>
          <w:szCs w:val="20"/>
        </w:rPr>
        <w:t>202</w:t>
      </w:r>
      <w:r w:rsidR="000A4BE8" w:rsidRPr="001D345A">
        <w:rPr>
          <w:rFonts w:eastAsia="Times New Roman" w:cs="Arial"/>
          <w:bCs/>
          <w:snapToGrid w:val="0"/>
          <w:szCs w:val="20"/>
        </w:rPr>
        <w:t>8</w:t>
      </w:r>
      <w:r w:rsidRPr="001D345A">
        <w:rPr>
          <w:rFonts w:eastAsia="Times New Roman" w:cs="Arial"/>
          <w:bCs/>
          <w:snapToGrid w:val="0"/>
          <w:szCs w:val="20"/>
        </w:rPr>
        <w:t>–202</w:t>
      </w:r>
      <w:r w:rsidR="000A4BE8" w:rsidRPr="001D345A">
        <w:rPr>
          <w:rFonts w:eastAsia="Times New Roman" w:cs="Arial"/>
          <w:bCs/>
          <w:snapToGrid w:val="0"/>
          <w:szCs w:val="20"/>
        </w:rPr>
        <w:t>9</w:t>
      </w:r>
      <w:r w:rsidRPr="001D345A">
        <w:rPr>
          <w:rFonts w:eastAsia="Times New Roman" w:cs="Arial"/>
          <w:bCs/>
          <w:snapToGrid w:val="0"/>
          <w:szCs w:val="20"/>
        </w:rPr>
        <w:t>: July 1, 202</w:t>
      </w:r>
      <w:r w:rsidR="000A4BE8" w:rsidRPr="001D345A">
        <w:rPr>
          <w:rFonts w:eastAsia="Times New Roman" w:cs="Arial"/>
          <w:bCs/>
          <w:snapToGrid w:val="0"/>
          <w:szCs w:val="20"/>
        </w:rPr>
        <w:t>8</w:t>
      </w:r>
      <w:r w:rsidRPr="001D345A">
        <w:rPr>
          <w:rFonts w:eastAsia="Times New Roman" w:cs="Arial"/>
          <w:bCs/>
          <w:snapToGrid w:val="0"/>
          <w:szCs w:val="20"/>
        </w:rPr>
        <w:t xml:space="preserve"> – </w:t>
      </w:r>
      <w:r w:rsidR="000A4BE8" w:rsidRPr="001D345A">
        <w:rPr>
          <w:rFonts w:eastAsia="Times New Roman" w:cs="Arial"/>
          <w:bCs/>
          <w:snapToGrid w:val="0"/>
          <w:szCs w:val="20"/>
        </w:rPr>
        <w:t>December 31, 2028</w:t>
      </w:r>
    </w:p>
    <w:p w14:paraId="2E1C26F1" w14:textId="52C6B0A9" w:rsidR="00537458" w:rsidRDefault="00537458" w:rsidP="00537458">
      <w:pPr>
        <w:pStyle w:val="ListParagraph"/>
        <w:widowControl w:val="0"/>
        <w:spacing w:after="240"/>
        <w:ind w:left="0"/>
        <w:contextualSpacing w:val="0"/>
        <w:rPr>
          <w:rFonts w:cs="Arial"/>
          <w:szCs w:val="24"/>
        </w:rPr>
      </w:pPr>
      <w:r w:rsidRPr="00B37930">
        <w:rPr>
          <w:rFonts w:cs="Arial"/>
          <w:szCs w:val="24"/>
        </w:rPr>
        <w:t xml:space="preserve">The total contract bid amount must be for all tasks </w:t>
      </w:r>
      <w:r>
        <w:rPr>
          <w:rFonts w:cs="Arial"/>
          <w:szCs w:val="24"/>
        </w:rPr>
        <w:t xml:space="preserve">and subtasks </w:t>
      </w:r>
      <w:r w:rsidRPr="00B37930">
        <w:rPr>
          <w:rFonts w:cs="Arial"/>
          <w:szCs w:val="24"/>
        </w:rPr>
        <w:t>specified in the scope of the project</w:t>
      </w:r>
      <w:r>
        <w:rPr>
          <w:rFonts w:cs="Arial"/>
          <w:szCs w:val="24"/>
        </w:rPr>
        <w:t xml:space="preserve"> (Refer to Section </w:t>
      </w:r>
      <w:r w:rsidR="00DC395C">
        <w:rPr>
          <w:rFonts w:cs="Arial"/>
          <w:szCs w:val="24"/>
        </w:rPr>
        <w:t>7</w:t>
      </w:r>
      <w:r>
        <w:rPr>
          <w:rFonts w:cs="Arial"/>
          <w:szCs w:val="24"/>
        </w:rPr>
        <w:t>, Scope of Project, for required tasks and subtasks)</w:t>
      </w:r>
      <w:r w:rsidRPr="00B37930">
        <w:rPr>
          <w:rFonts w:cs="Arial"/>
          <w:szCs w:val="24"/>
        </w:rPr>
        <w:t xml:space="preserve">, including work </w:t>
      </w:r>
      <w:r>
        <w:rPr>
          <w:rFonts w:cs="Arial"/>
          <w:szCs w:val="24"/>
        </w:rPr>
        <w:t>performed</w:t>
      </w:r>
      <w:r w:rsidRPr="00B37930">
        <w:rPr>
          <w:rFonts w:cs="Arial"/>
          <w:szCs w:val="24"/>
        </w:rPr>
        <w:t xml:space="preserve"> by subcontractors, </w:t>
      </w:r>
      <w:r>
        <w:rPr>
          <w:rFonts w:cs="Arial"/>
          <w:szCs w:val="24"/>
        </w:rPr>
        <w:t xml:space="preserve">independent consultants, </w:t>
      </w:r>
      <w:r w:rsidRPr="00B37930">
        <w:rPr>
          <w:rFonts w:cs="Arial"/>
          <w:szCs w:val="24"/>
        </w:rPr>
        <w:t xml:space="preserve">and all related </w:t>
      </w:r>
      <w:r>
        <w:rPr>
          <w:rFonts w:cs="Arial"/>
          <w:szCs w:val="24"/>
        </w:rPr>
        <w:t xml:space="preserve">labor costs, travel, </w:t>
      </w:r>
      <w:r w:rsidRPr="00B37930">
        <w:rPr>
          <w:rFonts w:cs="Arial"/>
          <w:szCs w:val="24"/>
        </w:rPr>
        <w:t>overhead or indirect costs. No costs, direct or indirect, shall be omitted from the Cost Proposal.</w:t>
      </w:r>
    </w:p>
    <w:p w14:paraId="090EBF19" w14:textId="1735BB4F" w:rsidR="00537458" w:rsidRDefault="00537458" w:rsidP="00537458">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240" w:after="240"/>
        <w:rPr>
          <w:rFonts w:ascii="Arial" w:hAnsi="Arial" w:cs="Arial"/>
          <w:szCs w:val="24"/>
        </w:rPr>
      </w:pPr>
      <w:r>
        <w:rPr>
          <w:rFonts w:ascii="Arial" w:hAnsi="Arial" w:cs="Arial"/>
        </w:rPr>
        <w:t>F</w:t>
      </w:r>
      <w:r w:rsidRPr="00FF3425">
        <w:rPr>
          <w:rFonts w:ascii="Arial" w:hAnsi="Arial" w:cs="Arial"/>
        </w:rPr>
        <w:t>ailure to provide detailed costs by prime/subcontractor and by task</w:t>
      </w:r>
      <w:r>
        <w:rPr>
          <w:rFonts w:ascii="Arial" w:hAnsi="Arial" w:cs="Arial"/>
        </w:rPr>
        <w:t xml:space="preserve"> and subtask,</w:t>
      </w:r>
      <w:r w:rsidRPr="00FF3425">
        <w:rPr>
          <w:rFonts w:ascii="Arial" w:hAnsi="Arial" w:cs="Arial"/>
        </w:rPr>
        <w:t xml:space="preserve"> and by fiscal year may result in the disqualification of the bidder’s proposal.</w:t>
      </w:r>
      <w:r>
        <w:rPr>
          <w:rFonts w:ascii="Arial" w:hAnsi="Arial" w:cs="Arial"/>
        </w:rPr>
        <w:t xml:space="preserve"> Detailed costs </w:t>
      </w:r>
      <w:r>
        <w:rPr>
          <w:rFonts w:ascii="Arial" w:hAnsi="Arial" w:cs="Arial"/>
          <w:szCs w:val="24"/>
        </w:rPr>
        <w:t xml:space="preserve">must correlate with the tasks and subtasks set forth in Section </w:t>
      </w:r>
      <w:r w:rsidR="00DC395C">
        <w:rPr>
          <w:rFonts w:ascii="Arial" w:hAnsi="Arial" w:cs="Arial"/>
          <w:szCs w:val="24"/>
        </w:rPr>
        <w:t>7</w:t>
      </w:r>
      <w:r>
        <w:rPr>
          <w:rFonts w:ascii="Arial" w:hAnsi="Arial" w:cs="Arial"/>
          <w:szCs w:val="24"/>
        </w:rPr>
        <w:t xml:space="preserve"> of this RFP.</w:t>
      </w:r>
    </w:p>
    <w:p w14:paraId="15C5E9DE" w14:textId="77777777" w:rsidR="00537458" w:rsidRPr="00B37930" w:rsidRDefault="00537458" w:rsidP="00537458">
      <w:pPr>
        <w:pStyle w:val="ListParagraph"/>
        <w:widowControl w:val="0"/>
        <w:spacing w:after="240"/>
        <w:ind w:left="0"/>
        <w:contextualSpacing w:val="0"/>
        <w:rPr>
          <w:rFonts w:cs="Arial"/>
          <w:szCs w:val="24"/>
        </w:rPr>
      </w:pPr>
      <w:r w:rsidRPr="00B37930">
        <w:rPr>
          <w:rFonts w:cs="Arial"/>
          <w:szCs w:val="24"/>
        </w:rPr>
        <w:t>Computations must be calculated to the exact cent (expressed in dollars to two (2) decimal places).</w:t>
      </w:r>
    </w:p>
    <w:p w14:paraId="64A99D92" w14:textId="6DBF6DFE" w:rsidR="00537458" w:rsidRDefault="00537458" w:rsidP="00537458">
      <w:pPr>
        <w:pStyle w:val="WPDefaults"/>
        <w:spacing w:after="240"/>
        <w:rPr>
          <w:rFonts w:ascii="Arial" w:hAnsi="Arial" w:cs="Arial"/>
          <w:szCs w:val="24"/>
        </w:rPr>
      </w:pPr>
      <w:r w:rsidRPr="00FE7F03">
        <w:rPr>
          <w:rFonts w:ascii="Arial" w:hAnsi="Arial" w:cs="Arial"/>
          <w:szCs w:val="24"/>
        </w:rPr>
        <w:t xml:space="preserve">Except </w:t>
      </w:r>
      <w:r>
        <w:rPr>
          <w:rFonts w:ascii="Arial" w:hAnsi="Arial" w:cs="Arial"/>
          <w:szCs w:val="24"/>
        </w:rPr>
        <w:t>where</w:t>
      </w:r>
      <w:r w:rsidRPr="00FE7F03">
        <w:rPr>
          <w:rFonts w:ascii="Arial" w:hAnsi="Arial" w:cs="Arial"/>
          <w:szCs w:val="24"/>
        </w:rPr>
        <w:t xml:space="preserve"> noted, </w:t>
      </w:r>
      <w:r w:rsidR="00730AE0">
        <w:rPr>
          <w:rFonts w:ascii="Arial" w:hAnsi="Arial" w:cs="Arial"/>
          <w:szCs w:val="24"/>
        </w:rPr>
        <w:t xml:space="preserve">the </w:t>
      </w:r>
      <w:r w:rsidRPr="00FE7F03">
        <w:rPr>
          <w:rFonts w:ascii="Arial" w:hAnsi="Arial" w:cs="Arial"/>
          <w:szCs w:val="24"/>
        </w:rPr>
        <w:t xml:space="preserve">bidder is responsible for all logistics and costs incurred by </w:t>
      </w:r>
      <w:r w:rsidR="00730AE0">
        <w:rPr>
          <w:rFonts w:ascii="Arial" w:hAnsi="Arial" w:cs="Arial"/>
          <w:szCs w:val="24"/>
        </w:rPr>
        <w:t xml:space="preserve">the </w:t>
      </w:r>
      <w:r w:rsidRPr="00FE7F03">
        <w:rPr>
          <w:rFonts w:ascii="Arial" w:hAnsi="Arial" w:cs="Arial"/>
          <w:szCs w:val="24"/>
        </w:rPr>
        <w:t>bidder or other program participants, including, but not limited to, travel costs (e.g. per diem and lodging), and meeting costs (meeting materials, interpreters, video hook-up fees, facilities rental, etc.).</w:t>
      </w:r>
    </w:p>
    <w:p w14:paraId="5A0EE585" w14:textId="14041186" w:rsidR="00537458" w:rsidRPr="00FE7F03" w:rsidRDefault="00537458" w:rsidP="00537458">
      <w:pPr>
        <w:pStyle w:val="WPDefaults"/>
        <w:spacing w:after="240"/>
        <w:rPr>
          <w:rFonts w:ascii="Arial" w:hAnsi="Arial" w:cs="Arial"/>
          <w:szCs w:val="24"/>
        </w:rPr>
      </w:pPr>
      <w:r w:rsidRPr="00857414">
        <w:rPr>
          <w:rFonts w:ascii="Arial" w:hAnsi="Arial" w:cs="Arial"/>
        </w:rPr>
        <w:t>Travel and per diem rates must not exceed those established for the State of California’s non-represented employees, computed in accordance with and allowable pursuant to applicable California Department of Human Resources regulations</w:t>
      </w:r>
      <w:r w:rsidRPr="00FE7F03">
        <w:rPr>
          <w:rFonts w:ascii="Arial" w:hAnsi="Arial" w:cs="Arial"/>
        </w:rPr>
        <w:t xml:space="preserve">. </w:t>
      </w:r>
      <w:r w:rsidR="004A2EBF">
        <w:rPr>
          <w:rFonts w:ascii="Arial" w:hAnsi="Arial" w:cs="Arial"/>
        </w:rPr>
        <w:t>F</w:t>
      </w:r>
      <w:r w:rsidR="004A2EBF" w:rsidRPr="004A2EBF">
        <w:rPr>
          <w:rFonts w:ascii="Arial" w:hAnsi="Arial" w:cs="Arial"/>
        </w:rPr>
        <w:t>or current rates please refer to</w:t>
      </w:r>
      <w:r w:rsidR="00BE60C6">
        <w:rPr>
          <w:rFonts w:ascii="Arial" w:hAnsi="Arial" w:cs="Arial"/>
        </w:rPr>
        <w:t xml:space="preserve"> the </w:t>
      </w:r>
      <w:proofErr w:type="spellStart"/>
      <w:r w:rsidR="00BE60C6">
        <w:rPr>
          <w:rFonts w:ascii="Arial" w:hAnsi="Arial" w:cs="Arial"/>
        </w:rPr>
        <w:t>CalHR</w:t>
      </w:r>
      <w:proofErr w:type="spellEnd"/>
      <w:r w:rsidR="00BE60C6">
        <w:rPr>
          <w:rFonts w:ascii="Arial" w:hAnsi="Arial" w:cs="Arial"/>
        </w:rPr>
        <w:t xml:space="preserve"> website at</w:t>
      </w:r>
      <w:r w:rsidR="004A2EBF" w:rsidRPr="004A2EBF">
        <w:rPr>
          <w:rFonts w:ascii="Arial" w:hAnsi="Arial" w:cs="Arial"/>
        </w:rPr>
        <w:t xml:space="preserve">: </w:t>
      </w:r>
      <w:hyperlink r:id="rId25" w:tooltip="Travel Reimbursements page on CalHR website" w:history="1">
        <w:r w:rsidR="004A2EBF" w:rsidRPr="00D737F1">
          <w:rPr>
            <w:rStyle w:val="Hyperlink"/>
            <w:rFonts w:ascii="Arial" w:hAnsi="Arial" w:cs="Arial"/>
          </w:rPr>
          <w:t>https://www.calhr.ca.gov/employees/pages/travel-reimbursements.aspx</w:t>
        </w:r>
      </w:hyperlink>
      <w:r w:rsidR="004A2EBF" w:rsidRPr="004A2EBF">
        <w:rPr>
          <w:rFonts w:ascii="Arial" w:hAnsi="Arial" w:cs="Arial"/>
        </w:rPr>
        <w:t>.</w:t>
      </w:r>
      <w:r w:rsidR="004A2EBF">
        <w:rPr>
          <w:rFonts w:ascii="Arial" w:hAnsi="Arial" w:cs="Arial"/>
        </w:rPr>
        <w:t xml:space="preserve"> </w:t>
      </w:r>
      <w:r w:rsidRPr="00FE7F03">
        <w:rPr>
          <w:rFonts w:ascii="Arial" w:hAnsi="Arial" w:cs="Arial"/>
          <w:szCs w:val="24"/>
        </w:rPr>
        <w:t>The successful bidder is not responsible for costs of outside observers or the CDE staff.</w:t>
      </w:r>
    </w:p>
    <w:p w14:paraId="08880659" w14:textId="15F7C633" w:rsidR="00537458" w:rsidRDefault="00537458" w:rsidP="00537458">
      <w:pPr>
        <w:pStyle w:val="WPDefaults"/>
        <w:spacing w:after="240"/>
        <w:rPr>
          <w:rFonts w:ascii="Arial" w:hAnsi="Arial" w:cs="Arial"/>
        </w:rPr>
      </w:pPr>
      <w:r w:rsidRPr="00857414">
        <w:rPr>
          <w:rFonts w:ascii="Arial" w:hAnsi="Arial" w:cs="Arial"/>
        </w:rPr>
        <w:t xml:space="preserve">Although the bidder may use their own budget format, </w:t>
      </w:r>
      <w:proofErr w:type="gramStart"/>
      <w:r w:rsidRPr="00857414">
        <w:rPr>
          <w:rFonts w:ascii="Arial" w:hAnsi="Arial" w:cs="Arial"/>
        </w:rPr>
        <w:t>all of</w:t>
      </w:r>
      <w:proofErr w:type="gramEnd"/>
      <w:r w:rsidRPr="00857414">
        <w:rPr>
          <w:rFonts w:ascii="Arial" w:hAnsi="Arial" w:cs="Arial"/>
        </w:rPr>
        <w:t xml:space="preserve"> the Cost Proposal requirements identified in </w:t>
      </w:r>
      <w:r w:rsidR="00693698">
        <w:rPr>
          <w:rFonts w:ascii="Arial" w:hAnsi="Arial" w:cs="Arial"/>
        </w:rPr>
        <w:t xml:space="preserve">RFP </w:t>
      </w:r>
      <w:r w:rsidRPr="00857414">
        <w:rPr>
          <w:rFonts w:ascii="Arial" w:hAnsi="Arial" w:cs="Arial"/>
        </w:rPr>
        <w:t xml:space="preserve">Section </w:t>
      </w:r>
      <w:r w:rsidR="00DC395C">
        <w:rPr>
          <w:rFonts w:ascii="Arial" w:hAnsi="Arial" w:cs="Arial"/>
        </w:rPr>
        <w:t>3</w:t>
      </w:r>
      <w:r w:rsidRPr="00857414">
        <w:rPr>
          <w:rFonts w:ascii="Arial" w:hAnsi="Arial" w:cs="Arial"/>
        </w:rPr>
        <w:t>.3 must be included in the bidder’s format.</w:t>
      </w:r>
    </w:p>
    <w:p w14:paraId="65682E71" w14:textId="77777777" w:rsidR="00537458" w:rsidRPr="00857414" w:rsidRDefault="00537458" w:rsidP="00537458">
      <w:pPr>
        <w:widowControl w:val="0"/>
        <w:spacing w:before="240" w:after="240"/>
        <w:rPr>
          <w:rFonts w:eastAsia="Arial Unicode MS" w:cs="Arial"/>
          <w:szCs w:val="24"/>
        </w:rPr>
      </w:pPr>
      <w:r w:rsidRPr="00857414">
        <w:rPr>
          <w:rFonts w:eastAsia="Arial Unicode MS" w:cs="Arial"/>
          <w:szCs w:val="24"/>
        </w:rPr>
        <w:t>The costs/rates must be reasonable. Every component of the cost is subject to reasonableness of cost justification to DGS, who may approve it at its discretion. If any portion of the cost is rejected by DGS, then the entire bid may be rejected.</w:t>
      </w:r>
    </w:p>
    <w:p w14:paraId="68CA8209" w14:textId="77777777" w:rsidR="00537458" w:rsidRPr="00857414" w:rsidRDefault="00537458" w:rsidP="00537458">
      <w:pPr>
        <w:widowControl w:val="0"/>
        <w:spacing w:before="240" w:after="240"/>
        <w:rPr>
          <w:rFonts w:eastAsia="Arial Unicode MS" w:cs="Arial"/>
          <w:szCs w:val="24"/>
        </w:rPr>
      </w:pPr>
      <w:r w:rsidRPr="00857414">
        <w:rPr>
          <w:rFonts w:eastAsia="Arial Unicode MS" w:cs="Arial"/>
          <w:szCs w:val="24"/>
        </w:rPr>
        <w:t>Any proposed costs submitted by the bidder that are not included in the total amount for the overall contract as stated on the Cover Sheet, are not binding on CDE, or the State of California, and the bidder will be legally bound to fully perform all work for the total amount stated and absorb such amounts not included.</w:t>
      </w:r>
    </w:p>
    <w:p w14:paraId="3BEB7D12" w14:textId="07DA2D18" w:rsidR="00537458" w:rsidRDefault="00537458" w:rsidP="00537458">
      <w:pPr>
        <w:widowControl w:val="0"/>
        <w:spacing w:before="240" w:after="240"/>
        <w:rPr>
          <w:rFonts w:eastAsia="Arial Unicode MS" w:cs="Arial"/>
          <w:szCs w:val="24"/>
        </w:rPr>
      </w:pPr>
      <w:r w:rsidRPr="00857414">
        <w:rPr>
          <w:rFonts w:eastAsia="Arial Unicode MS" w:cs="Arial"/>
          <w:szCs w:val="24"/>
        </w:rPr>
        <w:t xml:space="preserve">The Cost Proposal will NOT be opened unless the Technical Proposal has successfully met the requirements of Phase </w:t>
      </w:r>
      <w:r w:rsidR="009E7D52">
        <w:rPr>
          <w:rFonts w:eastAsia="Arial Unicode MS" w:cs="Arial"/>
          <w:szCs w:val="24"/>
        </w:rPr>
        <w:t>IV</w:t>
      </w:r>
      <w:r w:rsidRPr="00857414">
        <w:rPr>
          <w:rFonts w:eastAsia="Arial Unicode MS" w:cs="Arial"/>
          <w:szCs w:val="24"/>
        </w:rPr>
        <w:t xml:space="preserve"> Technical Evaluation </w:t>
      </w:r>
      <w:r w:rsidR="009E7D52">
        <w:rPr>
          <w:rFonts w:eastAsia="Arial Unicode MS" w:cs="Arial"/>
          <w:szCs w:val="24"/>
        </w:rPr>
        <w:t xml:space="preserve">Interview, SSPI </w:t>
      </w:r>
      <w:r w:rsidRPr="00857414">
        <w:rPr>
          <w:rFonts w:eastAsia="Arial Unicode MS" w:cs="Arial"/>
          <w:szCs w:val="24"/>
        </w:rPr>
        <w:t>(Attachment 1</w:t>
      </w:r>
      <w:r w:rsidR="00114B63">
        <w:rPr>
          <w:rFonts w:eastAsia="Arial Unicode MS" w:cs="Arial"/>
          <w:szCs w:val="24"/>
        </w:rPr>
        <w:t>4</w:t>
      </w:r>
      <w:r w:rsidRPr="00857414">
        <w:rPr>
          <w:rFonts w:eastAsia="Arial Unicode MS" w:cs="Arial"/>
          <w:szCs w:val="24"/>
        </w:rPr>
        <w:t>).</w:t>
      </w:r>
    </w:p>
    <w:p w14:paraId="5429E14C" w14:textId="77777777" w:rsidR="00537458" w:rsidRPr="00FF72D2" w:rsidRDefault="00537458" w:rsidP="00537458">
      <w:pPr>
        <w:widowControl w:val="0"/>
        <w:spacing w:before="240" w:after="240"/>
        <w:rPr>
          <w:rFonts w:cs="Arial"/>
        </w:rPr>
      </w:pPr>
      <w:r w:rsidRPr="00E45887">
        <w:rPr>
          <w:rFonts w:cs="Arial"/>
        </w:rPr>
        <w:t>The Cost Proposal must,</w:t>
      </w:r>
      <w:r w:rsidRPr="00FF72D2">
        <w:rPr>
          <w:rFonts w:cs="Arial"/>
        </w:rPr>
        <w:t xml:space="preserve"> at a minimum, contain the following sections:</w:t>
      </w:r>
    </w:p>
    <w:p w14:paraId="65B4FE91" w14:textId="0BBE9CDC" w:rsidR="00537458" w:rsidRDefault="004564C9" w:rsidP="00537458">
      <w:pPr>
        <w:pStyle w:val="Heading4"/>
      </w:pPr>
      <w:r>
        <w:t>3</w:t>
      </w:r>
      <w:r w:rsidR="00537458">
        <w:t>.3.2 Cost Proposal Cover Sheet</w:t>
      </w:r>
    </w:p>
    <w:p w14:paraId="6B96F855" w14:textId="77777777" w:rsidR="00537458" w:rsidRPr="003176D0" w:rsidRDefault="00537458" w:rsidP="00537458">
      <w:pPr>
        <w:tabs>
          <w:tab w:val="left" w:pos="720"/>
        </w:tabs>
        <w:spacing w:before="240" w:after="240"/>
        <w:rPr>
          <w:rFonts w:cs="Arial"/>
        </w:rPr>
      </w:pPr>
      <w:r w:rsidRPr="003176D0">
        <w:rPr>
          <w:rFonts w:eastAsia="Arial Unicode MS" w:cs="Arial"/>
          <w:szCs w:val="24"/>
        </w:rPr>
        <w:t xml:space="preserve">The first page of the Cost Proposal must be a Cover Sheet. Only the Cover Sheet will be read at the </w:t>
      </w:r>
      <w:r>
        <w:rPr>
          <w:rFonts w:eastAsia="Arial Unicode MS" w:cs="Arial"/>
          <w:szCs w:val="24"/>
        </w:rPr>
        <w:t xml:space="preserve">cost proposal </w:t>
      </w:r>
      <w:r w:rsidRPr="003176D0">
        <w:rPr>
          <w:rFonts w:eastAsia="Arial Unicode MS" w:cs="Arial"/>
          <w:szCs w:val="24"/>
        </w:rPr>
        <w:t>bid opening. The Cover Sheet must indicate the TOTAL amount for the overall contract without any cost breakdowns.</w:t>
      </w:r>
    </w:p>
    <w:p w14:paraId="19C1D828" w14:textId="77777777" w:rsidR="00537458" w:rsidRPr="003176D0" w:rsidRDefault="00537458" w:rsidP="00537458">
      <w:pPr>
        <w:pStyle w:val="ListParagraph"/>
        <w:numPr>
          <w:ilvl w:val="2"/>
          <w:numId w:val="6"/>
        </w:numPr>
        <w:spacing w:before="240" w:after="240"/>
        <w:ind w:left="720" w:hanging="720"/>
        <w:rPr>
          <w:rFonts w:cs="Arial"/>
        </w:rPr>
      </w:pPr>
      <w:r w:rsidRPr="003176D0">
        <w:rPr>
          <w:rFonts w:cs="Arial"/>
        </w:rPr>
        <w:t>The Cover Sheet should state:</w:t>
      </w:r>
    </w:p>
    <w:p w14:paraId="3C8E3300" w14:textId="13618E61" w:rsidR="00537458" w:rsidRPr="003A096C" w:rsidRDefault="00537458" w:rsidP="00537458">
      <w:pPr>
        <w:pStyle w:val="rfasub-title"/>
        <w:spacing w:before="240" w:beforeAutospacing="0" w:after="240" w:afterAutospacing="0"/>
        <w:ind w:left="720"/>
        <w:rPr>
          <w:rFonts w:ascii="Arial" w:hAnsi="Arial" w:cs="Arial"/>
        </w:rPr>
      </w:pPr>
      <w:r w:rsidRPr="003A096C">
        <w:rPr>
          <w:rFonts w:ascii="Arial" w:hAnsi="Arial" w:cs="Arial"/>
        </w:rPr>
        <w:lastRenderedPageBreak/>
        <w:t xml:space="preserve">&lt;insert name of bidder&gt; proposes to conduct the work associated with the </w:t>
      </w:r>
      <w:r w:rsidR="000A4BE8">
        <w:rPr>
          <w:rFonts w:ascii="Arial" w:hAnsi="Arial" w:cs="Arial"/>
        </w:rPr>
        <w:t>Federal Liaison Officer</w:t>
      </w:r>
      <w:r w:rsidRPr="00A12D6A">
        <w:rPr>
          <w:rFonts w:ascii="Arial" w:hAnsi="Arial" w:cs="Arial"/>
        </w:rPr>
        <w:t xml:space="preserve"> </w:t>
      </w:r>
      <w:r>
        <w:rPr>
          <w:rFonts w:ascii="Arial" w:hAnsi="Arial" w:cs="Arial"/>
        </w:rPr>
        <w:t>Request for Proposal</w:t>
      </w:r>
      <w:r w:rsidRPr="003A096C">
        <w:rPr>
          <w:rFonts w:ascii="Arial" w:hAnsi="Arial" w:cs="Arial"/>
        </w:rPr>
        <w:t xml:space="preserve"> for $&lt;insert bid amount&gt;.</w:t>
      </w:r>
    </w:p>
    <w:p w14:paraId="364750E1" w14:textId="77777777" w:rsidR="00537458" w:rsidRPr="003176D0" w:rsidRDefault="00537458" w:rsidP="00537458">
      <w:pPr>
        <w:pStyle w:val="ListParagraph"/>
        <w:numPr>
          <w:ilvl w:val="2"/>
          <w:numId w:val="6"/>
        </w:numPr>
        <w:spacing w:before="240" w:after="240"/>
        <w:ind w:left="720" w:hanging="720"/>
        <w:rPr>
          <w:rFonts w:cs="Arial"/>
        </w:rPr>
      </w:pPr>
      <w:r w:rsidRPr="003176D0">
        <w:rPr>
          <w:rFonts w:eastAsia="Arial Unicode MS" w:cs="Arial"/>
          <w:szCs w:val="24"/>
        </w:rPr>
        <w:t>Any proposed costs submitted by the bidder that are not included in the total amount for the overall contract as stated on the Cover Sheet, are not binding on the CDE, or the State of California, and the bidder will be legally bound to fully perform all work for the total amount stated and absorb such amounts not included.</w:t>
      </w:r>
    </w:p>
    <w:p w14:paraId="68F6A552" w14:textId="18DE0ABD" w:rsidR="00537458" w:rsidRPr="003176D0" w:rsidRDefault="004564C9" w:rsidP="00537458">
      <w:pPr>
        <w:pStyle w:val="Heading4"/>
      </w:pPr>
      <w:r>
        <w:t>3</w:t>
      </w:r>
      <w:r w:rsidR="00537458">
        <w:t>.3.3 Summary of All Costs for Total Project</w:t>
      </w:r>
    </w:p>
    <w:p w14:paraId="593135F8" w14:textId="7175EE3C" w:rsidR="00537458" w:rsidRDefault="00537458" w:rsidP="00537458">
      <w:pPr>
        <w:widowControl w:val="0"/>
        <w:tabs>
          <w:tab w:val="left" w:pos="360"/>
          <w:tab w:val="left" w:pos="2160"/>
        </w:tabs>
        <w:spacing w:before="240" w:after="240"/>
        <w:rPr>
          <w:rFonts w:cs="Arial"/>
        </w:rPr>
      </w:pPr>
      <w:r w:rsidRPr="003176D0">
        <w:rPr>
          <w:rFonts w:cs="Arial"/>
        </w:rPr>
        <w:t xml:space="preserve">The Cost Proposal must contain a section that summarizes all costs </w:t>
      </w:r>
      <w:r>
        <w:rPr>
          <w:rFonts w:cs="Arial"/>
        </w:rPr>
        <w:t xml:space="preserve">for the total project, including all </w:t>
      </w:r>
      <w:r w:rsidRPr="003176D0">
        <w:rPr>
          <w:rFonts w:cs="Arial"/>
        </w:rPr>
        <w:t>task</w:t>
      </w:r>
      <w:r>
        <w:rPr>
          <w:rFonts w:cs="Arial"/>
        </w:rPr>
        <w:t>s</w:t>
      </w:r>
      <w:r w:rsidRPr="003176D0">
        <w:rPr>
          <w:rFonts w:cs="Arial"/>
        </w:rPr>
        <w:t xml:space="preserve"> identified in Section </w:t>
      </w:r>
      <w:r w:rsidR="00DC395C">
        <w:rPr>
          <w:rFonts w:cs="Arial"/>
        </w:rPr>
        <w:t>7</w:t>
      </w:r>
      <w:r w:rsidRPr="003176D0">
        <w:rPr>
          <w:rFonts w:cs="Arial"/>
        </w:rPr>
        <w:t xml:space="preserve"> of the RFP </w:t>
      </w:r>
      <w:r>
        <w:rPr>
          <w:rFonts w:cs="Arial"/>
        </w:rPr>
        <w:t>for all</w:t>
      </w:r>
      <w:r w:rsidRPr="003176D0">
        <w:rPr>
          <w:rFonts w:cs="Arial"/>
        </w:rPr>
        <w:t xml:space="preserve"> fiscal year</w:t>
      </w:r>
      <w:r>
        <w:rPr>
          <w:rFonts w:cs="Arial"/>
        </w:rPr>
        <w:t>s or parts thereof</w:t>
      </w:r>
      <w:r w:rsidR="00D75864">
        <w:rPr>
          <w:rFonts w:cs="Arial"/>
        </w:rPr>
        <w:t>, and including a total for each fiscal year</w:t>
      </w:r>
      <w:r w:rsidRPr="003176D0">
        <w:rPr>
          <w:rFonts w:cs="Arial"/>
        </w:rPr>
        <w:t xml:space="preserve">. </w:t>
      </w:r>
      <w:r>
        <w:rPr>
          <w:rFonts w:cs="Arial"/>
        </w:rPr>
        <w:t>The summary of all costs for total project</w:t>
      </w:r>
      <w:r w:rsidRPr="003176D0">
        <w:rPr>
          <w:rFonts w:cs="Arial"/>
        </w:rPr>
        <w:t xml:space="preserve"> should clearly identify each subcontractor and the cost for each subcontract. Subcontractor costs include, but are not limited to, DVBE subcontractors, and independent consultants</w:t>
      </w:r>
      <w:r>
        <w:rPr>
          <w:rFonts w:cs="Arial"/>
        </w:rPr>
        <w:t xml:space="preserve"> (See RFP, Section </w:t>
      </w:r>
      <w:r w:rsidR="00132985">
        <w:rPr>
          <w:rFonts w:cs="Arial"/>
        </w:rPr>
        <w:t>2</w:t>
      </w:r>
      <w:r>
        <w:rPr>
          <w:rFonts w:cs="Arial"/>
        </w:rPr>
        <w:t>.8 for definition of subcontractor)</w:t>
      </w:r>
      <w:r w:rsidRPr="003176D0">
        <w:rPr>
          <w:rFonts w:cs="Arial"/>
        </w:rPr>
        <w:t xml:space="preserve">. The tasks in the Cost Proposal must coincide with the tasks set forth in </w:t>
      </w:r>
      <w:proofErr w:type="gramStart"/>
      <w:r w:rsidRPr="003176D0">
        <w:rPr>
          <w:rFonts w:cs="Arial"/>
        </w:rPr>
        <w:t>the RFP</w:t>
      </w:r>
      <w:proofErr w:type="gramEnd"/>
      <w:r w:rsidRPr="003176D0">
        <w:rPr>
          <w:rFonts w:cs="Arial"/>
        </w:rPr>
        <w:t xml:space="preserve"> Section </w:t>
      </w:r>
      <w:r w:rsidR="00DC395C">
        <w:rPr>
          <w:rFonts w:cs="Arial"/>
        </w:rPr>
        <w:t>7</w:t>
      </w:r>
      <w:r w:rsidRPr="003176D0">
        <w:rPr>
          <w:rFonts w:cs="Arial"/>
        </w:rPr>
        <w:t>.</w:t>
      </w:r>
    </w:p>
    <w:p w14:paraId="4FF05C9C" w14:textId="78C341D3" w:rsidR="00537458" w:rsidRDefault="004564C9" w:rsidP="00537458">
      <w:pPr>
        <w:pStyle w:val="Heading4"/>
      </w:pPr>
      <w:r>
        <w:t>3</w:t>
      </w:r>
      <w:r w:rsidR="00537458">
        <w:t>.3.4 Task and Subtask Detail for Contractor and for Each Subcontractor for Each Fiscal Year</w:t>
      </w:r>
    </w:p>
    <w:p w14:paraId="531DADA1" w14:textId="3B939C3C" w:rsidR="00537458" w:rsidRPr="003176D0" w:rsidRDefault="00537458" w:rsidP="00537458">
      <w:pPr>
        <w:widowControl w:val="0"/>
        <w:spacing w:before="240" w:after="240"/>
        <w:rPr>
          <w:rFonts w:cs="Arial"/>
        </w:rPr>
      </w:pPr>
      <w:r w:rsidRPr="003176D0">
        <w:rPr>
          <w:rFonts w:cs="Arial"/>
        </w:rPr>
        <w:t xml:space="preserve">The Cost Proposal must contain a section that in detail breaks down all costs </w:t>
      </w:r>
      <w:r>
        <w:rPr>
          <w:rFonts w:cs="Arial"/>
        </w:rPr>
        <w:t xml:space="preserve">and rates </w:t>
      </w:r>
      <w:r w:rsidRPr="003176D0">
        <w:rPr>
          <w:rFonts w:cs="Arial"/>
        </w:rPr>
        <w:t>associated with each task</w:t>
      </w:r>
      <w:r>
        <w:rPr>
          <w:rFonts w:cs="Arial"/>
        </w:rPr>
        <w:t xml:space="preserve"> and each </w:t>
      </w:r>
      <w:r w:rsidRPr="003176D0">
        <w:rPr>
          <w:rFonts w:cs="Arial"/>
        </w:rPr>
        <w:t xml:space="preserve">subtask set forth in RFP Section </w:t>
      </w:r>
      <w:r w:rsidR="00DC395C">
        <w:rPr>
          <w:rFonts w:cs="Arial"/>
        </w:rPr>
        <w:t>7</w:t>
      </w:r>
      <w:r w:rsidRPr="003176D0">
        <w:rPr>
          <w:rFonts w:cs="Arial"/>
        </w:rPr>
        <w:t xml:space="preserve"> for the </w:t>
      </w:r>
      <w:r>
        <w:rPr>
          <w:rFonts w:cs="Arial"/>
        </w:rPr>
        <w:t>bidder</w:t>
      </w:r>
      <w:r w:rsidRPr="003176D0">
        <w:rPr>
          <w:rFonts w:cs="Arial"/>
        </w:rPr>
        <w:t xml:space="preserve"> and </w:t>
      </w:r>
      <w:r>
        <w:rPr>
          <w:rFonts w:cs="Arial"/>
        </w:rPr>
        <w:t xml:space="preserve">for </w:t>
      </w:r>
      <w:r w:rsidRPr="003176D0">
        <w:rPr>
          <w:rFonts w:cs="Arial"/>
        </w:rPr>
        <w:t xml:space="preserve">each subcontractor </w:t>
      </w:r>
      <w:r w:rsidR="003352CA">
        <w:rPr>
          <w:rFonts w:cs="Arial"/>
        </w:rPr>
        <w:t>by</w:t>
      </w:r>
      <w:r w:rsidRPr="003176D0">
        <w:rPr>
          <w:rFonts w:cs="Arial"/>
        </w:rPr>
        <w:t xml:space="preserve"> fiscal year</w:t>
      </w:r>
      <w:r>
        <w:rPr>
          <w:rFonts w:cs="Arial"/>
        </w:rPr>
        <w:t xml:space="preserve"> or part thereof</w:t>
      </w:r>
      <w:r w:rsidRPr="003176D0">
        <w:rPr>
          <w:rFonts w:cs="Arial"/>
        </w:rPr>
        <w:t>.</w:t>
      </w:r>
      <w:r>
        <w:rPr>
          <w:rFonts w:cs="Arial"/>
        </w:rPr>
        <w:t xml:space="preserve"> All costs by subtask must be detailed for each fiscal year.</w:t>
      </w:r>
    </w:p>
    <w:p w14:paraId="349AD4FA" w14:textId="77777777" w:rsidR="00537458" w:rsidRPr="00A42DC7" w:rsidRDefault="00537458" w:rsidP="00537458">
      <w:pPr>
        <w:widowControl w:val="0"/>
        <w:spacing w:before="240" w:after="240"/>
        <w:rPr>
          <w:rFonts w:cs="Arial"/>
        </w:rPr>
      </w:pPr>
      <w:r w:rsidRPr="00A42DC7">
        <w:rPr>
          <w:rFonts w:cs="Arial"/>
        </w:rPr>
        <w:t>At a minimum, the task</w:t>
      </w:r>
      <w:r>
        <w:rPr>
          <w:rFonts w:cs="Arial"/>
        </w:rPr>
        <w:t xml:space="preserve"> and subtask</w:t>
      </w:r>
      <w:r w:rsidRPr="00A42DC7">
        <w:rPr>
          <w:rFonts w:cs="Arial"/>
        </w:rPr>
        <w:t xml:space="preserve"> detail must include individual line items for the following:</w:t>
      </w:r>
    </w:p>
    <w:p w14:paraId="32E94C58" w14:textId="77777777" w:rsidR="00537458" w:rsidRDefault="00537458" w:rsidP="00132985">
      <w:pPr>
        <w:pStyle w:val="ListParagraph"/>
        <w:numPr>
          <w:ilvl w:val="0"/>
          <w:numId w:val="13"/>
        </w:numPr>
        <w:tabs>
          <w:tab w:val="left" w:pos="2520"/>
        </w:tabs>
        <w:spacing w:before="240" w:after="240"/>
        <w:ind w:hanging="720"/>
        <w:contextualSpacing w:val="0"/>
        <w:rPr>
          <w:rFonts w:cs="Arial"/>
        </w:rPr>
      </w:pPr>
      <w:r>
        <w:rPr>
          <w:rFonts w:cs="Arial"/>
        </w:rPr>
        <w:t>Detailed Labor Costs</w:t>
      </w:r>
    </w:p>
    <w:p w14:paraId="3B22976C" w14:textId="4F9C57DC" w:rsidR="00537458" w:rsidRPr="00A42DC7" w:rsidRDefault="00537458" w:rsidP="00537458">
      <w:pPr>
        <w:pStyle w:val="ListParagraph"/>
        <w:tabs>
          <w:tab w:val="left" w:pos="2520"/>
        </w:tabs>
        <w:spacing w:before="240" w:after="240"/>
        <w:contextualSpacing w:val="0"/>
        <w:rPr>
          <w:rFonts w:cs="Arial"/>
        </w:rPr>
      </w:pPr>
      <w:r w:rsidRPr="00A42DC7">
        <w:rPr>
          <w:rFonts w:cs="Arial"/>
        </w:rPr>
        <w:t>Detailed labor costs including hourly salary rates and number of labor hours for each job position title/name (must correspond with the hours, job position titles, and names contained in the Technical Proposal</w:t>
      </w:r>
      <w:r>
        <w:rPr>
          <w:rFonts w:cs="Arial"/>
        </w:rPr>
        <w:t xml:space="preserve"> Staffing Labor</w:t>
      </w:r>
      <w:r w:rsidRPr="00A42DC7">
        <w:rPr>
          <w:rFonts w:cs="Arial"/>
        </w:rPr>
        <w:t xml:space="preserve"> Hours Worksheet, Attachment </w:t>
      </w:r>
      <w:r w:rsidR="008A7671">
        <w:rPr>
          <w:rFonts w:cs="Arial"/>
        </w:rPr>
        <w:t>4</w:t>
      </w:r>
      <w:r w:rsidRPr="00A42DC7">
        <w:rPr>
          <w:rFonts w:cs="Arial"/>
        </w:rPr>
        <w:t>). The Project Manager, Fiscal Manager</w:t>
      </w:r>
      <w:r w:rsidR="007A0340">
        <w:rPr>
          <w:rFonts w:cs="Arial"/>
        </w:rPr>
        <w:t>, Partner/Senior Associate (if applicable),</w:t>
      </w:r>
      <w:r>
        <w:rPr>
          <w:rFonts w:cs="Arial"/>
        </w:rPr>
        <w:t xml:space="preserve"> </w:t>
      </w:r>
      <w:r w:rsidRPr="00A42DC7">
        <w:rPr>
          <w:rFonts w:cs="Arial"/>
        </w:rPr>
        <w:t xml:space="preserve">and all </w:t>
      </w:r>
      <w:r w:rsidR="00D75864">
        <w:rPr>
          <w:rFonts w:cs="Arial"/>
        </w:rPr>
        <w:t xml:space="preserve">other </w:t>
      </w:r>
      <w:r w:rsidRPr="00A42DC7">
        <w:rPr>
          <w:rFonts w:cs="Arial"/>
        </w:rPr>
        <w:t xml:space="preserve">identified Key </w:t>
      </w:r>
      <w:r>
        <w:rPr>
          <w:rFonts w:cs="Arial"/>
        </w:rPr>
        <w:t xml:space="preserve">Personnel (identified in bidder’s Technical Proposal response for Section </w:t>
      </w:r>
      <w:r w:rsidR="00132985">
        <w:rPr>
          <w:rFonts w:cs="Arial"/>
        </w:rPr>
        <w:t>3</w:t>
      </w:r>
      <w:r>
        <w:rPr>
          <w:rFonts w:cs="Arial"/>
        </w:rPr>
        <w:t>.1)</w:t>
      </w:r>
      <w:r w:rsidRPr="00A42DC7">
        <w:rPr>
          <w:rFonts w:cs="Arial"/>
        </w:rPr>
        <w:t xml:space="preserve"> must be identified by name and job title in the Cost Proposal, and others by job title only.</w:t>
      </w:r>
    </w:p>
    <w:p w14:paraId="3917E0B4" w14:textId="77777777" w:rsidR="00537458" w:rsidRDefault="00537458" w:rsidP="00132985">
      <w:pPr>
        <w:pStyle w:val="ListParagraph"/>
        <w:numPr>
          <w:ilvl w:val="0"/>
          <w:numId w:val="13"/>
        </w:numPr>
        <w:tabs>
          <w:tab w:val="left" w:pos="1080"/>
          <w:tab w:val="left" w:pos="2520"/>
        </w:tabs>
        <w:spacing w:before="240" w:after="240"/>
        <w:ind w:hanging="720"/>
        <w:contextualSpacing w:val="0"/>
        <w:rPr>
          <w:rFonts w:cs="Arial"/>
          <w:szCs w:val="24"/>
        </w:rPr>
      </w:pPr>
      <w:r w:rsidRPr="00CB46E0">
        <w:rPr>
          <w:rFonts w:cs="Arial"/>
          <w:szCs w:val="24"/>
        </w:rPr>
        <w:t>D</w:t>
      </w:r>
      <w:r>
        <w:rPr>
          <w:rFonts w:cs="Arial"/>
          <w:szCs w:val="24"/>
        </w:rPr>
        <w:t>etailed D</w:t>
      </w:r>
      <w:r w:rsidRPr="00CB46E0">
        <w:rPr>
          <w:rFonts w:cs="Arial"/>
          <w:szCs w:val="24"/>
        </w:rPr>
        <w:t xml:space="preserve">irect </w:t>
      </w:r>
      <w:r>
        <w:rPr>
          <w:rFonts w:cs="Arial"/>
          <w:szCs w:val="24"/>
        </w:rPr>
        <w:t>C</w:t>
      </w:r>
      <w:r w:rsidRPr="00CB46E0">
        <w:rPr>
          <w:rFonts w:cs="Arial"/>
          <w:szCs w:val="24"/>
        </w:rPr>
        <w:t>osts</w:t>
      </w:r>
    </w:p>
    <w:p w14:paraId="64142464" w14:textId="77777777" w:rsidR="00537458" w:rsidRPr="00CB46E0" w:rsidRDefault="00537458" w:rsidP="00537458">
      <w:pPr>
        <w:pStyle w:val="ListParagraph"/>
        <w:tabs>
          <w:tab w:val="left" w:pos="1080"/>
          <w:tab w:val="left" w:pos="2520"/>
        </w:tabs>
        <w:spacing w:before="240" w:after="240"/>
        <w:contextualSpacing w:val="0"/>
        <w:rPr>
          <w:rFonts w:cs="Arial"/>
          <w:szCs w:val="24"/>
        </w:rPr>
      </w:pPr>
      <w:r>
        <w:rPr>
          <w:szCs w:val="24"/>
        </w:rPr>
        <w:t>The Cost Proposal must i</w:t>
      </w:r>
      <w:r w:rsidRPr="00CB46E0">
        <w:rPr>
          <w:szCs w:val="24"/>
        </w:rPr>
        <w:t>nclude an itemized detailed description of direct costs to specify what is included for any proposed direct costs and does not include any labor costs.</w:t>
      </w:r>
    </w:p>
    <w:p w14:paraId="73C509B6" w14:textId="77777777" w:rsidR="00537458" w:rsidRPr="00233944" w:rsidRDefault="00537458" w:rsidP="00132985">
      <w:pPr>
        <w:pStyle w:val="ListParagraph"/>
        <w:numPr>
          <w:ilvl w:val="0"/>
          <w:numId w:val="13"/>
        </w:numPr>
        <w:tabs>
          <w:tab w:val="left" w:pos="1080"/>
        </w:tabs>
        <w:spacing w:before="240" w:after="240"/>
        <w:ind w:hanging="720"/>
        <w:contextualSpacing w:val="0"/>
        <w:rPr>
          <w:rFonts w:cs="Arial"/>
        </w:rPr>
      </w:pPr>
      <w:r>
        <w:rPr>
          <w:rFonts w:cs="Arial"/>
          <w:szCs w:val="24"/>
        </w:rPr>
        <w:t>Overhead and I</w:t>
      </w:r>
      <w:r w:rsidRPr="00CB46E0">
        <w:rPr>
          <w:rFonts w:cs="Arial"/>
          <w:szCs w:val="24"/>
        </w:rPr>
        <w:t xml:space="preserve">ndirect </w:t>
      </w:r>
      <w:r>
        <w:rPr>
          <w:rFonts w:cs="Arial"/>
          <w:szCs w:val="24"/>
        </w:rPr>
        <w:t>C</w:t>
      </w:r>
      <w:r w:rsidRPr="00CB46E0">
        <w:rPr>
          <w:rFonts w:cs="Arial"/>
          <w:szCs w:val="24"/>
        </w:rPr>
        <w:t>osts</w:t>
      </w:r>
    </w:p>
    <w:p w14:paraId="69126ED8" w14:textId="7A217CC9" w:rsidR="00537458" w:rsidRPr="00CB46E0" w:rsidRDefault="00537458" w:rsidP="00537458">
      <w:pPr>
        <w:pStyle w:val="ListParagraph"/>
        <w:tabs>
          <w:tab w:val="left" w:pos="1080"/>
        </w:tabs>
        <w:spacing w:before="240" w:after="240"/>
        <w:contextualSpacing w:val="0"/>
        <w:rPr>
          <w:rFonts w:cs="Arial"/>
        </w:rPr>
      </w:pPr>
      <w:r>
        <w:rPr>
          <w:szCs w:val="24"/>
        </w:rPr>
        <w:t>The Cost Proposal must i</w:t>
      </w:r>
      <w:r w:rsidRPr="00CB46E0">
        <w:rPr>
          <w:szCs w:val="24"/>
        </w:rPr>
        <w:t>dentif</w:t>
      </w:r>
      <w:r>
        <w:rPr>
          <w:szCs w:val="24"/>
        </w:rPr>
        <w:t>y</w:t>
      </w:r>
      <w:r w:rsidRPr="00CB46E0">
        <w:rPr>
          <w:szCs w:val="24"/>
        </w:rPr>
        <w:t xml:space="preserve"> the rate of </w:t>
      </w:r>
      <w:r>
        <w:rPr>
          <w:szCs w:val="24"/>
        </w:rPr>
        <w:t>any</w:t>
      </w:r>
      <w:r w:rsidRPr="00CB46E0">
        <w:rPr>
          <w:szCs w:val="24"/>
        </w:rPr>
        <w:t xml:space="preserve"> indirect cost</w:t>
      </w:r>
      <w:r>
        <w:rPr>
          <w:szCs w:val="24"/>
        </w:rPr>
        <w:t>(</w:t>
      </w:r>
      <w:r w:rsidRPr="00CB46E0">
        <w:rPr>
          <w:szCs w:val="24"/>
        </w:rPr>
        <w:t>s</w:t>
      </w:r>
      <w:r>
        <w:rPr>
          <w:szCs w:val="24"/>
        </w:rPr>
        <w:t>)</w:t>
      </w:r>
      <w:r w:rsidRPr="00CB46E0">
        <w:rPr>
          <w:szCs w:val="24"/>
        </w:rPr>
        <w:t xml:space="preserve"> </w:t>
      </w:r>
      <w:r>
        <w:rPr>
          <w:szCs w:val="24"/>
        </w:rPr>
        <w:t>included. The Cost Proposal must</w:t>
      </w:r>
      <w:r w:rsidRPr="00CB46E0">
        <w:rPr>
          <w:szCs w:val="24"/>
        </w:rPr>
        <w:t xml:space="preserve"> include a detailed </w:t>
      </w:r>
      <w:r>
        <w:rPr>
          <w:szCs w:val="24"/>
        </w:rPr>
        <w:t xml:space="preserve">narrative </w:t>
      </w:r>
      <w:r w:rsidRPr="00CB46E0">
        <w:rPr>
          <w:szCs w:val="24"/>
        </w:rPr>
        <w:t>description to specify what is included for any indirect cost rates proposed. Indirect costs must not cover costs covered under other costs identified in the Cost Proposal.</w:t>
      </w:r>
    </w:p>
    <w:p w14:paraId="03334BAF" w14:textId="77777777" w:rsidR="00537458" w:rsidRPr="00BB5FFD" w:rsidRDefault="00537458" w:rsidP="00132985">
      <w:pPr>
        <w:pStyle w:val="ListParagraph"/>
        <w:numPr>
          <w:ilvl w:val="0"/>
          <w:numId w:val="13"/>
        </w:numPr>
        <w:tabs>
          <w:tab w:val="left" w:pos="1080"/>
          <w:tab w:val="left" w:pos="2160"/>
        </w:tabs>
        <w:spacing w:before="240" w:after="240"/>
        <w:ind w:hanging="720"/>
        <w:contextualSpacing w:val="0"/>
        <w:rPr>
          <w:rFonts w:cs="Arial"/>
        </w:rPr>
      </w:pPr>
      <w:r w:rsidRPr="00BB5FFD">
        <w:rPr>
          <w:rFonts w:cs="Arial"/>
        </w:rPr>
        <w:lastRenderedPageBreak/>
        <w:t>Travel Rates</w:t>
      </w:r>
    </w:p>
    <w:p w14:paraId="22407A16" w14:textId="39B2DE7D" w:rsidR="007A2A45" w:rsidRDefault="00001A5F" w:rsidP="00537458">
      <w:pPr>
        <w:pStyle w:val="ListParagraph"/>
        <w:tabs>
          <w:tab w:val="left" w:pos="1080"/>
          <w:tab w:val="left" w:pos="2160"/>
        </w:tabs>
        <w:spacing w:before="240" w:after="240"/>
        <w:contextualSpacing w:val="0"/>
        <w:rPr>
          <w:rFonts w:cs="Arial"/>
        </w:rPr>
      </w:pPr>
      <w:bookmarkStart w:id="7" w:name="_Hlk166664732"/>
      <w:r>
        <w:rPr>
          <w:rFonts w:cs="Arial"/>
        </w:rPr>
        <w:t xml:space="preserve">All travel costs do not exceed established travel rates pursuant to </w:t>
      </w:r>
      <w:r w:rsidR="007A2A45">
        <w:rPr>
          <w:rFonts w:cs="Arial"/>
        </w:rPr>
        <w:t>the rates as established by the California Department of Human Resources, for current rates please refer to</w:t>
      </w:r>
      <w:r w:rsidR="00BE60C6">
        <w:rPr>
          <w:rFonts w:cs="Arial"/>
        </w:rPr>
        <w:t xml:space="preserve"> the </w:t>
      </w:r>
      <w:proofErr w:type="spellStart"/>
      <w:r w:rsidR="00BE60C6">
        <w:rPr>
          <w:rFonts w:cs="Arial"/>
        </w:rPr>
        <w:t>CalHR</w:t>
      </w:r>
      <w:proofErr w:type="spellEnd"/>
      <w:r w:rsidR="00BE60C6">
        <w:rPr>
          <w:rFonts w:cs="Arial"/>
        </w:rPr>
        <w:t xml:space="preserve"> website at</w:t>
      </w:r>
      <w:r w:rsidR="007A2A45">
        <w:rPr>
          <w:rFonts w:cs="Arial"/>
        </w:rPr>
        <w:t xml:space="preserve">: </w:t>
      </w:r>
      <w:hyperlink r:id="rId26" w:tooltip="Travel Reimbursements page on the CalHR website" w:history="1">
        <w:r w:rsidR="007A2A45" w:rsidRPr="00D737F1">
          <w:rPr>
            <w:rStyle w:val="Hyperlink"/>
            <w:rFonts w:cs="Arial"/>
          </w:rPr>
          <w:t>https://www.calhr.ca.gov/employees/pages/travel-reimbursements.aspx</w:t>
        </w:r>
      </w:hyperlink>
      <w:r w:rsidR="007A2A45">
        <w:rPr>
          <w:rFonts w:cs="Arial"/>
        </w:rPr>
        <w:t>.</w:t>
      </w:r>
      <w:r>
        <w:rPr>
          <w:rFonts w:cs="Arial"/>
        </w:rPr>
        <w:t xml:space="preserve"> </w:t>
      </w:r>
      <w:bookmarkEnd w:id="7"/>
    </w:p>
    <w:p w14:paraId="61EB2BAC" w14:textId="6221B77A" w:rsidR="00537458" w:rsidRDefault="00537458" w:rsidP="00537458">
      <w:pPr>
        <w:pStyle w:val="ListParagraph"/>
        <w:tabs>
          <w:tab w:val="left" w:pos="1080"/>
          <w:tab w:val="left" w:pos="2160"/>
        </w:tabs>
        <w:spacing w:before="240" w:after="240"/>
        <w:contextualSpacing w:val="0"/>
        <w:rPr>
          <w:rFonts w:cs="Arial"/>
        </w:rPr>
      </w:pPr>
      <w:r>
        <w:rPr>
          <w:rFonts w:cs="Arial"/>
        </w:rPr>
        <w:t>The Cost Proposal must include an a</w:t>
      </w:r>
      <w:r w:rsidRPr="00CB46E0">
        <w:rPr>
          <w:rFonts w:cs="Arial"/>
        </w:rPr>
        <w:t xml:space="preserve">cknowledgement that travel and per diem rates </w:t>
      </w:r>
      <w:r>
        <w:rPr>
          <w:rFonts w:cs="Arial"/>
        </w:rPr>
        <w:t>will</w:t>
      </w:r>
      <w:r w:rsidRPr="00CB46E0">
        <w:rPr>
          <w:rFonts w:cs="Arial"/>
        </w:rPr>
        <w:t xml:space="preserve"> not exceed those established for the State of California’s non-represented </w:t>
      </w:r>
      <w:proofErr w:type="gramStart"/>
      <w:r w:rsidRPr="00CB46E0">
        <w:rPr>
          <w:rFonts w:cs="Arial"/>
        </w:rPr>
        <w:t>employee’s</w:t>
      </w:r>
      <w:proofErr w:type="gramEnd"/>
      <w:r w:rsidRPr="00CB46E0">
        <w:rPr>
          <w:rFonts w:cs="Arial"/>
        </w:rPr>
        <w:t>, computed in accordance with and allowable pursuant to applicable California Department of Human Resources regulations.</w:t>
      </w:r>
    </w:p>
    <w:p w14:paraId="30EFE03D" w14:textId="11F9E7EB" w:rsidR="007A2A45" w:rsidRPr="007A2A45" w:rsidRDefault="007A2A45" w:rsidP="007A2A45">
      <w:pPr>
        <w:pStyle w:val="ListParagraph"/>
        <w:tabs>
          <w:tab w:val="left" w:pos="1080"/>
          <w:tab w:val="left" w:pos="2160"/>
        </w:tabs>
        <w:spacing w:before="240" w:after="240"/>
        <w:rPr>
          <w:rFonts w:cs="Arial"/>
        </w:rPr>
      </w:pPr>
      <w:r>
        <w:rPr>
          <w:rFonts w:cs="Arial"/>
        </w:rPr>
        <w:t xml:space="preserve">Contractor must ensure that all </w:t>
      </w:r>
      <w:r w:rsidRPr="007A2A45">
        <w:rPr>
          <w:rFonts w:cs="Arial"/>
        </w:rPr>
        <w:t>receipts</w:t>
      </w:r>
      <w:r>
        <w:rPr>
          <w:rFonts w:cs="Arial"/>
        </w:rPr>
        <w:t xml:space="preserve"> for travel are retained</w:t>
      </w:r>
      <w:r w:rsidRPr="007A2A45">
        <w:rPr>
          <w:rFonts w:cs="Arial"/>
        </w:rPr>
        <w:t xml:space="preserve">. CDE may require submission of receipts with invoices. All business expenses are to be incurred </w:t>
      </w:r>
      <w:proofErr w:type="gramStart"/>
      <w:r w:rsidRPr="007A2A45">
        <w:rPr>
          <w:rFonts w:cs="Arial"/>
        </w:rPr>
        <w:t>as a result of</w:t>
      </w:r>
      <w:proofErr w:type="gramEnd"/>
      <w:r w:rsidRPr="007A2A45">
        <w:rPr>
          <w:rFonts w:cs="Arial"/>
        </w:rPr>
        <w:t xml:space="preserve"> conducting state business, and are subject to review/verification by the CDE.</w:t>
      </w:r>
    </w:p>
    <w:p w14:paraId="7125B635" w14:textId="77777777" w:rsidR="007A2A45" w:rsidRDefault="007A2A45" w:rsidP="00BB5FFD">
      <w:pPr>
        <w:pStyle w:val="ListParagraph"/>
        <w:tabs>
          <w:tab w:val="left" w:pos="1080"/>
          <w:tab w:val="left" w:pos="2160"/>
        </w:tabs>
        <w:spacing w:before="240"/>
        <w:contextualSpacing w:val="0"/>
        <w:rPr>
          <w:rFonts w:cs="Arial"/>
        </w:rPr>
      </w:pPr>
    </w:p>
    <w:p w14:paraId="06E3241F" w14:textId="0192A08B" w:rsidR="007A2A45" w:rsidRPr="00CB46E0" w:rsidRDefault="007A2A45" w:rsidP="00BB5FFD">
      <w:pPr>
        <w:pStyle w:val="ListParagraph"/>
        <w:tabs>
          <w:tab w:val="left" w:pos="1080"/>
          <w:tab w:val="left" w:pos="2160"/>
        </w:tabs>
        <w:spacing w:after="240"/>
        <w:contextualSpacing w:val="0"/>
        <w:rPr>
          <w:rFonts w:cs="Arial"/>
        </w:rPr>
      </w:pPr>
      <w:r w:rsidRPr="007A2A45">
        <w:rPr>
          <w:rFonts w:cs="Arial"/>
        </w:rPr>
        <w:t>Contractors/subcontractors are subject to the same rules and requirements if they are reimbursed for travel. Meals when the individual is not on travel status and refreshments or break service at meetings are not reimbursable.</w:t>
      </w:r>
    </w:p>
    <w:p w14:paraId="15F7610C" w14:textId="77777777" w:rsidR="00537458" w:rsidRDefault="00537458" w:rsidP="00132985">
      <w:pPr>
        <w:pStyle w:val="ListParagraph"/>
        <w:numPr>
          <w:ilvl w:val="0"/>
          <w:numId w:val="13"/>
        </w:numPr>
        <w:tabs>
          <w:tab w:val="left" w:pos="1080"/>
        </w:tabs>
        <w:spacing w:before="240" w:after="240"/>
        <w:ind w:hanging="720"/>
        <w:contextualSpacing w:val="0"/>
        <w:rPr>
          <w:rFonts w:cs="Arial"/>
        </w:rPr>
      </w:pPr>
      <w:r>
        <w:rPr>
          <w:rFonts w:cs="Arial"/>
        </w:rPr>
        <w:t>Subcontractor/DVBE Costs</w:t>
      </w:r>
    </w:p>
    <w:p w14:paraId="4E52C1A1" w14:textId="77777777" w:rsidR="00537458" w:rsidRDefault="00537458" w:rsidP="00537458">
      <w:pPr>
        <w:pStyle w:val="ListParagraph"/>
        <w:tabs>
          <w:tab w:val="left" w:pos="1080"/>
        </w:tabs>
        <w:spacing w:before="240" w:after="240"/>
        <w:contextualSpacing w:val="0"/>
        <w:rPr>
          <w:rFonts w:cs="Arial"/>
        </w:rPr>
      </w:pPr>
      <w:bookmarkStart w:id="8" w:name="_Hlk166664836"/>
      <w:r>
        <w:rPr>
          <w:szCs w:val="24"/>
        </w:rPr>
        <w:t>The Cost Proposal must i</w:t>
      </w:r>
      <w:r w:rsidRPr="00CB46E0">
        <w:rPr>
          <w:szCs w:val="24"/>
        </w:rPr>
        <w:t>dentif</w:t>
      </w:r>
      <w:r>
        <w:rPr>
          <w:szCs w:val="24"/>
        </w:rPr>
        <w:t>y</w:t>
      </w:r>
      <w:r w:rsidRPr="00CB46E0">
        <w:rPr>
          <w:szCs w:val="24"/>
        </w:rPr>
        <w:t xml:space="preserve"> </w:t>
      </w:r>
      <w:r>
        <w:rPr>
          <w:szCs w:val="24"/>
        </w:rPr>
        <w:t>w</w:t>
      </w:r>
      <w:r w:rsidRPr="00E45887">
        <w:rPr>
          <w:rFonts w:cs="Arial"/>
        </w:rPr>
        <w:t xml:space="preserve">hich labor, goods, or services within a task are being provided by a subcontractor, including but not limited to DVBE subcontractor(s). The Cost Proposal must contain a section that in detail breaks down all subcontractor costs for each task </w:t>
      </w:r>
      <w:r>
        <w:rPr>
          <w:rFonts w:cs="Arial"/>
        </w:rPr>
        <w:t xml:space="preserve">and subtask </w:t>
      </w:r>
      <w:r w:rsidRPr="00E45887">
        <w:rPr>
          <w:rFonts w:cs="Arial"/>
        </w:rPr>
        <w:t>that will be provided by a subcontractor, for each fiscal year covered under this RFP</w:t>
      </w:r>
      <w:r>
        <w:rPr>
          <w:rFonts w:cs="Arial"/>
        </w:rPr>
        <w:t xml:space="preserve">, </w:t>
      </w:r>
      <w:proofErr w:type="gramStart"/>
      <w:r>
        <w:rPr>
          <w:rFonts w:cs="Arial"/>
        </w:rPr>
        <w:t>or part</w:t>
      </w:r>
      <w:proofErr w:type="gramEnd"/>
      <w:r>
        <w:rPr>
          <w:rFonts w:cs="Arial"/>
        </w:rPr>
        <w:t xml:space="preserve"> thereof.</w:t>
      </w:r>
      <w:bookmarkEnd w:id="8"/>
    </w:p>
    <w:p w14:paraId="00C828C3" w14:textId="1027FD7C" w:rsidR="00537458" w:rsidRDefault="004564C9" w:rsidP="00537458">
      <w:pPr>
        <w:pStyle w:val="Heading4"/>
      </w:pPr>
      <w:r>
        <w:t>3</w:t>
      </w:r>
      <w:r w:rsidR="00537458">
        <w:t>.3.5 Cost Proposal Packaging</w:t>
      </w:r>
    </w:p>
    <w:p w14:paraId="4644582B" w14:textId="02819BDA" w:rsidR="00537458" w:rsidRPr="00132985" w:rsidRDefault="00537458" w:rsidP="00F16D63">
      <w:pPr>
        <w:widowControl w:val="0"/>
        <w:spacing w:before="240" w:after="240"/>
        <w:rPr>
          <w:b/>
          <w:snapToGrid w:val="0"/>
          <w:color w:val="FF0000"/>
          <w:sz w:val="36"/>
          <w:szCs w:val="36"/>
        </w:rPr>
      </w:pPr>
      <w:r w:rsidRPr="00233944">
        <w:rPr>
          <w:rFonts w:cs="Arial"/>
        </w:rPr>
        <w:t xml:space="preserve">The Cost Proposal must be submitted in a separately sealed envelope, marked as specified </w:t>
      </w:r>
      <w:r w:rsidR="00F16D63">
        <w:rPr>
          <w:rFonts w:cs="Arial"/>
        </w:rPr>
        <w:t>in RFP Section 3.5 Submission of Proposal.</w:t>
      </w:r>
    </w:p>
    <w:p w14:paraId="46F74D6D" w14:textId="0304B3FF" w:rsidR="00537458" w:rsidRPr="006A0010" w:rsidRDefault="00537458" w:rsidP="00F67ED5">
      <w:pPr>
        <w:pStyle w:val="Heading3"/>
        <w:rPr>
          <w:sz w:val="24"/>
        </w:rPr>
      </w:pPr>
      <w:r>
        <w:t>3</w:t>
      </w:r>
      <w:r w:rsidRPr="00FF72D2">
        <w:t>.</w:t>
      </w:r>
      <w:r>
        <w:t xml:space="preserve">4 </w:t>
      </w:r>
      <w:r w:rsidRPr="00FF72D2">
        <w:t>Errors in a Bidder’s Technical and/or Cost Proposal</w:t>
      </w:r>
    </w:p>
    <w:p w14:paraId="18622657" w14:textId="77777777" w:rsidR="00537458" w:rsidRPr="00FF72D2" w:rsidRDefault="00537458" w:rsidP="00537458">
      <w:pPr>
        <w:spacing w:before="240" w:after="240"/>
        <w:rPr>
          <w:iCs/>
        </w:rPr>
      </w:pPr>
      <w:r w:rsidRPr="00FF72D2">
        <w:rPr>
          <w:iCs/>
        </w:rPr>
        <w:t>An error in the proposal may cause rejection of that bid; however, the CDE may, at its sole discretion, retain the proposal and require certain corrections. In determining if a correction will be made, the CDE will consider the conformance of the bid to the format and content required by the RFP, and any unusual complexity of the format and content required by the RFP.</w:t>
      </w:r>
    </w:p>
    <w:p w14:paraId="0865A5FC" w14:textId="77777777" w:rsidR="00537458" w:rsidRPr="00FF72D2" w:rsidRDefault="00537458" w:rsidP="00537458">
      <w:pPr>
        <w:spacing w:before="240" w:after="240"/>
        <w:rPr>
          <w:iCs/>
        </w:rPr>
      </w:pPr>
      <w:r w:rsidRPr="00FF72D2">
        <w:rPr>
          <w:iCs/>
        </w:rPr>
        <w:t>If the bidder’s intent is clearly established based on review of the submitted proposal, the CDE may, at its sole discretion, require a bidder to correct an error based on that established intent. The CDE may, at its sole discretion, require a bidder to correct obvious clerical errors. The CDE may, at its sole discretion, require a bidder to correct errors of omission, and in the following three situations, the CDE will take the indicated actions if the bidder’s intent is not clearly established by the complete bid submittal:</w:t>
      </w:r>
    </w:p>
    <w:p w14:paraId="3E9D67E0" w14:textId="77777777" w:rsidR="00537458" w:rsidRPr="00FF72D2" w:rsidRDefault="00537458" w:rsidP="00537458">
      <w:pPr>
        <w:widowControl w:val="0"/>
        <w:numPr>
          <w:ilvl w:val="0"/>
          <w:numId w:val="10"/>
        </w:numPr>
        <w:spacing w:before="240" w:after="240"/>
        <w:ind w:left="720" w:hanging="720"/>
        <w:rPr>
          <w:iCs/>
        </w:rPr>
      </w:pPr>
      <w:r w:rsidRPr="00FF72D2">
        <w:rPr>
          <w:iCs/>
        </w:rPr>
        <w:t>If a deliverable</w:t>
      </w:r>
      <w:r>
        <w:rPr>
          <w:iCs/>
        </w:rPr>
        <w:t>, task, sub</w:t>
      </w:r>
      <w:r w:rsidRPr="00FF72D2">
        <w:rPr>
          <w:iCs/>
        </w:rPr>
        <w:t xml:space="preserve">task, or staff is described in the narrative and omitted from the </w:t>
      </w:r>
      <w:r>
        <w:rPr>
          <w:rFonts w:cs="Arial"/>
        </w:rPr>
        <w:t>C</w:t>
      </w:r>
      <w:r w:rsidRPr="00C17D65">
        <w:rPr>
          <w:rFonts w:cs="Arial"/>
        </w:rPr>
        <w:t xml:space="preserve">ost </w:t>
      </w:r>
      <w:r>
        <w:rPr>
          <w:rFonts w:cs="Arial"/>
        </w:rPr>
        <w:t>P</w:t>
      </w:r>
      <w:r w:rsidRPr="00C17D65">
        <w:rPr>
          <w:rFonts w:cs="Arial"/>
        </w:rPr>
        <w:t>roposal</w:t>
      </w:r>
      <w:r w:rsidRPr="00FF72D2">
        <w:rPr>
          <w:iCs/>
        </w:rPr>
        <w:t xml:space="preserve">, it will be interpreted to mean </w:t>
      </w:r>
      <w:r>
        <w:rPr>
          <w:iCs/>
        </w:rPr>
        <w:t xml:space="preserve">that the </w:t>
      </w:r>
      <w:proofErr w:type="gramStart"/>
      <w:r>
        <w:rPr>
          <w:iCs/>
        </w:rPr>
        <w:t>deliverable</w:t>
      </w:r>
      <w:proofErr w:type="gramEnd"/>
      <w:r>
        <w:rPr>
          <w:iCs/>
        </w:rPr>
        <w:t>, task, sub</w:t>
      </w:r>
      <w:r w:rsidRPr="00FF72D2">
        <w:rPr>
          <w:iCs/>
        </w:rPr>
        <w:t>task, or staff will be provided by the bidder at no cost.</w:t>
      </w:r>
    </w:p>
    <w:p w14:paraId="37A6C01C" w14:textId="77777777" w:rsidR="00537458" w:rsidRDefault="00537458" w:rsidP="00537458">
      <w:pPr>
        <w:widowControl w:val="0"/>
        <w:numPr>
          <w:ilvl w:val="0"/>
          <w:numId w:val="10"/>
        </w:numPr>
        <w:spacing w:before="240" w:after="240"/>
        <w:ind w:left="720" w:hanging="720"/>
        <w:rPr>
          <w:iCs/>
        </w:rPr>
      </w:pPr>
      <w:r>
        <w:rPr>
          <w:iCs/>
        </w:rPr>
        <w:lastRenderedPageBreak/>
        <w:t xml:space="preserve">If a </w:t>
      </w:r>
      <w:proofErr w:type="gramStart"/>
      <w:r>
        <w:rPr>
          <w:iCs/>
        </w:rPr>
        <w:t>deliverable,</w:t>
      </w:r>
      <w:proofErr w:type="gramEnd"/>
      <w:r>
        <w:rPr>
          <w:iCs/>
        </w:rPr>
        <w:t xml:space="preserve"> task, or sub</w:t>
      </w:r>
      <w:r w:rsidRPr="00FF72D2">
        <w:rPr>
          <w:iCs/>
        </w:rPr>
        <w:t xml:space="preserve">task is not mentioned at all in the bidder’s proposal, the bid will be interpreted to mean that the bidder does not intend to perform that </w:t>
      </w:r>
      <w:proofErr w:type="gramStart"/>
      <w:r w:rsidRPr="00FF72D2">
        <w:rPr>
          <w:iCs/>
        </w:rPr>
        <w:t>deliverable,</w:t>
      </w:r>
      <w:proofErr w:type="gramEnd"/>
      <w:r w:rsidRPr="00FF72D2">
        <w:rPr>
          <w:iCs/>
        </w:rPr>
        <w:t xml:space="preserve"> task, or</w:t>
      </w:r>
      <w:r>
        <w:rPr>
          <w:iCs/>
        </w:rPr>
        <w:t xml:space="preserve"> sub</w:t>
      </w:r>
      <w:r w:rsidRPr="00FF72D2">
        <w:rPr>
          <w:iCs/>
        </w:rPr>
        <w:t>task.</w:t>
      </w:r>
    </w:p>
    <w:p w14:paraId="1324D3CE" w14:textId="77777777" w:rsidR="00537458" w:rsidRPr="00FF72D2" w:rsidRDefault="00537458" w:rsidP="00537458">
      <w:pPr>
        <w:widowControl w:val="0"/>
        <w:numPr>
          <w:ilvl w:val="0"/>
          <w:numId w:val="10"/>
        </w:numPr>
        <w:spacing w:before="240" w:after="240"/>
        <w:ind w:left="720" w:hanging="720"/>
        <w:rPr>
          <w:iCs/>
        </w:rPr>
      </w:pPr>
      <w:r w:rsidRPr="00FF72D2">
        <w:rPr>
          <w:iCs/>
        </w:rPr>
        <w:t xml:space="preserve">If a </w:t>
      </w:r>
      <w:proofErr w:type="gramStart"/>
      <w:r w:rsidRPr="00FF72D2">
        <w:rPr>
          <w:iCs/>
        </w:rPr>
        <w:t>deliverable,</w:t>
      </w:r>
      <w:proofErr w:type="gramEnd"/>
      <w:r w:rsidRPr="00FF72D2">
        <w:rPr>
          <w:iCs/>
        </w:rPr>
        <w:t xml:space="preserve"> task, or subtask is omitted, and the omission is not discovered until after contract award, the bidder shall be required to perform that </w:t>
      </w:r>
      <w:proofErr w:type="gramStart"/>
      <w:r w:rsidRPr="00FF72D2">
        <w:rPr>
          <w:iCs/>
        </w:rPr>
        <w:t>deliverable,</w:t>
      </w:r>
      <w:proofErr w:type="gramEnd"/>
      <w:r w:rsidRPr="00FF72D2">
        <w:rPr>
          <w:iCs/>
        </w:rPr>
        <w:t xml:space="preserve"> task, or subtask at no cost.</w:t>
      </w:r>
    </w:p>
    <w:p w14:paraId="06DE5351" w14:textId="712EDFAB" w:rsidR="00537458" w:rsidRPr="006A0010" w:rsidRDefault="00537458" w:rsidP="00F67ED5">
      <w:pPr>
        <w:pStyle w:val="Heading3"/>
        <w:rPr>
          <w:sz w:val="24"/>
        </w:rPr>
      </w:pPr>
      <w:r>
        <w:rPr>
          <w:szCs w:val="24"/>
        </w:rPr>
        <w:t>3</w:t>
      </w:r>
      <w:r w:rsidRPr="00CF1AF9">
        <w:rPr>
          <w:szCs w:val="24"/>
        </w:rPr>
        <w:t>.5</w:t>
      </w:r>
      <w:r w:rsidRPr="00CF1AF9">
        <w:t xml:space="preserve"> </w:t>
      </w:r>
      <w:r w:rsidRPr="00993476">
        <w:t>Submission of Proposal</w:t>
      </w:r>
    </w:p>
    <w:p w14:paraId="1A2EF6DC" w14:textId="77777777" w:rsidR="00537458" w:rsidRDefault="00537458" w:rsidP="00537458">
      <w:pPr>
        <w:pStyle w:val="ListParagraph"/>
        <w:numPr>
          <w:ilvl w:val="0"/>
          <w:numId w:val="7"/>
        </w:numPr>
        <w:spacing w:before="240" w:after="240"/>
        <w:ind w:left="720" w:hanging="720"/>
        <w:contextualSpacing w:val="0"/>
      </w:pPr>
      <w:r w:rsidRPr="00993476">
        <w:t xml:space="preserve">Proposals must provide clear and concise descriptions of the bidder’s ability to satisfy the requirements of this RFP. The proposals must include all requirements specified in this RFP. Omissions, inaccuracies or misstatements </w:t>
      </w:r>
      <w:r>
        <w:t>may</w:t>
      </w:r>
      <w:r w:rsidRPr="00993476">
        <w:t xml:space="preserve"> </w:t>
      </w:r>
      <w:r>
        <w:t xml:space="preserve">be </w:t>
      </w:r>
      <w:r w:rsidRPr="00993476">
        <w:t>sufficient cause for rejection of a proposal.</w:t>
      </w:r>
    </w:p>
    <w:p w14:paraId="0C62DA01" w14:textId="19A41040" w:rsidR="00E3649E" w:rsidRPr="000849FF" w:rsidRDefault="00E3649E" w:rsidP="00E3649E">
      <w:pPr>
        <w:widowControl w:val="0"/>
        <w:numPr>
          <w:ilvl w:val="0"/>
          <w:numId w:val="7"/>
        </w:numPr>
        <w:spacing w:before="240" w:after="240"/>
        <w:ind w:left="720" w:hanging="720"/>
        <w:rPr>
          <w:rFonts w:cs="Arial"/>
        </w:rPr>
      </w:pPr>
      <w:r w:rsidRPr="000849FF">
        <w:rPr>
          <w:b/>
        </w:rPr>
        <w:t>Technical Proposal:</w:t>
      </w:r>
      <w:r>
        <w:t xml:space="preserve"> </w:t>
      </w:r>
      <w:r w:rsidRPr="000849FF">
        <w:t xml:space="preserve">The original Technical Proposal must be </w:t>
      </w:r>
      <w:r>
        <w:t xml:space="preserve">a </w:t>
      </w:r>
      <w:r w:rsidRPr="000849FF">
        <w:t xml:space="preserve">single sided, hardcopy marked “Original Copy.” All documents contained in the original Technical Proposal package must have original signatures and must be signed by the person who is authorized to bind the bidder. </w:t>
      </w:r>
      <w:r w:rsidRPr="000849FF">
        <w:rPr>
          <w:rFonts w:cs="Arial"/>
        </w:rPr>
        <w:t xml:space="preserve">All additional copies of the Technical Proposal may be </w:t>
      </w:r>
      <w:proofErr w:type="gramStart"/>
      <w:r w:rsidRPr="000849FF">
        <w:rPr>
          <w:rFonts w:cs="Arial"/>
        </w:rPr>
        <w:t>single sided</w:t>
      </w:r>
      <w:proofErr w:type="gramEnd"/>
      <w:r w:rsidRPr="000849FF">
        <w:rPr>
          <w:rFonts w:cs="Arial"/>
        </w:rPr>
        <w:t xml:space="preserve"> hardcopies (should the additional sets be </w:t>
      </w:r>
      <w:r w:rsidR="00875DDC" w:rsidRPr="000849FF">
        <w:rPr>
          <w:rFonts w:cs="Arial"/>
        </w:rPr>
        <w:t>double</w:t>
      </w:r>
      <w:r w:rsidR="00875DDC">
        <w:rPr>
          <w:rFonts w:cs="Arial"/>
        </w:rPr>
        <w:t>-</w:t>
      </w:r>
      <w:r w:rsidR="00875DDC" w:rsidRPr="000849FF">
        <w:rPr>
          <w:rFonts w:cs="Arial"/>
        </w:rPr>
        <w:t>sided;</w:t>
      </w:r>
      <w:r w:rsidRPr="000849FF">
        <w:rPr>
          <w:rFonts w:cs="Arial"/>
        </w:rPr>
        <w:t xml:space="preserve"> the bidder must ensure that text is not missing when three</w:t>
      </w:r>
      <w:r>
        <w:rPr>
          <w:rFonts w:cs="Arial"/>
        </w:rPr>
        <w:t>-</w:t>
      </w:r>
      <w:r w:rsidRPr="000849FF">
        <w:rPr>
          <w:rFonts w:cs="Arial"/>
        </w:rPr>
        <w:t>hole punched) and may contain photocopies of the original package. The Technical Proposal package should be prepared in the least expensive method. All copies of the Technical Proposal may be submitted in a binder(s) and may use three-hole punch. The e</w:t>
      </w:r>
      <w:r w:rsidRPr="000849FF">
        <w:t xml:space="preserve">lectronic copy must be on a portable </w:t>
      </w:r>
      <w:r>
        <w:t xml:space="preserve">USB </w:t>
      </w:r>
      <w:r w:rsidRPr="000849FF">
        <w:t>drive and must contain the complete Technical Proposal</w:t>
      </w:r>
      <w:r w:rsidR="001E6AB5">
        <w:t xml:space="preserve"> (RFP Section 3.1 and 3.2)</w:t>
      </w:r>
      <w:r w:rsidRPr="000849FF">
        <w:t>.</w:t>
      </w:r>
    </w:p>
    <w:p w14:paraId="4751FD74" w14:textId="3BC5A0C3" w:rsidR="00E3649E" w:rsidRDefault="00E3649E" w:rsidP="00E3649E">
      <w:pPr>
        <w:widowControl w:val="0"/>
        <w:spacing w:before="240" w:after="240"/>
        <w:ind w:left="720"/>
      </w:pPr>
      <w:r w:rsidRPr="000849FF">
        <w:rPr>
          <w:b/>
        </w:rPr>
        <w:t>Cost Proposal:</w:t>
      </w:r>
      <w:r>
        <w:t xml:space="preserve"> T</w:t>
      </w:r>
      <w:r w:rsidRPr="000849FF">
        <w:t>he original Cost Proposal must be</w:t>
      </w:r>
      <w:r>
        <w:t xml:space="preserve"> a</w:t>
      </w:r>
      <w:r w:rsidRPr="000849FF">
        <w:t xml:space="preserve"> single sided, hardcopy marked “Original Copy.”</w:t>
      </w:r>
      <w:r w:rsidRPr="0027123F">
        <w:t xml:space="preserve"> </w:t>
      </w:r>
      <w:r w:rsidRPr="00CB0058">
        <w:rPr>
          <w:rFonts w:cs="Arial"/>
        </w:rPr>
        <w:t xml:space="preserve">All additional </w:t>
      </w:r>
      <w:r>
        <w:rPr>
          <w:rFonts w:cs="Arial"/>
        </w:rPr>
        <w:t>copies</w:t>
      </w:r>
      <w:r w:rsidRPr="00CB0058">
        <w:rPr>
          <w:rFonts w:cs="Arial"/>
        </w:rPr>
        <w:t xml:space="preserve"> of the </w:t>
      </w:r>
      <w:r>
        <w:rPr>
          <w:rFonts w:cs="Arial"/>
        </w:rPr>
        <w:t>Cost P</w:t>
      </w:r>
      <w:r w:rsidRPr="00CB0058">
        <w:rPr>
          <w:rFonts w:cs="Arial"/>
        </w:rPr>
        <w:t xml:space="preserve">roposal may be </w:t>
      </w:r>
      <w:proofErr w:type="gramStart"/>
      <w:r w:rsidRPr="00CB0058">
        <w:rPr>
          <w:rFonts w:cs="Arial"/>
        </w:rPr>
        <w:t>single sided</w:t>
      </w:r>
      <w:proofErr w:type="gramEnd"/>
      <w:r w:rsidRPr="00CB0058">
        <w:rPr>
          <w:rFonts w:cs="Arial"/>
        </w:rPr>
        <w:t xml:space="preserve"> </w:t>
      </w:r>
      <w:r>
        <w:rPr>
          <w:rFonts w:cs="Arial"/>
        </w:rPr>
        <w:t xml:space="preserve">hardcopies </w:t>
      </w:r>
      <w:r w:rsidRPr="00CB0058">
        <w:rPr>
          <w:rFonts w:cs="Arial"/>
        </w:rPr>
        <w:t xml:space="preserve">(should the additional sets be </w:t>
      </w:r>
      <w:r w:rsidR="00875DDC" w:rsidRPr="00CB0058">
        <w:rPr>
          <w:rFonts w:cs="Arial"/>
        </w:rPr>
        <w:t>double</w:t>
      </w:r>
      <w:r w:rsidR="00875DDC">
        <w:rPr>
          <w:rFonts w:cs="Arial"/>
        </w:rPr>
        <w:t>-</w:t>
      </w:r>
      <w:r w:rsidR="00875DDC" w:rsidRPr="00CB0058">
        <w:rPr>
          <w:rFonts w:cs="Arial"/>
        </w:rPr>
        <w:t>sided;</w:t>
      </w:r>
      <w:r w:rsidRPr="00CB0058">
        <w:rPr>
          <w:rFonts w:cs="Arial"/>
        </w:rPr>
        <w:t xml:space="preserve"> the bidder must ensure that text is not missing when three</w:t>
      </w:r>
      <w:r>
        <w:rPr>
          <w:rFonts w:cs="Arial"/>
        </w:rPr>
        <w:t>-</w:t>
      </w:r>
      <w:r w:rsidRPr="00CB0058">
        <w:rPr>
          <w:rFonts w:cs="Arial"/>
        </w:rPr>
        <w:t xml:space="preserve">hole punched) and may contain photocopies of the original package. The </w:t>
      </w:r>
      <w:r>
        <w:rPr>
          <w:rFonts w:cs="Arial"/>
        </w:rPr>
        <w:t>Cost P</w:t>
      </w:r>
      <w:r w:rsidRPr="00CB0058">
        <w:rPr>
          <w:rFonts w:cs="Arial"/>
        </w:rPr>
        <w:t xml:space="preserve">roposal package should be prepared in the least expensive method. All copies of the </w:t>
      </w:r>
      <w:r>
        <w:rPr>
          <w:rFonts w:cs="Arial"/>
        </w:rPr>
        <w:t>Cost P</w:t>
      </w:r>
      <w:r w:rsidRPr="00CB0058">
        <w:rPr>
          <w:rFonts w:cs="Arial"/>
        </w:rPr>
        <w:t xml:space="preserve">roposal </w:t>
      </w:r>
      <w:r>
        <w:rPr>
          <w:rFonts w:cs="Arial"/>
        </w:rPr>
        <w:t>may</w:t>
      </w:r>
      <w:r w:rsidRPr="00CB0058">
        <w:rPr>
          <w:rFonts w:cs="Arial"/>
        </w:rPr>
        <w:t xml:space="preserve"> be submitted in a binder(s) and may use three</w:t>
      </w:r>
      <w:r>
        <w:rPr>
          <w:rFonts w:cs="Arial"/>
        </w:rPr>
        <w:t>-</w:t>
      </w:r>
      <w:r w:rsidRPr="00CB0058">
        <w:rPr>
          <w:rFonts w:cs="Arial"/>
        </w:rPr>
        <w:t>hole punch.</w:t>
      </w:r>
      <w:r>
        <w:rPr>
          <w:rFonts w:cs="Arial"/>
        </w:rPr>
        <w:t xml:space="preserve"> The e</w:t>
      </w:r>
      <w:r>
        <w:t>lectronic copy must be on a portable USB drive, separate from the Technical Proposal’s portable USB drive, and must contain the complete Cost Proposal</w:t>
      </w:r>
      <w:r w:rsidR="001E6AB5">
        <w:t xml:space="preserve"> (RFP Section 3.3)</w:t>
      </w:r>
      <w:r>
        <w:t>.</w:t>
      </w:r>
    </w:p>
    <w:p w14:paraId="5485FFA4" w14:textId="28C186FE" w:rsidR="00E3649E" w:rsidRDefault="00E3649E" w:rsidP="00537458">
      <w:pPr>
        <w:pStyle w:val="ListParagraph"/>
        <w:numPr>
          <w:ilvl w:val="0"/>
          <w:numId w:val="7"/>
        </w:numPr>
        <w:spacing w:before="240" w:after="240"/>
        <w:ind w:left="720" w:hanging="720"/>
        <w:contextualSpacing w:val="0"/>
      </w:pPr>
      <w:r>
        <w:t xml:space="preserve">All original/copies/portable USB drives for the Technical Proposal must be sealed and packaged separately from the </w:t>
      </w:r>
      <w:proofErr w:type="gramStart"/>
      <w:r>
        <w:t>original/copies</w:t>
      </w:r>
      <w:proofErr w:type="gramEnd"/>
      <w:r>
        <w:t>/portable USB drives for the Cost Proposal.</w:t>
      </w:r>
    </w:p>
    <w:p w14:paraId="65601FE1" w14:textId="73C4A5F6" w:rsidR="00E3649E" w:rsidRDefault="00E3649E" w:rsidP="00537458">
      <w:pPr>
        <w:pStyle w:val="ListParagraph"/>
        <w:numPr>
          <w:ilvl w:val="0"/>
          <w:numId w:val="7"/>
        </w:numPr>
        <w:spacing w:before="240" w:after="240"/>
        <w:ind w:left="720" w:hanging="720"/>
        <w:contextualSpacing w:val="0"/>
      </w:pPr>
      <w:r>
        <w:t>Original signature shall mean a manual handwritten signature or mark in wet ink.</w:t>
      </w:r>
    </w:p>
    <w:p w14:paraId="0AAB9087" w14:textId="5A1FC43A" w:rsidR="00537458" w:rsidRDefault="00537458" w:rsidP="00537458">
      <w:pPr>
        <w:pStyle w:val="ListParagraph"/>
        <w:numPr>
          <w:ilvl w:val="0"/>
          <w:numId w:val="7"/>
        </w:numPr>
        <w:spacing w:before="240" w:after="240"/>
        <w:ind w:left="720" w:hanging="720"/>
        <w:contextualSpacing w:val="0"/>
      </w:pPr>
      <w:r>
        <w:t xml:space="preserve">Proposals must be submitted for the performance of all tasks/subtasks described herein. Any deviation from the tasks/subtasks described in Section </w:t>
      </w:r>
      <w:r w:rsidR="00DC395C">
        <w:t>7</w:t>
      </w:r>
      <w:r>
        <w:t xml:space="preserve"> (Scope of Project) will not be considered and will cause a proposal to be rejected.</w:t>
      </w:r>
    </w:p>
    <w:p w14:paraId="33A7825D" w14:textId="1098FED6" w:rsidR="00E3649E" w:rsidRDefault="006C6950" w:rsidP="00537458">
      <w:pPr>
        <w:pStyle w:val="ListParagraph"/>
        <w:numPr>
          <w:ilvl w:val="0"/>
          <w:numId w:val="7"/>
        </w:numPr>
        <w:spacing w:before="240" w:after="240"/>
        <w:ind w:left="720" w:hanging="720"/>
        <w:contextualSpacing w:val="0"/>
      </w:pPr>
      <w:r>
        <w:t xml:space="preserve">The </w:t>
      </w:r>
      <w:r w:rsidR="00537458">
        <w:t>CDE does not accept alternate Agreement language from a bidder. A proposal with such language will be considered a counter proposal and will be rejected.</w:t>
      </w:r>
    </w:p>
    <w:p w14:paraId="72D4360D" w14:textId="36B8F75E" w:rsidR="00537458" w:rsidRDefault="00537458" w:rsidP="00537458">
      <w:pPr>
        <w:pStyle w:val="ListParagraph"/>
        <w:numPr>
          <w:ilvl w:val="0"/>
          <w:numId w:val="7"/>
        </w:numPr>
        <w:spacing w:before="240" w:after="240"/>
        <w:ind w:left="720" w:hanging="720"/>
        <w:contextualSpacing w:val="0"/>
      </w:pPr>
      <w:r>
        <w:t xml:space="preserve">The State </w:t>
      </w:r>
      <w:r w:rsidRPr="006F7F36">
        <w:t>General Terms and Conditions GTC</w:t>
      </w:r>
      <w:r>
        <w:t xml:space="preserve"> </w:t>
      </w:r>
      <w:r w:rsidR="00803079">
        <w:t>02</w:t>
      </w:r>
      <w:r>
        <w:t>/</w:t>
      </w:r>
      <w:r w:rsidR="00803079">
        <w:t xml:space="preserve">2025 </w:t>
      </w:r>
      <w:r>
        <w:t>are not negotiable</w:t>
      </w:r>
      <w:r w:rsidR="005F6A54">
        <w:t xml:space="preserve"> and will be incorporated into the final contract</w:t>
      </w:r>
      <w:r w:rsidR="002D2C28">
        <w:t xml:space="preserve"> (See RFP Section 9)</w:t>
      </w:r>
      <w:r>
        <w:t xml:space="preserve">. The General Terms and </w:t>
      </w:r>
      <w:r>
        <w:lastRenderedPageBreak/>
        <w:t xml:space="preserve">Conditions can be found at: </w:t>
      </w:r>
      <w:hyperlink r:id="rId27" w:tooltip="Standard Contract Language page on the DGS website" w:history="1">
        <w:r w:rsidRPr="008328D9">
          <w:rPr>
            <w:rStyle w:val="Hyperlink"/>
          </w:rPr>
          <w:t>https://www.dgs.ca.gov/OLS/Resources/Page-Content/Office-of-Legal-Services-Resources-List-Folder/Standard-Contract-Language</w:t>
        </w:r>
      </w:hyperlink>
      <w:r>
        <w:t>.</w:t>
      </w:r>
    </w:p>
    <w:p w14:paraId="522A749A" w14:textId="77777777" w:rsidR="00537458" w:rsidRDefault="00537458" w:rsidP="00537458">
      <w:pPr>
        <w:pStyle w:val="ListParagraph"/>
        <w:numPr>
          <w:ilvl w:val="0"/>
          <w:numId w:val="7"/>
        </w:numPr>
        <w:spacing w:before="240" w:after="240"/>
        <w:ind w:left="720" w:hanging="720"/>
        <w:contextualSpacing w:val="0"/>
      </w:pPr>
      <w:r>
        <w:t xml:space="preserve">Proposals shall be </w:t>
      </w:r>
      <w:r w:rsidRPr="003112FE">
        <w:t>submitted in two (2) separate</w:t>
      </w:r>
      <w:r>
        <w:t xml:space="preserve"> </w:t>
      </w:r>
      <w:r w:rsidRPr="003112FE">
        <w:t>sealed</w:t>
      </w:r>
      <w:r>
        <w:t xml:space="preserve"> packages/envelopes:</w:t>
      </w:r>
    </w:p>
    <w:p w14:paraId="41C816BB" w14:textId="49578704" w:rsidR="00537458" w:rsidRDefault="00537458" w:rsidP="00132985">
      <w:pPr>
        <w:pStyle w:val="ListParagraph"/>
        <w:numPr>
          <w:ilvl w:val="0"/>
          <w:numId w:val="14"/>
        </w:numPr>
        <w:spacing w:before="240" w:after="240"/>
        <w:ind w:left="1080"/>
        <w:contextualSpacing w:val="0"/>
      </w:pPr>
      <w:r w:rsidRPr="00363FC1">
        <w:rPr>
          <w:b/>
        </w:rPr>
        <w:t>First Sealed Package/Envelope:</w:t>
      </w:r>
      <w:r>
        <w:t xml:space="preserve"> Technical Proposal — One Original Technical Proposal</w:t>
      </w:r>
      <w:r w:rsidR="00E3649E">
        <w:t>, three copies, and one portable USB drive</w:t>
      </w:r>
      <w:r>
        <w:t xml:space="preserve"> with all requirements specified in Section </w:t>
      </w:r>
      <w:r w:rsidR="00132985">
        <w:t>3</w:t>
      </w:r>
      <w:r>
        <w:t xml:space="preserve">.1 and </w:t>
      </w:r>
      <w:r w:rsidR="00132985">
        <w:t>3</w:t>
      </w:r>
      <w:r>
        <w:t>.2 of this RFP.</w:t>
      </w:r>
    </w:p>
    <w:p w14:paraId="341CD528" w14:textId="1E4A3A4E" w:rsidR="00537458" w:rsidRDefault="00537458" w:rsidP="00132985">
      <w:pPr>
        <w:pStyle w:val="ListParagraph"/>
        <w:numPr>
          <w:ilvl w:val="0"/>
          <w:numId w:val="14"/>
        </w:numPr>
        <w:spacing w:before="240" w:after="240"/>
        <w:ind w:left="1080"/>
        <w:contextualSpacing w:val="0"/>
      </w:pPr>
      <w:r w:rsidRPr="00363FC1">
        <w:rPr>
          <w:b/>
        </w:rPr>
        <w:t>Second Sealed Package/Envelope:</w:t>
      </w:r>
      <w:r>
        <w:t xml:space="preserve"> Cost Proposal — One Original Cost Proposal</w:t>
      </w:r>
      <w:r w:rsidR="00E3649E">
        <w:t xml:space="preserve">, three copies, and one portable USB drive </w:t>
      </w:r>
      <w:r>
        <w:t xml:space="preserve">with all requirements specified in Section </w:t>
      </w:r>
      <w:r w:rsidR="00132985">
        <w:t>3</w:t>
      </w:r>
      <w:r>
        <w:t>.3 of this RFP.</w:t>
      </w:r>
    </w:p>
    <w:p w14:paraId="512A3579" w14:textId="639060CB" w:rsidR="00537458" w:rsidRDefault="00537458" w:rsidP="00537458">
      <w:pPr>
        <w:pStyle w:val="ListParagraph"/>
        <w:numPr>
          <w:ilvl w:val="0"/>
          <w:numId w:val="7"/>
        </w:numPr>
        <w:spacing w:before="240" w:after="240"/>
        <w:ind w:left="720" w:hanging="720"/>
        <w:contextualSpacing w:val="0"/>
      </w:pPr>
      <w:r>
        <w:t xml:space="preserve">Proposals must be received by the CDE no later than </w:t>
      </w:r>
      <w:r w:rsidRPr="005B6BCA">
        <w:t>the time, day</w:t>
      </w:r>
      <w:r>
        <w:t>,</w:t>
      </w:r>
      <w:r w:rsidRPr="005B6BCA">
        <w:t xml:space="preserve"> and date specified in RFP Section </w:t>
      </w:r>
      <w:r w:rsidR="00132985">
        <w:t>2</w:t>
      </w:r>
      <w:r w:rsidRPr="005B6BCA">
        <w:t xml:space="preserve">.3 </w:t>
      </w:r>
      <w:r>
        <w:t>(</w:t>
      </w:r>
      <w:r w:rsidRPr="005B6BCA">
        <w:t>RFP Schedule of Events</w:t>
      </w:r>
      <w:r>
        <w:t>). The proposal package/envelope must be plainly marked with the RFP number and title, your firm name, address, and must be marked with “DO NOT OPEN”, as shown below:</w:t>
      </w:r>
    </w:p>
    <w:p w14:paraId="5B5249E8" w14:textId="77777777" w:rsidR="00537458" w:rsidRDefault="00537458" w:rsidP="00132985">
      <w:pPr>
        <w:pStyle w:val="ListParagraph"/>
        <w:numPr>
          <w:ilvl w:val="0"/>
          <w:numId w:val="18"/>
        </w:numPr>
        <w:spacing w:before="240" w:after="240"/>
        <w:contextualSpacing w:val="0"/>
      </w:pPr>
      <w:r>
        <w:t>FIRST SEALED PACKAGE/ENVELOPE WITH TECHNICAL PROPOSAL:</w:t>
      </w:r>
    </w:p>
    <w:p w14:paraId="7EEA3925" w14:textId="77777777" w:rsidR="00537458" w:rsidRPr="007A0340" w:rsidRDefault="00537458" w:rsidP="00537458">
      <w:pPr>
        <w:ind w:left="1080"/>
      </w:pPr>
      <w:r w:rsidRPr="007A0340">
        <w:t>Agency/Firm Name</w:t>
      </w:r>
    </w:p>
    <w:p w14:paraId="7A9F47E9" w14:textId="77777777" w:rsidR="00537458" w:rsidRPr="007A0340" w:rsidRDefault="00537458" w:rsidP="00537458">
      <w:pPr>
        <w:ind w:left="1080"/>
      </w:pPr>
      <w:r w:rsidRPr="007A0340">
        <w:t>Address</w:t>
      </w:r>
    </w:p>
    <w:p w14:paraId="4B969F11" w14:textId="729A13D2" w:rsidR="00537458" w:rsidRPr="007A0340" w:rsidRDefault="00537458" w:rsidP="00537458">
      <w:pPr>
        <w:ind w:left="1080"/>
      </w:pPr>
      <w:r w:rsidRPr="007A0340">
        <w:t xml:space="preserve">RFP Number </w:t>
      </w:r>
      <w:r w:rsidR="007A0340" w:rsidRPr="007A0340">
        <w:t>CN260025</w:t>
      </w:r>
    </w:p>
    <w:p w14:paraId="6C613EE4" w14:textId="1BF74B30" w:rsidR="00537458" w:rsidRPr="007A0340" w:rsidRDefault="00537458" w:rsidP="005520DE">
      <w:pPr>
        <w:ind w:left="1440" w:hanging="360"/>
      </w:pPr>
      <w:r w:rsidRPr="007A0340">
        <w:t xml:space="preserve">RFP – </w:t>
      </w:r>
      <w:r w:rsidR="007A0340" w:rsidRPr="007A0340">
        <w:rPr>
          <w:rFonts w:cs="Arial"/>
        </w:rPr>
        <w:t>Federal Liaison Officer</w:t>
      </w:r>
    </w:p>
    <w:p w14:paraId="69B6AA5C" w14:textId="77777777" w:rsidR="00537458" w:rsidRPr="007A0340" w:rsidRDefault="00537458" w:rsidP="00537458">
      <w:pPr>
        <w:ind w:left="1080"/>
        <w:rPr>
          <w:b/>
        </w:rPr>
      </w:pPr>
      <w:r w:rsidRPr="007A0340">
        <w:rPr>
          <w:b/>
        </w:rPr>
        <w:t>TECHNICAL PROPOSAL – DO NOT OPEN</w:t>
      </w:r>
    </w:p>
    <w:p w14:paraId="1FB27D3E" w14:textId="77777777" w:rsidR="00537458" w:rsidRPr="007A0340" w:rsidRDefault="00537458" w:rsidP="00132985">
      <w:pPr>
        <w:pStyle w:val="ListParagraph"/>
        <w:numPr>
          <w:ilvl w:val="0"/>
          <w:numId w:val="18"/>
        </w:numPr>
        <w:spacing w:before="240" w:after="240"/>
        <w:contextualSpacing w:val="0"/>
      </w:pPr>
      <w:r w:rsidRPr="007A0340">
        <w:t>SECOND SEALED PACKAGE/ENVELOPE WITH COST PROPOSAL:</w:t>
      </w:r>
    </w:p>
    <w:p w14:paraId="1D7B63A1" w14:textId="77777777" w:rsidR="00537458" w:rsidRPr="007A0340" w:rsidRDefault="00537458" w:rsidP="00537458">
      <w:pPr>
        <w:ind w:left="1080"/>
      </w:pPr>
      <w:r w:rsidRPr="007A0340">
        <w:t>Agency/Firm Name</w:t>
      </w:r>
    </w:p>
    <w:p w14:paraId="21A9E27E" w14:textId="77777777" w:rsidR="00537458" w:rsidRPr="007A0340" w:rsidRDefault="00537458" w:rsidP="00537458">
      <w:pPr>
        <w:ind w:left="1080"/>
      </w:pPr>
      <w:r w:rsidRPr="007A0340">
        <w:t>Address</w:t>
      </w:r>
    </w:p>
    <w:p w14:paraId="6A9DAECB" w14:textId="1D3EB230" w:rsidR="005520DE" w:rsidRPr="007A0340" w:rsidRDefault="005520DE" w:rsidP="005520DE">
      <w:pPr>
        <w:ind w:left="1080"/>
      </w:pPr>
      <w:r w:rsidRPr="007A0340">
        <w:t>RFP Number CN</w:t>
      </w:r>
      <w:r w:rsidR="007A0340">
        <w:t>260025</w:t>
      </w:r>
    </w:p>
    <w:p w14:paraId="3E478002" w14:textId="24D59A11" w:rsidR="005520DE" w:rsidRPr="007A0340" w:rsidRDefault="005520DE" w:rsidP="005520DE">
      <w:pPr>
        <w:ind w:left="1440" w:hanging="360"/>
      </w:pPr>
      <w:r w:rsidRPr="007A0340">
        <w:t xml:space="preserve">RFP – </w:t>
      </w:r>
      <w:r w:rsidR="007A0340">
        <w:rPr>
          <w:rFonts w:cs="Arial"/>
        </w:rPr>
        <w:t>Federal Liaison Officer</w:t>
      </w:r>
    </w:p>
    <w:p w14:paraId="0E3E8A19" w14:textId="77777777" w:rsidR="00537458" w:rsidRPr="007A0340" w:rsidRDefault="00537458" w:rsidP="00537458">
      <w:pPr>
        <w:ind w:left="1080"/>
        <w:rPr>
          <w:b/>
        </w:rPr>
      </w:pPr>
      <w:r w:rsidRPr="007A0340">
        <w:rPr>
          <w:b/>
        </w:rPr>
        <w:t>COST PROPOSAL – DO NOT OPEN</w:t>
      </w:r>
    </w:p>
    <w:p w14:paraId="10448D38" w14:textId="77777777" w:rsidR="00537458" w:rsidRDefault="00537458" w:rsidP="00537458">
      <w:pPr>
        <w:spacing w:before="240" w:after="240"/>
        <w:ind w:left="720"/>
      </w:pPr>
      <w:r w:rsidRPr="007A0340">
        <w:t xml:space="preserve">Proposals not submitted under sealed cover </w:t>
      </w:r>
      <w:r>
        <w:t>and marked as indicated above may be rejected. If the proposal is made under a fictitious name or business title, the actual legal business name of bidder must be provided.</w:t>
      </w:r>
    </w:p>
    <w:p w14:paraId="30EA504C" w14:textId="2949BF0D" w:rsidR="00537458" w:rsidRDefault="00537458" w:rsidP="00537458">
      <w:pPr>
        <w:pStyle w:val="ListParagraph"/>
        <w:numPr>
          <w:ilvl w:val="0"/>
          <w:numId w:val="7"/>
        </w:numPr>
        <w:spacing w:before="240" w:after="240"/>
        <w:ind w:left="720" w:hanging="720"/>
        <w:contextualSpacing w:val="0"/>
      </w:pPr>
      <w:proofErr w:type="gramStart"/>
      <w:r>
        <w:t>Both of the individually</w:t>
      </w:r>
      <w:proofErr w:type="gramEnd"/>
      <w:r>
        <w:t xml:space="preserve"> sealed and labeled proposal packages (Technical and Cost Proposals) can be boxed and mailed/delivered together. Label and mail</w:t>
      </w:r>
      <w:r w:rsidR="005B267D">
        <w:t xml:space="preserve"> or deliver</w:t>
      </w:r>
      <w:r>
        <w:t>, in accordance with the instructions provided below, to the following location:</w:t>
      </w:r>
    </w:p>
    <w:p w14:paraId="4F331845" w14:textId="77777777" w:rsidR="002C76E5" w:rsidRPr="00E3649E" w:rsidRDefault="002C76E5" w:rsidP="002C76E5">
      <w:pPr>
        <w:pStyle w:val="ListParagraph"/>
        <w:spacing w:before="240" w:after="240"/>
        <w:ind w:left="1080"/>
        <w:contextualSpacing w:val="0"/>
      </w:pPr>
      <w:r w:rsidRPr="00E3649E">
        <w:t>California Department of Education</w:t>
      </w:r>
      <w:r w:rsidRPr="00E3649E">
        <w:br/>
        <w:t>Fiscal and Administrative Services Division</w:t>
      </w:r>
      <w:r w:rsidRPr="00E3649E">
        <w:br/>
        <w:t>Attention: Contracts Office – Jaymi Brown – DO NOT OPEN</w:t>
      </w:r>
      <w:r w:rsidRPr="00E3649E">
        <w:br/>
        <w:t>1430 N Street, Suite 2213</w:t>
      </w:r>
      <w:r w:rsidRPr="00E3649E">
        <w:br/>
        <w:t>Sacramento, CA 95814-5901</w:t>
      </w:r>
    </w:p>
    <w:p w14:paraId="31C032E8" w14:textId="77777777" w:rsidR="002C76E5" w:rsidRDefault="002C76E5" w:rsidP="005B267D">
      <w:pPr>
        <w:pStyle w:val="ListParagraph"/>
        <w:spacing w:before="240" w:after="240"/>
        <w:contextualSpacing w:val="0"/>
      </w:pPr>
      <w:r>
        <w:t>In the upper portion of the sealed, mailed box/package, label the outer package as follows:</w:t>
      </w:r>
    </w:p>
    <w:p w14:paraId="356DB0BE" w14:textId="6557E680" w:rsidR="002C76E5" w:rsidRPr="002C76E5" w:rsidRDefault="002C76E5" w:rsidP="005B267D">
      <w:pPr>
        <w:pStyle w:val="ListParagraph"/>
        <w:spacing w:after="240"/>
        <w:ind w:left="1080"/>
        <w:contextualSpacing w:val="0"/>
        <w:rPr>
          <w:b/>
        </w:rPr>
      </w:pPr>
      <w:r w:rsidRPr="007A0340">
        <w:lastRenderedPageBreak/>
        <w:t>RFP CN</w:t>
      </w:r>
      <w:r w:rsidR="007A0340" w:rsidRPr="007A0340">
        <w:t>260025</w:t>
      </w:r>
      <w:r w:rsidRPr="007A0340">
        <w:br/>
      </w:r>
      <w:r w:rsidRPr="007A0340">
        <w:rPr>
          <w:rFonts w:cs="Arial"/>
        </w:rPr>
        <w:t xml:space="preserve">RFP – </w:t>
      </w:r>
      <w:r w:rsidR="007A0340" w:rsidRPr="007A0340">
        <w:rPr>
          <w:rFonts w:cs="Arial"/>
        </w:rPr>
        <w:t>Federal Liaison Officer</w:t>
      </w:r>
      <w:r>
        <w:br/>
        <w:t>&lt;Firm Name&gt;</w:t>
      </w:r>
      <w:r>
        <w:br/>
      </w:r>
      <w:r w:rsidRPr="00003514">
        <w:t>DO NOT OPEN</w:t>
      </w:r>
    </w:p>
    <w:p w14:paraId="4E50471B" w14:textId="2C143C63" w:rsidR="005B267D" w:rsidRDefault="005B267D" w:rsidP="005B267D">
      <w:pPr>
        <w:pStyle w:val="ListParagraph"/>
        <w:numPr>
          <w:ilvl w:val="0"/>
          <w:numId w:val="7"/>
        </w:numPr>
        <w:spacing w:before="240" w:after="240"/>
        <w:ind w:left="720" w:hanging="720"/>
        <w:contextualSpacing w:val="0"/>
      </w:pPr>
      <w:r>
        <w:t xml:space="preserve">To arrange for a time to deliver in person, please email </w:t>
      </w:r>
      <w:hyperlink r:id="rId28" w:history="1">
        <w:r w:rsidRPr="00D63083">
          <w:rPr>
            <w:rStyle w:val="Hyperlink"/>
          </w:rPr>
          <w:t>CONTRACTSOFFICE@cde.ca.gov</w:t>
        </w:r>
      </w:hyperlink>
      <w:r>
        <w:t xml:space="preserve"> with the Subject: “Proposal Deliver for CDE RFP – </w:t>
      </w:r>
      <w:r w:rsidRPr="007A0340">
        <w:t xml:space="preserve">RFP </w:t>
      </w:r>
      <w:r w:rsidR="007A0340" w:rsidRPr="007A0340">
        <w:t>Federal Liaison Officer</w:t>
      </w:r>
      <w:r w:rsidRPr="007A0340">
        <w:t>”</w:t>
      </w:r>
    </w:p>
    <w:p w14:paraId="5AFEE48F" w14:textId="7C874B0E" w:rsidR="00537458" w:rsidRPr="005B267D" w:rsidRDefault="00537458" w:rsidP="005B267D">
      <w:pPr>
        <w:pStyle w:val="ListParagraph"/>
        <w:numPr>
          <w:ilvl w:val="0"/>
          <w:numId w:val="7"/>
        </w:numPr>
        <w:spacing w:before="240" w:after="240"/>
        <w:ind w:left="720" w:hanging="720"/>
        <w:contextualSpacing w:val="0"/>
      </w:pPr>
      <w:r>
        <w:t xml:space="preserve">Each Technical Proposal will be reviewed in accordance with Section </w:t>
      </w:r>
      <w:r w:rsidR="005520DE">
        <w:t>4</w:t>
      </w:r>
      <w:r>
        <w:t xml:space="preserve"> Evaluation Process to determine if it meets the proposal requirements contained in the RFP.</w:t>
      </w:r>
    </w:p>
    <w:p w14:paraId="7F932B12" w14:textId="720E23B8" w:rsidR="00537458" w:rsidRPr="009E444C" w:rsidRDefault="00537458" w:rsidP="00F67ED5">
      <w:pPr>
        <w:pStyle w:val="Heading3"/>
      </w:pPr>
      <w:r>
        <w:t>3.6 Proposal Submission Conditions</w:t>
      </w:r>
    </w:p>
    <w:p w14:paraId="4BE84BAC" w14:textId="4571D727" w:rsidR="00537458" w:rsidRPr="00E947C4" w:rsidRDefault="001D004A" w:rsidP="00132985">
      <w:pPr>
        <w:widowControl w:val="0"/>
        <w:numPr>
          <w:ilvl w:val="0"/>
          <w:numId w:val="15"/>
        </w:numPr>
        <w:spacing w:before="240" w:after="240"/>
        <w:ind w:left="720" w:hanging="720"/>
      </w:pPr>
      <w:r>
        <w:t xml:space="preserve">The CDE may reject any or all proposals at its reasonable discretion.  Examples include, but are not limited to, a proposal that is not responsive, does not meet the technical standards, is not from a responsible bidder, is from a bidder suspected of past or present collusion, is conditional or incomplete, contains unauthorized options or alternatives, is one of multiple alternative proposals from the same bidder, is suspected to be the product of collusion or otherwise is suspect or contains irregularities of any kind. Alternatively, </w:t>
      </w:r>
      <w:r w:rsidR="006C6950">
        <w:t xml:space="preserve">the </w:t>
      </w:r>
      <w:r>
        <w:t>CDE may waive any immaterial defects in a proposal or may require bidders to correct an immaterial defect or request clarification at any time during the RFP process. The CDE’s waiver of an immaterial defect shall in no way modify the RFP document or excuse the bidder from full compliance with all requirements if the bidder is awarded the contract.</w:t>
      </w:r>
    </w:p>
    <w:p w14:paraId="29ABE252" w14:textId="29F7FB6E" w:rsidR="00537458" w:rsidRDefault="00537458" w:rsidP="00132985">
      <w:pPr>
        <w:widowControl w:val="0"/>
        <w:numPr>
          <w:ilvl w:val="0"/>
          <w:numId w:val="15"/>
        </w:numPr>
        <w:spacing w:before="240" w:after="240"/>
        <w:ind w:left="720" w:hanging="720"/>
      </w:pPr>
      <w:r>
        <w:t xml:space="preserve">Costs for developing proposals and in anticipation of award of the </w:t>
      </w:r>
      <w:proofErr w:type="gramStart"/>
      <w:r>
        <w:t>contract,</w:t>
      </w:r>
      <w:proofErr w:type="gramEnd"/>
      <w:r>
        <w:t xml:space="preserve"> </w:t>
      </w:r>
      <w:proofErr w:type="gramStart"/>
      <w:r>
        <w:t>is</w:t>
      </w:r>
      <w:proofErr w:type="gramEnd"/>
      <w:r>
        <w:t xml:space="preserve"> the sole responsibility of the </w:t>
      </w:r>
      <w:r w:rsidR="00ED6F2A">
        <w:t>b</w:t>
      </w:r>
      <w:r>
        <w:t>idder and shall not be charged to the State of California</w:t>
      </w:r>
      <w:r w:rsidR="001D004A">
        <w:t xml:space="preserve"> under any circumstance</w:t>
      </w:r>
      <w:r>
        <w:t>.</w:t>
      </w:r>
    </w:p>
    <w:p w14:paraId="6C009AC1" w14:textId="54F02B4C" w:rsidR="001D004A" w:rsidRDefault="001D004A" w:rsidP="001D004A">
      <w:pPr>
        <w:pStyle w:val="ListParagraph"/>
        <w:numPr>
          <w:ilvl w:val="0"/>
          <w:numId w:val="15"/>
        </w:numPr>
        <w:spacing w:before="240" w:after="240"/>
        <w:ind w:left="720" w:hanging="720"/>
        <w:contextualSpacing w:val="0"/>
      </w:pPr>
      <w:r>
        <w:t>A bidder may withdraw its proposal only by submitting a written withdrawal request to the CDE that is signed by the bidder’s authorized representative prior to the bid submission deadline. Proposals may not be withdrawn or modified after the bid submission deadline.</w:t>
      </w:r>
    </w:p>
    <w:p w14:paraId="42163FA7" w14:textId="211356CE" w:rsidR="00537458" w:rsidRDefault="00537458" w:rsidP="00132985">
      <w:pPr>
        <w:widowControl w:val="0"/>
        <w:numPr>
          <w:ilvl w:val="0"/>
          <w:numId w:val="15"/>
        </w:numPr>
        <w:spacing w:before="240" w:after="240"/>
        <w:ind w:left="720" w:hanging="720"/>
      </w:pPr>
      <w:r>
        <w:t>A bidder may modify a proposal after its submission</w:t>
      </w:r>
      <w:r w:rsidR="001D004A">
        <w:t xml:space="preserve"> only</w:t>
      </w:r>
      <w:r>
        <w:t xml:space="preserve"> by withdrawing its original proposal and resubmitting a new proposal prior to the bid submission deadline. Proposal modifications offered in any other manner, oral or written, will not be considered.</w:t>
      </w:r>
    </w:p>
    <w:p w14:paraId="6656F854" w14:textId="451F4588" w:rsidR="00537458" w:rsidRPr="00E947C4" w:rsidRDefault="00537458" w:rsidP="00132985">
      <w:pPr>
        <w:pStyle w:val="ListParagraph"/>
        <w:numPr>
          <w:ilvl w:val="0"/>
          <w:numId w:val="15"/>
        </w:numPr>
        <w:spacing w:before="240" w:after="240"/>
        <w:ind w:left="720" w:hanging="720"/>
        <w:contextualSpacing w:val="0"/>
        <w:rPr>
          <w:rFonts w:eastAsia="Times New Roman" w:cs="Arial"/>
          <w:snapToGrid w:val="0"/>
          <w:szCs w:val="20"/>
        </w:rPr>
      </w:pPr>
      <w:r>
        <w:t xml:space="preserve">The CDE may modify the RFP by issuance of an addendum to all parties who received a proposal package. All addenda will be posted on the </w:t>
      </w:r>
      <w:r w:rsidRPr="007B4B86">
        <w:t>Cal eProcure</w:t>
      </w:r>
      <w:r>
        <w:t xml:space="preserve"> website</w:t>
      </w:r>
      <w:r w:rsidR="00BE60C6">
        <w:t xml:space="preserve"> at</w:t>
      </w:r>
      <w:r>
        <w:t xml:space="preserve"> </w:t>
      </w:r>
      <w:hyperlink r:id="rId29" w:tooltip="Cal eProcure website" w:history="1">
        <w:r>
          <w:rPr>
            <w:rStyle w:val="Hyperlink"/>
          </w:rPr>
          <w:t>https://caleprocure.ca.gov/pages/Events-BS3/event-search.aspx</w:t>
        </w:r>
      </w:hyperlink>
      <w:r>
        <w:t xml:space="preserve">, as well as the </w:t>
      </w:r>
      <w:r w:rsidRPr="007B4B86">
        <w:t xml:space="preserve">CDE's Funding </w:t>
      </w:r>
      <w:r>
        <w:t>website</w:t>
      </w:r>
      <w:r w:rsidR="00BE60C6">
        <w:t xml:space="preserve"> at</w:t>
      </w:r>
      <w:r>
        <w:t xml:space="preserve"> </w:t>
      </w:r>
      <w:hyperlink r:id="rId30" w:tooltip="CDE Funding Web site" w:history="1">
        <w:r>
          <w:rPr>
            <w:rStyle w:val="Hyperlink"/>
          </w:rPr>
          <w:t>http://www.cde.ca.gov/fg/fo/af</w:t>
        </w:r>
      </w:hyperlink>
      <w:r>
        <w:t>.</w:t>
      </w:r>
      <w:r w:rsidR="00E30288">
        <w:t xml:space="preserve"> The CDE also reserves the right to cancel the RFP in its entirety at its discretion. The CDE is not required to award a contract.</w:t>
      </w:r>
    </w:p>
    <w:p w14:paraId="56DF1D1A" w14:textId="4CE998C0" w:rsidR="00537458" w:rsidRDefault="00E30288" w:rsidP="00132985">
      <w:pPr>
        <w:pStyle w:val="ListParagraph"/>
        <w:numPr>
          <w:ilvl w:val="0"/>
          <w:numId w:val="15"/>
        </w:numPr>
        <w:spacing w:before="240" w:after="240"/>
        <w:ind w:left="720" w:hanging="720"/>
        <w:contextualSpacing w:val="0"/>
      </w:pPr>
      <w:r>
        <w:t>Each b</w:t>
      </w:r>
      <w:r w:rsidR="00537458">
        <w:t>idder</w:t>
      </w:r>
      <w:r>
        <w:t xml:space="preserve"> is solely and entirely responsible for all aspects of its proposal.</w:t>
      </w:r>
      <w:r w:rsidR="00537458">
        <w:t xml:space="preserve"> Before submitting documents, bidders should carefully</w:t>
      </w:r>
      <w:r>
        <w:t xml:space="preserve"> examine any RFP specifications or RFP requirements and fully</w:t>
      </w:r>
      <w:r w:rsidR="00537458">
        <w:t xml:space="preserve"> proof the</w:t>
      </w:r>
      <w:r>
        <w:t xml:space="preserve"> documents. In the event a proposal contains errors, inaccurate assumptions, inconsistencies or other defects, the CDE shall interpret the proposal in the manner it determines is the most favorable to the state of California</w:t>
      </w:r>
      <w:r w:rsidR="00537458">
        <w:t>.</w:t>
      </w:r>
    </w:p>
    <w:p w14:paraId="7DE72123" w14:textId="77777777" w:rsidR="00537458" w:rsidRPr="00120397" w:rsidRDefault="00537458" w:rsidP="00132985">
      <w:pPr>
        <w:pStyle w:val="ListParagraph"/>
        <w:numPr>
          <w:ilvl w:val="0"/>
          <w:numId w:val="15"/>
        </w:numPr>
        <w:spacing w:before="240" w:after="240"/>
        <w:ind w:left="720" w:hanging="720"/>
        <w:contextualSpacing w:val="0"/>
        <w:rPr>
          <w:b/>
        </w:rPr>
      </w:pPr>
      <w:r>
        <w:lastRenderedPageBreak/>
        <w:t>More than one proposal or a proposal that includes various options or alternatives from an individual, firm, partnership, corporation or association under the same or different names, may be rejected. Reasonable grounds for believing that any bidder has submitted more than one proposal for the work contemplated herein will cause the rejection of all proposals submitted by that bidder. If there is reason for believing that collusion exists among the bidders, none of the participants in such collusion will be considered in this procurement or future procurements.</w:t>
      </w:r>
    </w:p>
    <w:p w14:paraId="4685F27F" w14:textId="7D347DBE" w:rsidR="00537458" w:rsidRDefault="00537458" w:rsidP="00F67ED5">
      <w:pPr>
        <w:pStyle w:val="Heading3"/>
      </w:pPr>
      <w:r>
        <w:t xml:space="preserve">3.7 </w:t>
      </w:r>
      <w:r w:rsidR="0032738C" w:rsidRPr="00401B74">
        <w:t>Disposition of Proposals</w:t>
      </w:r>
    </w:p>
    <w:p w14:paraId="1BB4D4BF" w14:textId="3481A214" w:rsidR="00537458" w:rsidRDefault="00537458" w:rsidP="00537458">
      <w:pPr>
        <w:spacing w:before="240" w:after="240"/>
      </w:pPr>
      <w:r>
        <w:t xml:space="preserve">Upon </w:t>
      </w:r>
      <w:proofErr w:type="gramStart"/>
      <w:r>
        <w:t>proposal opening</w:t>
      </w:r>
      <w:proofErr w:type="gramEnd"/>
      <w:r>
        <w:t xml:space="preserve">, all documents submitted in response to this RFP will become the property of the State of California, and will be regarded as public records under the California Public Records Act (Government Code section </w:t>
      </w:r>
      <w:r w:rsidR="00C60923">
        <w:t>7920.000</w:t>
      </w:r>
      <w:r>
        <w:t xml:space="preserve"> et seq.) and subject to review by the public. The State cannot prevent the disclosure of public documents. However, the contents of all proposals, draft proposals, correspondence, agenda, memoranda, working papers, or any other medium which discloses any aspect of the bidder’s proposal, shall be held in the strictest of confidence until the “Notice of Intent to Award” is posted. We recommend that bidders register the copyright for any proprietary material submitted.</w:t>
      </w:r>
    </w:p>
    <w:p w14:paraId="26EF278A" w14:textId="53DC53C1" w:rsidR="00537458" w:rsidRDefault="00537458" w:rsidP="00537458">
      <w:pPr>
        <w:rPr>
          <w:rFonts w:eastAsia="Times New Roman" w:cs="Arial"/>
          <w:b/>
          <w:bCs/>
          <w:iCs/>
          <w:sz w:val="40"/>
          <w:szCs w:val="40"/>
        </w:rPr>
      </w:pPr>
    </w:p>
    <w:p w14:paraId="48FB2FB0" w14:textId="739B62E4" w:rsidR="00C31EF0" w:rsidRPr="004C7057" w:rsidRDefault="00C31EF0" w:rsidP="00132985">
      <w:pPr>
        <w:pStyle w:val="ListParagraph"/>
        <w:numPr>
          <w:ilvl w:val="1"/>
          <w:numId w:val="37"/>
        </w:numPr>
        <w:spacing w:after="240"/>
        <w:ind w:left="720"/>
        <w:contextualSpacing w:val="0"/>
        <w:rPr>
          <w:rFonts w:eastAsia="Times New Roman" w:cs="Arial"/>
          <w:b/>
          <w:bCs/>
          <w:iCs/>
          <w:sz w:val="40"/>
          <w:szCs w:val="40"/>
        </w:rPr>
      </w:pPr>
      <w:r>
        <w:br w:type="page"/>
      </w:r>
    </w:p>
    <w:p w14:paraId="3D8AD29F" w14:textId="1B15C301" w:rsidR="00D658A4" w:rsidRPr="00605C83" w:rsidRDefault="00537458" w:rsidP="00E43B4A">
      <w:pPr>
        <w:pStyle w:val="Heading2"/>
      </w:pPr>
      <w:bookmarkStart w:id="9" w:name="_Toc224571223"/>
      <w:r>
        <w:lastRenderedPageBreak/>
        <w:t>4</w:t>
      </w:r>
      <w:r w:rsidR="007C2D86" w:rsidRPr="00605C83">
        <w:t xml:space="preserve">. </w:t>
      </w:r>
      <w:r w:rsidR="00D658A4" w:rsidRPr="00605C83">
        <w:t>EVALUATION PROCESS</w:t>
      </w:r>
      <w:bookmarkEnd w:id="9"/>
    </w:p>
    <w:p w14:paraId="3D8AD2A0" w14:textId="5BBB50F7" w:rsidR="00CF4606" w:rsidRPr="00C81BF4" w:rsidRDefault="00CF4606" w:rsidP="009E444C">
      <w:pPr>
        <w:spacing w:after="240"/>
        <w:rPr>
          <w:rFonts w:cs="Arial"/>
        </w:rPr>
      </w:pPr>
      <w:r w:rsidRPr="00C81BF4">
        <w:rPr>
          <w:rFonts w:cs="Arial"/>
        </w:rPr>
        <w:t xml:space="preserve">Each </w:t>
      </w:r>
      <w:proofErr w:type="gramStart"/>
      <w:r>
        <w:rPr>
          <w:rFonts w:cs="Arial"/>
        </w:rPr>
        <w:t>proposal</w:t>
      </w:r>
      <w:proofErr w:type="gramEnd"/>
      <w:r>
        <w:rPr>
          <w:rFonts w:cs="Arial"/>
        </w:rPr>
        <w:t xml:space="preserve"> including the </w:t>
      </w:r>
      <w:r w:rsidR="00663875">
        <w:rPr>
          <w:rFonts w:cs="Arial"/>
        </w:rPr>
        <w:t>Te</w:t>
      </w:r>
      <w:r>
        <w:rPr>
          <w:rFonts w:cs="Arial"/>
        </w:rPr>
        <w:t xml:space="preserve">chnical and </w:t>
      </w:r>
      <w:r w:rsidR="00663875">
        <w:rPr>
          <w:rFonts w:cs="Arial"/>
        </w:rPr>
        <w:t>C</w:t>
      </w:r>
      <w:r w:rsidRPr="00C81BF4">
        <w:rPr>
          <w:rFonts w:cs="Arial"/>
        </w:rPr>
        <w:t xml:space="preserve">ost </w:t>
      </w:r>
      <w:r w:rsidR="00663875">
        <w:rPr>
          <w:rFonts w:cs="Arial"/>
        </w:rPr>
        <w:t>P</w:t>
      </w:r>
      <w:r>
        <w:rPr>
          <w:rFonts w:cs="Arial"/>
        </w:rPr>
        <w:t>roposal</w:t>
      </w:r>
      <w:r w:rsidRPr="00C81BF4">
        <w:rPr>
          <w:rFonts w:cs="Arial"/>
        </w:rPr>
        <w:t xml:space="preserve">, shall be evaluated to determine responsiveness to the general requirements and components, as well as format and content requirements, as described in this </w:t>
      </w:r>
      <w:r>
        <w:rPr>
          <w:rFonts w:cs="Arial"/>
        </w:rPr>
        <w:t>RF</w:t>
      </w:r>
      <w:r w:rsidR="00663875">
        <w:rPr>
          <w:rFonts w:cs="Arial"/>
        </w:rPr>
        <w:t>P</w:t>
      </w:r>
      <w:r w:rsidRPr="00C81BF4">
        <w:rPr>
          <w:rFonts w:cs="Arial"/>
        </w:rPr>
        <w:t xml:space="preserve">. Each bidder’s </w:t>
      </w:r>
      <w:r>
        <w:rPr>
          <w:rFonts w:cs="Arial"/>
        </w:rPr>
        <w:t>proposal</w:t>
      </w:r>
      <w:r w:rsidRPr="00C81BF4">
        <w:rPr>
          <w:rFonts w:cs="Arial"/>
        </w:rPr>
        <w:t xml:space="preserve"> will be evaluated per the criteria in Attachment 1</w:t>
      </w:r>
      <w:r w:rsidR="00BE60C6">
        <w:rPr>
          <w:rFonts w:cs="Arial"/>
        </w:rPr>
        <w:t>4</w:t>
      </w:r>
      <w:r>
        <w:rPr>
          <w:rFonts w:cs="Arial"/>
        </w:rPr>
        <w:t xml:space="preserve"> and the requirements specified in this RFP</w:t>
      </w:r>
      <w:r w:rsidRPr="00C81BF4">
        <w:rPr>
          <w:rFonts w:cs="Arial"/>
        </w:rPr>
        <w:t>,</w:t>
      </w:r>
      <w:r>
        <w:rPr>
          <w:rFonts w:cs="Arial"/>
        </w:rPr>
        <w:t xml:space="preserve"> </w:t>
      </w:r>
      <w:r w:rsidRPr="00C81BF4">
        <w:rPr>
          <w:rFonts w:cs="Arial"/>
        </w:rPr>
        <w:t>to determine the quality and degree of responsiveness to the requirements in this RF</w:t>
      </w:r>
      <w:r>
        <w:rPr>
          <w:rFonts w:cs="Arial"/>
        </w:rPr>
        <w:t>P</w:t>
      </w:r>
      <w:r w:rsidRPr="00C81BF4">
        <w:rPr>
          <w:rFonts w:cs="Arial"/>
        </w:rPr>
        <w:t>. The evaluation process is designed to determine the quality of the bidder’s submission.</w:t>
      </w:r>
    </w:p>
    <w:p w14:paraId="3D8AD2A1" w14:textId="77777777" w:rsidR="002830BC" w:rsidRDefault="002830BC" w:rsidP="00DB77A8">
      <w:pPr>
        <w:numPr>
          <w:ilvl w:val="0"/>
          <w:numId w:val="11"/>
        </w:numPr>
        <w:spacing w:before="240" w:after="240"/>
        <w:ind w:hanging="720"/>
      </w:pPr>
      <w:r>
        <w:t>Formal Requirements</w:t>
      </w:r>
    </w:p>
    <w:p w14:paraId="3D8AD2A2" w14:textId="77777777" w:rsidR="00AA219A" w:rsidRDefault="00D658A4" w:rsidP="00DB77A8">
      <w:pPr>
        <w:numPr>
          <w:ilvl w:val="0"/>
          <w:numId w:val="2"/>
        </w:numPr>
        <w:spacing w:before="240" w:after="240"/>
        <w:ind w:left="1080"/>
      </w:pPr>
      <w:r>
        <w:t>At the time of</w:t>
      </w:r>
      <w:r w:rsidR="00974717">
        <w:t xml:space="preserve"> the</w:t>
      </w:r>
      <w:r>
        <w:t xml:space="preserve"> </w:t>
      </w:r>
      <w:r w:rsidR="0086591D">
        <w:t>Technical Proposal</w:t>
      </w:r>
      <w:r>
        <w:t xml:space="preserve"> opening, each </w:t>
      </w:r>
      <w:r w:rsidR="0086591D">
        <w:t>Technical Proposal</w:t>
      </w:r>
      <w:r>
        <w:t xml:space="preserve"> will be checked for the presence or absence of required information</w:t>
      </w:r>
      <w:r w:rsidR="00240A74">
        <w:t xml:space="preserve"> </w:t>
      </w:r>
      <w:r>
        <w:t xml:space="preserve">in conformance with the submission requirements of this RFP. Proposals that do not provide requested information </w:t>
      </w:r>
      <w:r w:rsidR="00CF4606">
        <w:t xml:space="preserve">may </w:t>
      </w:r>
      <w:r>
        <w:t>be rejected as non-responsive.</w:t>
      </w:r>
    </w:p>
    <w:p w14:paraId="3D8AD2A3" w14:textId="01E649EF" w:rsidR="00AA219A" w:rsidRDefault="0086591D" w:rsidP="00DB77A8">
      <w:pPr>
        <w:numPr>
          <w:ilvl w:val="0"/>
          <w:numId w:val="2"/>
        </w:numPr>
        <w:spacing w:before="240" w:after="240"/>
        <w:ind w:left="1080"/>
      </w:pPr>
      <w:r>
        <w:t>Technical Proposal</w:t>
      </w:r>
      <w:r w:rsidR="00D658A4">
        <w:t>s that contain false or misleading statements, or which provide references</w:t>
      </w:r>
      <w:r w:rsidR="008E108A">
        <w:t xml:space="preserve"> that </w:t>
      </w:r>
      <w:r w:rsidR="00D658A4">
        <w:t>do not support an attribute or condition claimed by the proposer, shall be rejected.</w:t>
      </w:r>
    </w:p>
    <w:p w14:paraId="3D8AD2A4" w14:textId="77777777" w:rsidR="00AA219A" w:rsidRDefault="00974717" w:rsidP="00DB77A8">
      <w:pPr>
        <w:numPr>
          <w:ilvl w:val="0"/>
          <w:numId w:val="2"/>
        </w:numPr>
        <w:spacing w:before="240" w:after="240"/>
        <w:ind w:left="1080"/>
      </w:pPr>
      <w:r>
        <w:t xml:space="preserve">The </w:t>
      </w:r>
      <w:r w:rsidR="00D658A4">
        <w:t xml:space="preserve">CDE will evaluate each </w:t>
      </w:r>
      <w:r w:rsidR="0086591D">
        <w:t>Technical Proposal</w:t>
      </w:r>
      <w:r w:rsidR="00D658A4">
        <w:t xml:space="preserve"> to determine its responsiveness to </w:t>
      </w:r>
      <w:r>
        <w:t xml:space="preserve">the </w:t>
      </w:r>
      <w:r w:rsidR="00D658A4">
        <w:t xml:space="preserve">CDE’s needs. </w:t>
      </w:r>
      <w:r w:rsidR="0086591D">
        <w:t>Technical Proposal</w:t>
      </w:r>
      <w:r w:rsidR="00D658A4">
        <w:t>s will be rated by an evaluation panel using a consensus process for determining final scores as noted below.</w:t>
      </w:r>
    </w:p>
    <w:p w14:paraId="3D8AD2A5" w14:textId="51CCE07C" w:rsidR="00D658A4" w:rsidRDefault="00D658A4" w:rsidP="00DB77A8">
      <w:pPr>
        <w:pStyle w:val="ListParagraph"/>
        <w:numPr>
          <w:ilvl w:val="0"/>
          <w:numId w:val="11"/>
        </w:numPr>
        <w:spacing w:before="240" w:after="240"/>
        <w:ind w:hanging="720"/>
        <w:contextualSpacing w:val="0"/>
      </w:pPr>
      <w:r>
        <w:t xml:space="preserve">Technical </w:t>
      </w:r>
      <w:r w:rsidR="00173DE4">
        <w:t xml:space="preserve">Proposal </w:t>
      </w:r>
      <w:r>
        <w:t>Evaluation</w:t>
      </w:r>
    </w:p>
    <w:p w14:paraId="3D8AD2A6" w14:textId="32C0BD53" w:rsidR="00B52D10" w:rsidRPr="00B52D10" w:rsidRDefault="00B52D10" w:rsidP="00132985">
      <w:pPr>
        <w:pStyle w:val="ListParagraph"/>
        <w:numPr>
          <w:ilvl w:val="0"/>
          <w:numId w:val="26"/>
        </w:numPr>
        <w:spacing w:before="240" w:after="240"/>
        <w:contextualSpacing w:val="0"/>
      </w:pPr>
      <w:r w:rsidRPr="008452D2">
        <w:rPr>
          <w:rFonts w:cs="Arial"/>
        </w:rPr>
        <w:t>Phase I: Pre-Evaluation Review – Attachment Checklist</w:t>
      </w:r>
    </w:p>
    <w:p w14:paraId="34C4B2E2" w14:textId="7383A8D4" w:rsidR="008452D2" w:rsidRDefault="00B52D10" w:rsidP="008452D2">
      <w:pPr>
        <w:pStyle w:val="ListParagraph"/>
        <w:spacing w:before="240" w:after="240"/>
        <w:ind w:left="1080"/>
        <w:contextualSpacing w:val="0"/>
        <w:rPr>
          <w:rFonts w:cs="Arial"/>
        </w:rPr>
      </w:pPr>
      <w:r w:rsidRPr="00B52D10">
        <w:rPr>
          <w:rFonts w:eastAsia="Times New Roman"/>
          <w:snapToGrid w:val="0"/>
          <w:szCs w:val="20"/>
        </w:rPr>
        <w:t xml:space="preserve">The CDE will review the contents of the </w:t>
      </w:r>
      <w:r w:rsidR="006C6950">
        <w:rPr>
          <w:rFonts w:eastAsia="Times New Roman"/>
          <w:snapToGrid w:val="0"/>
          <w:szCs w:val="20"/>
        </w:rPr>
        <w:t xml:space="preserve">bidder’s Technical Proposal </w:t>
      </w:r>
      <w:r w:rsidRPr="00B52D10">
        <w:rPr>
          <w:rFonts w:eastAsia="Times New Roman"/>
          <w:snapToGrid w:val="0"/>
          <w:szCs w:val="20"/>
        </w:rPr>
        <w:t xml:space="preserve">Attachment Checklist for the presence of all correctly completed required forms/attachments. Bidders will be rated </w:t>
      </w:r>
      <w:proofErr w:type="gramStart"/>
      <w:r w:rsidRPr="00B52D10">
        <w:rPr>
          <w:rFonts w:eastAsia="Times New Roman"/>
          <w:snapToGrid w:val="0"/>
          <w:szCs w:val="20"/>
        </w:rPr>
        <w:t>on the basis of</w:t>
      </w:r>
      <w:proofErr w:type="gramEnd"/>
      <w:r w:rsidRPr="00B52D10">
        <w:rPr>
          <w:rFonts w:eastAsia="Times New Roman"/>
          <w:snapToGrid w:val="0"/>
          <w:szCs w:val="20"/>
        </w:rPr>
        <w:t xml:space="preserve"> </w:t>
      </w:r>
      <w:r w:rsidR="006B5C0B">
        <w:rPr>
          <w:rFonts w:eastAsia="Times New Roman"/>
          <w:snapToGrid w:val="0"/>
          <w:szCs w:val="20"/>
        </w:rPr>
        <w:t>Pass/Fail</w:t>
      </w:r>
      <w:r w:rsidRPr="00B52D10">
        <w:rPr>
          <w:rFonts w:eastAsia="Times New Roman"/>
          <w:snapToGrid w:val="0"/>
          <w:szCs w:val="20"/>
        </w:rPr>
        <w:t xml:space="preserve">. Proposals that do not provide </w:t>
      </w:r>
      <w:proofErr w:type="gramStart"/>
      <w:r w:rsidRPr="00B52D10">
        <w:rPr>
          <w:rFonts w:eastAsia="Times New Roman"/>
          <w:snapToGrid w:val="0"/>
          <w:szCs w:val="20"/>
        </w:rPr>
        <w:t>all of</w:t>
      </w:r>
      <w:proofErr w:type="gramEnd"/>
      <w:r w:rsidRPr="00B52D10">
        <w:rPr>
          <w:rFonts w:eastAsia="Times New Roman"/>
          <w:snapToGrid w:val="0"/>
          <w:szCs w:val="20"/>
        </w:rPr>
        <w:t xml:space="preserve"> the forms/attachments, correctly completed as required by the RFP </w:t>
      </w:r>
      <w:r w:rsidR="00CF4606">
        <w:rPr>
          <w:rFonts w:eastAsia="Times New Roman"/>
          <w:snapToGrid w:val="0"/>
          <w:szCs w:val="20"/>
        </w:rPr>
        <w:t>may</w:t>
      </w:r>
      <w:r w:rsidR="00CF4606" w:rsidRPr="00B52D10">
        <w:rPr>
          <w:rFonts w:eastAsia="Times New Roman"/>
          <w:snapToGrid w:val="0"/>
          <w:szCs w:val="20"/>
        </w:rPr>
        <w:t xml:space="preserve"> </w:t>
      </w:r>
      <w:r w:rsidRPr="00B52D10">
        <w:rPr>
          <w:rFonts w:eastAsia="Times New Roman"/>
          <w:snapToGrid w:val="0"/>
          <w:szCs w:val="20"/>
        </w:rPr>
        <w:t xml:space="preserve">be deemed as non-responsive and the bidder will receive a Fail for this portion of the evaluation process, which </w:t>
      </w:r>
      <w:r w:rsidR="00CF4606">
        <w:rPr>
          <w:rFonts w:eastAsia="Times New Roman"/>
          <w:snapToGrid w:val="0"/>
          <w:szCs w:val="20"/>
        </w:rPr>
        <w:t>may</w:t>
      </w:r>
      <w:r w:rsidR="00CF4606" w:rsidRPr="00B52D10">
        <w:rPr>
          <w:rFonts w:eastAsia="Times New Roman"/>
          <w:snapToGrid w:val="0"/>
          <w:szCs w:val="20"/>
        </w:rPr>
        <w:t xml:space="preserve"> </w:t>
      </w:r>
      <w:r w:rsidRPr="00B52D10">
        <w:rPr>
          <w:rFonts w:eastAsia="Times New Roman"/>
          <w:snapToGrid w:val="0"/>
          <w:szCs w:val="20"/>
        </w:rPr>
        <w:t>result in the elimination of the bidder’s Proposal from further consideration.</w:t>
      </w:r>
      <w:r w:rsidR="00CF4606">
        <w:rPr>
          <w:rFonts w:eastAsia="Times New Roman"/>
          <w:snapToGrid w:val="0"/>
          <w:szCs w:val="20"/>
        </w:rPr>
        <w:t xml:space="preserve"> </w:t>
      </w:r>
      <w:r w:rsidR="00CF4606" w:rsidRPr="0097472E">
        <w:rPr>
          <w:rFonts w:cs="Arial"/>
        </w:rPr>
        <w:t>The CDE reserves the right, at its sole discretion, to overlook, correct, or require a bidder to remedy any obvious clerical or incidental errors on a proposal, if the correction does not result in an increase in the bidders’ total price.</w:t>
      </w:r>
      <w:r w:rsidR="00CF4606">
        <w:rPr>
          <w:rFonts w:cs="Arial"/>
        </w:rPr>
        <w:t xml:space="preserve"> </w:t>
      </w:r>
      <w:r w:rsidR="00CF4606" w:rsidRPr="0097472E">
        <w:rPr>
          <w:rFonts w:cs="Arial"/>
        </w:rPr>
        <w:t xml:space="preserve">Bidders may be required </w:t>
      </w:r>
      <w:proofErr w:type="gramStart"/>
      <w:r w:rsidR="00CF4606" w:rsidRPr="0097472E">
        <w:rPr>
          <w:rFonts w:cs="Arial"/>
        </w:rPr>
        <w:t>to</w:t>
      </w:r>
      <w:proofErr w:type="gramEnd"/>
      <w:r w:rsidR="00CF4606" w:rsidRPr="0097472E">
        <w:rPr>
          <w:rFonts w:cs="Arial"/>
        </w:rPr>
        <w:t xml:space="preserve"> initial corrections.</w:t>
      </w:r>
    </w:p>
    <w:p w14:paraId="3D8AD2A8" w14:textId="27546E30" w:rsidR="00CE7182" w:rsidRPr="008452D2" w:rsidRDefault="00CE7182" w:rsidP="00132985">
      <w:pPr>
        <w:pStyle w:val="ListParagraph"/>
        <w:numPr>
          <w:ilvl w:val="0"/>
          <w:numId w:val="26"/>
        </w:numPr>
        <w:spacing w:before="240" w:after="240"/>
        <w:contextualSpacing w:val="0"/>
        <w:rPr>
          <w:rFonts w:eastAsia="Times New Roman"/>
          <w:snapToGrid w:val="0"/>
          <w:szCs w:val="20"/>
        </w:rPr>
      </w:pPr>
      <w:r w:rsidRPr="008452D2">
        <w:rPr>
          <w:rFonts w:eastAsia="Times New Roman"/>
          <w:snapToGrid w:val="0"/>
          <w:szCs w:val="20"/>
        </w:rPr>
        <w:t xml:space="preserve">Phase II: </w:t>
      </w:r>
      <w:r w:rsidR="0086591D" w:rsidRPr="008452D2">
        <w:rPr>
          <w:rFonts w:eastAsia="Times New Roman"/>
          <w:snapToGrid w:val="0"/>
          <w:szCs w:val="20"/>
        </w:rPr>
        <w:t>Technical Proposal</w:t>
      </w:r>
      <w:r w:rsidRPr="008452D2">
        <w:rPr>
          <w:rFonts w:eastAsia="Times New Roman"/>
          <w:snapToGrid w:val="0"/>
          <w:szCs w:val="20"/>
        </w:rPr>
        <w:t xml:space="preserve"> Evaluation</w:t>
      </w:r>
    </w:p>
    <w:p w14:paraId="3D8AD2A9" w14:textId="2CC8A12C" w:rsidR="00CE7182" w:rsidRDefault="00CE7182" w:rsidP="008452D2">
      <w:pPr>
        <w:pStyle w:val="ListParagraph"/>
        <w:spacing w:before="240" w:after="240"/>
        <w:ind w:left="1080"/>
        <w:contextualSpacing w:val="0"/>
        <w:rPr>
          <w:rFonts w:cs="Arial"/>
        </w:rPr>
      </w:pPr>
      <w:r w:rsidRPr="00CE7182">
        <w:rPr>
          <w:rFonts w:eastAsia="Times New Roman"/>
          <w:snapToGrid w:val="0"/>
          <w:szCs w:val="20"/>
        </w:rPr>
        <w:t xml:space="preserve">An evaluation panel will evaluate those </w:t>
      </w:r>
      <w:r w:rsidR="0086591D">
        <w:rPr>
          <w:rFonts w:eastAsia="Times New Roman"/>
          <w:snapToGrid w:val="0"/>
          <w:szCs w:val="20"/>
        </w:rPr>
        <w:t>Technical Proposal</w:t>
      </w:r>
      <w:r w:rsidRPr="00CE7182">
        <w:rPr>
          <w:rFonts w:eastAsia="Times New Roman"/>
          <w:snapToGrid w:val="0"/>
          <w:szCs w:val="20"/>
        </w:rPr>
        <w:t xml:space="preserve">s that </w:t>
      </w:r>
      <w:r w:rsidR="00CF4606">
        <w:rPr>
          <w:rFonts w:eastAsia="Times New Roman"/>
          <w:snapToGrid w:val="0"/>
          <w:szCs w:val="20"/>
        </w:rPr>
        <w:t>pass</w:t>
      </w:r>
      <w:r w:rsidR="00974717">
        <w:rPr>
          <w:rFonts w:eastAsia="Times New Roman"/>
          <w:snapToGrid w:val="0"/>
          <w:szCs w:val="20"/>
        </w:rPr>
        <w:t xml:space="preserve"> the</w:t>
      </w:r>
      <w:r w:rsidR="00CF4606">
        <w:rPr>
          <w:rFonts w:eastAsia="Times New Roman"/>
          <w:snapToGrid w:val="0"/>
          <w:szCs w:val="20"/>
        </w:rPr>
        <w:t xml:space="preserve"> Phase I: Pre-Evaluation Review and meet</w:t>
      </w:r>
      <w:r w:rsidR="00CF4606" w:rsidRPr="00CE7182">
        <w:rPr>
          <w:rFonts w:eastAsia="Times New Roman"/>
          <w:snapToGrid w:val="0"/>
          <w:szCs w:val="20"/>
        </w:rPr>
        <w:t xml:space="preserve"> </w:t>
      </w:r>
      <w:r w:rsidRPr="00CE7182">
        <w:rPr>
          <w:rFonts w:eastAsia="Times New Roman"/>
          <w:snapToGrid w:val="0"/>
          <w:szCs w:val="20"/>
        </w:rPr>
        <w:t xml:space="preserve">the proposal submission requirements. The evaluation will </w:t>
      </w:r>
      <w:r w:rsidR="008F79F9">
        <w:rPr>
          <w:rFonts w:eastAsia="Times New Roman"/>
          <w:snapToGrid w:val="0"/>
          <w:szCs w:val="20"/>
        </w:rPr>
        <w:t>be based on the criteria shown i</w:t>
      </w:r>
      <w:r w:rsidRPr="00CE7182">
        <w:rPr>
          <w:rFonts w:eastAsia="Times New Roman"/>
          <w:snapToGrid w:val="0"/>
          <w:szCs w:val="20"/>
        </w:rPr>
        <w:t xml:space="preserve">n </w:t>
      </w:r>
      <w:r w:rsidRPr="00CB1BA1">
        <w:rPr>
          <w:rFonts w:eastAsia="Times New Roman"/>
          <w:snapToGrid w:val="0"/>
          <w:szCs w:val="20"/>
        </w:rPr>
        <w:t xml:space="preserve">Phase II, </w:t>
      </w:r>
      <w:r w:rsidR="0086591D" w:rsidRPr="00CB1BA1">
        <w:rPr>
          <w:rFonts w:eastAsia="Times New Roman"/>
          <w:snapToGrid w:val="0"/>
          <w:szCs w:val="20"/>
        </w:rPr>
        <w:t>Technical Proposal</w:t>
      </w:r>
      <w:r w:rsidRPr="00CB1BA1">
        <w:rPr>
          <w:rFonts w:eastAsia="Times New Roman"/>
          <w:snapToGrid w:val="0"/>
          <w:szCs w:val="20"/>
        </w:rPr>
        <w:t xml:space="preserve"> Evaluation</w:t>
      </w:r>
      <w:r w:rsidR="00CC580B" w:rsidRPr="00CB1BA1">
        <w:rPr>
          <w:rFonts w:eastAsia="Times New Roman"/>
          <w:snapToGrid w:val="0"/>
          <w:szCs w:val="20"/>
        </w:rPr>
        <w:t xml:space="preserve"> </w:t>
      </w:r>
      <w:r w:rsidR="008F79F9">
        <w:rPr>
          <w:rFonts w:eastAsia="Times New Roman"/>
          <w:snapToGrid w:val="0"/>
          <w:szCs w:val="20"/>
        </w:rPr>
        <w:t xml:space="preserve">of </w:t>
      </w:r>
      <w:r w:rsidR="00DE1CC5" w:rsidRPr="00CE7182">
        <w:rPr>
          <w:rFonts w:eastAsia="Times New Roman"/>
          <w:snapToGrid w:val="0"/>
          <w:szCs w:val="20"/>
        </w:rPr>
        <w:t>Attachment</w:t>
      </w:r>
      <w:r w:rsidRPr="00CE7182">
        <w:rPr>
          <w:rFonts w:eastAsia="Times New Roman"/>
          <w:snapToGrid w:val="0"/>
          <w:szCs w:val="20"/>
        </w:rPr>
        <w:t xml:space="preserve"> 1</w:t>
      </w:r>
      <w:r w:rsidR="00BE60C6">
        <w:rPr>
          <w:rFonts w:eastAsia="Times New Roman"/>
          <w:snapToGrid w:val="0"/>
          <w:szCs w:val="20"/>
        </w:rPr>
        <w:t>4</w:t>
      </w:r>
      <w:r w:rsidRPr="0007503A">
        <w:rPr>
          <w:rFonts w:eastAsia="Times New Roman"/>
          <w:snapToGrid w:val="0"/>
          <w:szCs w:val="20"/>
        </w:rPr>
        <w:t>.</w:t>
      </w:r>
      <w:r w:rsidRPr="00CE7182">
        <w:rPr>
          <w:rFonts w:eastAsia="Times New Roman"/>
          <w:snapToGrid w:val="0"/>
          <w:szCs w:val="20"/>
        </w:rPr>
        <w:t xml:space="preserve"> Only those </w:t>
      </w:r>
      <w:r w:rsidR="0086591D">
        <w:rPr>
          <w:rFonts w:eastAsia="Times New Roman"/>
          <w:snapToGrid w:val="0"/>
          <w:szCs w:val="20"/>
        </w:rPr>
        <w:t>Technical Proposal</w:t>
      </w:r>
      <w:r w:rsidRPr="00CE7182">
        <w:rPr>
          <w:rFonts w:eastAsia="Times New Roman"/>
          <w:snapToGrid w:val="0"/>
          <w:szCs w:val="20"/>
        </w:rPr>
        <w:t>s that achieve the required minimum points stated in Attachment 1</w:t>
      </w:r>
      <w:r w:rsidR="00114B63">
        <w:rPr>
          <w:rFonts w:eastAsia="Times New Roman"/>
          <w:snapToGrid w:val="0"/>
          <w:szCs w:val="20"/>
        </w:rPr>
        <w:t>4</w:t>
      </w:r>
      <w:r w:rsidRPr="00CE7182">
        <w:rPr>
          <w:rFonts w:eastAsia="Times New Roman"/>
          <w:snapToGrid w:val="0"/>
          <w:szCs w:val="20"/>
        </w:rPr>
        <w:t xml:space="preserve"> will move on to </w:t>
      </w:r>
      <w:r w:rsidR="00D64C39">
        <w:rPr>
          <w:rFonts w:eastAsia="Times New Roman"/>
          <w:snapToGrid w:val="0"/>
          <w:szCs w:val="20"/>
        </w:rPr>
        <w:t>Phase III, Technical Evaluation Interview, Washington D.C</w:t>
      </w:r>
      <w:r w:rsidR="008452D2">
        <w:rPr>
          <w:rFonts w:eastAsia="Times New Roman"/>
          <w:snapToGrid w:val="0"/>
          <w:szCs w:val="20"/>
        </w:rPr>
        <w:t xml:space="preserve">. </w:t>
      </w:r>
      <w:r w:rsidRPr="00CE7182">
        <w:rPr>
          <w:rFonts w:eastAsia="Times New Roman"/>
          <w:snapToGrid w:val="0"/>
          <w:szCs w:val="20"/>
        </w:rPr>
        <w:t xml:space="preserve">Those </w:t>
      </w:r>
      <w:r w:rsidR="0086591D">
        <w:rPr>
          <w:rFonts w:eastAsia="Times New Roman"/>
          <w:snapToGrid w:val="0"/>
          <w:szCs w:val="20"/>
        </w:rPr>
        <w:t>Technical Proposal</w:t>
      </w:r>
      <w:r w:rsidRPr="00CE7182">
        <w:rPr>
          <w:rFonts w:eastAsia="Times New Roman"/>
          <w:snapToGrid w:val="0"/>
          <w:szCs w:val="20"/>
        </w:rPr>
        <w:t xml:space="preserve">s receiving less than the minimum points stated in Attachment </w:t>
      </w:r>
      <w:proofErr w:type="gramStart"/>
      <w:r w:rsidRPr="00CE7182">
        <w:rPr>
          <w:rFonts w:eastAsia="Times New Roman"/>
          <w:snapToGrid w:val="0"/>
          <w:szCs w:val="20"/>
        </w:rPr>
        <w:t>1</w:t>
      </w:r>
      <w:r w:rsidR="00BE60C6">
        <w:rPr>
          <w:rFonts w:eastAsia="Times New Roman"/>
          <w:snapToGrid w:val="0"/>
          <w:szCs w:val="20"/>
        </w:rPr>
        <w:t>4</w:t>
      </w:r>
      <w:r w:rsidRPr="00CE7182">
        <w:rPr>
          <w:rFonts w:eastAsia="Times New Roman"/>
          <w:snapToGrid w:val="0"/>
          <w:szCs w:val="20"/>
        </w:rPr>
        <w:t>,</w:t>
      </w:r>
      <w:proofErr w:type="gramEnd"/>
      <w:r w:rsidRPr="00CE7182">
        <w:rPr>
          <w:rFonts w:eastAsia="Times New Roman"/>
          <w:snapToGrid w:val="0"/>
          <w:szCs w:val="20"/>
        </w:rPr>
        <w:t xml:space="preserve"> will not receive further consideration.</w:t>
      </w:r>
      <w:r w:rsidR="00CF4606">
        <w:rPr>
          <w:rFonts w:eastAsia="Times New Roman"/>
          <w:snapToGrid w:val="0"/>
          <w:szCs w:val="20"/>
        </w:rPr>
        <w:t xml:space="preserve"> </w:t>
      </w:r>
      <w:r w:rsidR="00CF4606">
        <w:rPr>
          <w:rFonts w:cs="Arial"/>
        </w:rPr>
        <w:t xml:space="preserve">During </w:t>
      </w:r>
      <w:r w:rsidR="00CF4606">
        <w:rPr>
          <w:rFonts w:cs="Arial"/>
        </w:rPr>
        <w:lastRenderedPageBreak/>
        <w:t xml:space="preserve">the evaluation phase, </w:t>
      </w:r>
      <w:r w:rsidR="00974717">
        <w:rPr>
          <w:rFonts w:cs="Arial"/>
        </w:rPr>
        <w:t xml:space="preserve">the </w:t>
      </w:r>
      <w:r w:rsidR="00CF4606">
        <w:rPr>
          <w:rFonts w:cs="Arial"/>
        </w:rPr>
        <w:t xml:space="preserve">CDE reserves the right, at its sole discretion, to request clarification on any aspect of the </w:t>
      </w:r>
      <w:r w:rsidR="0086591D">
        <w:rPr>
          <w:rFonts w:cs="Arial"/>
        </w:rPr>
        <w:t>Technical Proposal</w:t>
      </w:r>
      <w:r w:rsidR="00CF4606">
        <w:rPr>
          <w:rFonts w:cs="Arial"/>
        </w:rPr>
        <w:t>.</w:t>
      </w:r>
    </w:p>
    <w:p w14:paraId="63B2A5C1" w14:textId="6EEB9E98" w:rsidR="006C6950" w:rsidRPr="00D64C39" w:rsidRDefault="006C6950" w:rsidP="006C6950">
      <w:pPr>
        <w:pStyle w:val="ListParagraph"/>
        <w:numPr>
          <w:ilvl w:val="0"/>
          <w:numId w:val="26"/>
        </w:numPr>
        <w:spacing w:before="240" w:after="240"/>
        <w:contextualSpacing w:val="0"/>
        <w:rPr>
          <w:rFonts w:cs="Arial"/>
        </w:rPr>
      </w:pPr>
      <w:r w:rsidRPr="00D64C39">
        <w:rPr>
          <w:rFonts w:cs="Arial"/>
        </w:rPr>
        <w:t xml:space="preserve">Phase III: </w:t>
      </w:r>
      <w:r w:rsidR="007A0340" w:rsidRPr="00D64C39">
        <w:rPr>
          <w:rFonts w:cs="Arial"/>
        </w:rPr>
        <w:t>Technical Evaluation Interview, Washington D.C.</w:t>
      </w:r>
    </w:p>
    <w:p w14:paraId="578DBC92" w14:textId="023378F5" w:rsidR="006C6950" w:rsidRPr="00D64C39" w:rsidRDefault="006C6950" w:rsidP="006C6950">
      <w:pPr>
        <w:pStyle w:val="ListParagraph"/>
        <w:spacing w:after="240"/>
        <w:ind w:left="1080"/>
        <w:contextualSpacing w:val="0"/>
        <w:rPr>
          <w:rFonts w:cs="Arial"/>
          <w:szCs w:val="24"/>
        </w:rPr>
      </w:pPr>
      <w:r w:rsidRPr="00D64C39">
        <w:rPr>
          <w:rFonts w:eastAsia="Times New Roman"/>
          <w:snapToGrid w:val="0"/>
          <w:szCs w:val="20"/>
        </w:rPr>
        <w:t xml:space="preserve">An evaluation panel will evaluate those Technical Proposals that pass </w:t>
      </w:r>
      <w:proofErr w:type="gramStart"/>
      <w:r w:rsidRPr="00D64C39">
        <w:rPr>
          <w:rFonts w:eastAsia="Times New Roman"/>
          <w:snapToGrid w:val="0"/>
          <w:szCs w:val="20"/>
        </w:rPr>
        <w:t>the Phase</w:t>
      </w:r>
      <w:proofErr w:type="gramEnd"/>
      <w:r w:rsidRPr="00D64C39">
        <w:rPr>
          <w:rFonts w:eastAsia="Times New Roman"/>
          <w:snapToGrid w:val="0"/>
          <w:szCs w:val="20"/>
        </w:rPr>
        <w:t xml:space="preserve"> II: Technical Proposal Evaluation. The evaluation interview will be based on criteria shown in Phase III</w:t>
      </w:r>
      <w:r w:rsidR="007A0340" w:rsidRPr="00D64C39">
        <w:rPr>
          <w:rFonts w:eastAsia="Times New Roman"/>
          <w:snapToGrid w:val="0"/>
          <w:szCs w:val="20"/>
        </w:rPr>
        <w:t>, Technical Evaluation Interview</w:t>
      </w:r>
      <w:r w:rsidR="00D64C39">
        <w:rPr>
          <w:rFonts w:eastAsia="Times New Roman"/>
          <w:snapToGrid w:val="0"/>
          <w:szCs w:val="20"/>
        </w:rPr>
        <w:t>, Washington D.C.</w:t>
      </w:r>
      <w:r w:rsidR="007A0340" w:rsidRPr="00D64C39">
        <w:rPr>
          <w:rFonts w:eastAsia="Times New Roman"/>
          <w:snapToGrid w:val="0"/>
          <w:szCs w:val="20"/>
        </w:rPr>
        <w:t>,</w:t>
      </w:r>
      <w:r w:rsidRPr="00D64C39">
        <w:rPr>
          <w:rFonts w:eastAsia="Times New Roman"/>
          <w:snapToGrid w:val="0"/>
          <w:szCs w:val="20"/>
        </w:rPr>
        <w:t xml:space="preserve"> Attachment 1</w:t>
      </w:r>
      <w:r w:rsidR="00BE60C6" w:rsidRPr="002F7ABB">
        <w:rPr>
          <w:rFonts w:eastAsia="Times New Roman"/>
          <w:snapToGrid w:val="0"/>
          <w:szCs w:val="20"/>
        </w:rPr>
        <w:t>4</w:t>
      </w:r>
      <w:r w:rsidRPr="002F7ABB">
        <w:rPr>
          <w:rFonts w:eastAsia="Times New Roman"/>
          <w:snapToGrid w:val="0"/>
          <w:szCs w:val="20"/>
        </w:rPr>
        <w:t>.</w:t>
      </w:r>
      <w:r w:rsidRPr="00D64C39">
        <w:rPr>
          <w:rFonts w:eastAsia="Times New Roman"/>
          <w:snapToGrid w:val="0"/>
          <w:szCs w:val="20"/>
        </w:rPr>
        <w:t xml:space="preserve"> </w:t>
      </w:r>
    </w:p>
    <w:p w14:paraId="7388169C" w14:textId="47E42961" w:rsidR="006C6950" w:rsidRPr="00D64C39" w:rsidRDefault="006C6950" w:rsidP="006C6950">
      <w:pPr>
        <w:pStyle w:val="ListParagraph"/>
        <w:spacing w:after="240"/>
        <w:ind w:left="1080"/>
        <w:contextualSpacing w:val="0"/>
        <w:rPr>
          <w:rFonts w:cs="Arial"/>
          <w:szCs w:val="24"/>
        </w:rPr>
      </w:pPr>
      <w:r w:rsidRPr="00D64C39">
        <w:rPr>
          <w:rFonts w:cs="Arial"/>
          <w:szCs w:val="24"/>
        </w:rPr>
        <w:t xml:space="preserve">Bidders will be contacted to schedule a date and time for an interview. It is anticipated that the interviews will be held in </w:t>
      </w:r>
      <w:r w:rsidR="007A0340" w:rsidRPr="00D64C39">
        <w:rPr>
          <w:rFonts w:cs="Arial"/>
          <w:szCs w:val="24"/>
        </w:rPr>
        <w:t>Washington D.C.</w:t>
      </w:r>
      <w:r w:rsidR="00D64C39">
        <w:rPr>
          <w:rFonts w:cs="Arial"/>
          <w:szCs w:val="24"/>
        </w:rPr>
        <w:t xml:space="preserve"> (at the discretion of the CDE).</w:t>
      </w:r>
      <w:r w:rsidRPr="00D64C39">
        <w:rPr>
          <w:rFonts w:cs="Arial"/>
          <w:szCs w:val="24"/>
        </w:rPr>
        <w:t xml:space="preserve"> The interviews will be scheduled for </w:t>
      </w:r>
      <w:r w:rsidR="00D64C39">
        <w:rPr>
          <w:rFonts w:cs="Arial"/>
          <w:szCs w:val="24"/>
        </w:rPr>
        <w:t>July 20 – 24, 2026</w:t>
      </w:r>
      <w:r w:rsidR="00D64C39" w:rsidRPr="00D64C39">
        <w:rPr>
          <w:rFonts w:cs="Arial"/>
          <w:szCs w:val="24"/>
        </w:rPr>
        <w:t xml:space="preserve"> </w:t>
      </w:r>
      <w:r w:rsidR="007A0340" w:rsidRPr="00D64C39">
        <w:rPr>
          <w:rFonts w:cs="Arial"/>
          <w:szCs w:val="24"/>
        </w:rPr>
        <w:t>(tentative)</w:t>
      </w:r>
      <w:r w:rsidRPr="00D64C39">
        <w:rPr>
          <w:rFonts w:cs="Arial"/>
          <w:szCs w:val="24"/>
        </w:rPr>
        <w:t>, between 9 a.m. and 4 p.m. Each candidate will be given</w:t>
      </w:r>
      <w:r w:rsidR="007A0340" w:rsidRPr="00D64C39">
        <w:rPr>
          <w:rFonts w:cs="Arial"/>
          <w:szCs w:val="24"/>
        </w:rPr>
        <w:t xml:space="preserve"> one-half hour</w:t>
      </w:r>
      <w:r w:rsidRPr="00D64C39">
        <w:rPr>
          <w:rFonts w:cs="Arial"/>
          <w:szCs w:val="24"/>
        </w:rPr>
        <w:t xml:space="preserve"> to orally present </w:t>
      </w:r>
      <w:r w:rsidR="00D64C39">
        <w:rPr>
          <w:rFonts w:cs="Arial"/>
          <w:szCs w:val="24"/>
        </w:rPr>
        <w:t>their</w:t>
      </w:r>
      <w:r w:rsidRPr="00D64C39">
        <w:rPr>
          <w:rFonts w:cs="Arial"/>
          <w:szCs w:val="24"/>
        </w:rPr>
        <w:t xml:space="preserve"> qualifications, expertise, and experience</w:t>
      </w:r>
      <w:r w:rsidR="007A0340" w:rsidRPr="00D64C39">
        <w:rPr>
          <w:rFonts w:cs="Arial"/>
          <w:szCs w:val="24"/>
        </w:rPr>
        <w:t xml:space="preserve">. If a proposal includes several </w:t>
      </w:r>
      <w:r w:rsidR="00D64C39" w:rsidRPr="00D64C39">
        <w:rPr>
          <w:rFonts w:cs="Arial"/>
          <w:szCs w:val="24"/>
        </w:rPr>
        <w:t>professionals</w:t>
      </w:r>
      <w:r w:rsidR="007A0340" w:rsidRPr="00D64C39">
        <w:rPr>
          <w:rFonts w:cs="Arial"/>
          <w:szCs w:val="24"/>
        </w:rPr>
        <w:t xml:space="preserve">, the one-half hour allotted will be divided among them pursuant to their request. </w:t>
      </w:r>
      <w:r w:rsidRPr="00D64C39">
        <w:rPr>
          <w:rFonts w:cs="Arial"/>
          <w:szCs w:val="24"/>
        </w:rPr>
        <w:t xml:space="preserve">Bidders who receive </w:t>
      </w:r>
      <w:r w:rsidR="00D64C39">
        <w:rPr>
          <w:rFonts w:cs="Arial"/>
          <w:szCs w:val="24"/>
        </w:rPr>
        <w:t>less than the minimum</w:t>
      </w:r>
      <w:r w:rsidR="007A0340" w:rsidRPr="00D64C39">
        <w:rPr>
          <w:rFonts w:cs="Arial"/>
          <w:szCs w:val="24"/>
        </w:rPr>
        <w:t xml:space="preserve"> points</w:t>
      </w:r>
      <w:r w:rsidR="00D64C39">
        <w:rPr>
          <w:rFonts w:cs="Arial"/>
          <w:szCs w:val="24"/>
        </w:rPr>
        <w:t xml:space="preserve"> stated in Attachment </w:t>
      </w:r>
      <w:proofErr w:type="gramStart"/>
      <w:r w:rsidR="00D64C39">
        <w:rPr>
          <w:rFonts w:cs="Arial"/>
          <w:szCs w:val="24"/>
        </w:rPr>
        <w:t>14,</w:t>
      </w:r>
      <w:proofErr w:type="gramEnd"/>
      <w:r w:rsidR="00D64C39">
        <w:rPr>
          <w:rFonts w:cs="Arial"/>
          <w:szCs w:val="24"/>
        </w:rPr>
        <w:t xml:space="preserve"> will not receive</w:t>
      </w:r>
      <w:r w:rsidR="007A0340" w:rsidRPr="00D64C39">
        <w:rPr>
          <w:rFonts w:cs="Arial"/>
          <w:szCs w:val="24"/>
        </w:rPr>
        <w:t xml:space="preserve"> further consideration.</w:t>
      </w:r>
    </w:p>
    <w:p w14:paraId="46D85C40" w14:textId="5F8C06CD" w:rsidR="006C6950" w:rsidRDefault="006C6950" w:rsidP="006C6950">
      <w:pPr>
        <w:pStyle w:val="ListParagraph"/>
        <w:spacing w:before="240" w:after="240"/>
        <w:ind w:left="1080"/>
        <w:contextualSpacing w:val="0"/>
        <w:rPr>
          <w:rFonts w:cs="Arial"/>
          <w:szCs w:val="24"/>
        </w:rPr>
      </w:pPr>
      <w:r w:rsidRPr="00D64C39">
        <w:rPr>
          <w:rFonts w:cs="Arial"/>
          <w:szCs w:val="24"/>
        </w:rPr>
        <w:t xml:space="preserve">NOTE: The CDE reserves the right to </w:t>
      </w:r>
      <w:r w:rsidR="00D64C39">
        <w:rPr>
          <w:rFonts w:cs="Arial"/>
          <w:szCs w:val="24"/>
        </w:rPr>
        <w:t>conduct</w:t>
      </w:r>
      <w:r w:rsidR="00D64C39" w:rsidRPr="00D64C39">
        <w:rPr>
          <w:rFonts w:cs="Arial"/>
          <w:szCs w:val="24"/>
        </w:rPr>
        <w:t xml:space="preserve"> </w:t>
      </w:r>
      <w:proofErr w:type="gramStart"/>
      <w:r w:rsidRPr="00D64C39">
        <w:rPr>
          <w:rFonts w:cs="Arial"/>
          <w:szCs w:val="24"/>
        </w:rPr>
        <w:t>the Phase</w:t>
      </w:r>
      <w:proofErr w:type="gramEnd"/>
      <w:r w:rsidRPr="00D64C39">
        <w:rPr>
          <w:rFonts w:cs="Arial"/>
          <w:szCs w:val="24"/>
        </w:rPr>
        <w:t xml:space="preserve"> III: </w:t>
      </w:r>
      <w:r w:rsidR="00D64C39" w:rsidRPr="00D64C39">
        <w:rPr>
          <w:rFonts w:cs="Arial"/>
          <w:szCs w:val="24"/>
        </w:rPr>
        <w:t xml:space="preserve">Technical Evaluation Interview </w:t>
      </w:r>
      <w:r w:rsidR="00D64C39">
        <w:rPr>
          <w:rFonts w:cs="Arial"/>
          <w:szCs w:val="24"/>
        </w:rPr>
        <w:t>via</w:t>
      </w:r>
      <w:r w:rsidR="00D64C39" w:rsidRPr="00D64C39">
        <w:rPr>
          <w:rFonts w:cs="Arial"/>
          <w:szCs w:val="24"/>
        </w:rPr>
        <w:t xml:space="preserve"> a t</w:t>
      </w:r>
      <w:r w:rsidRPr="00D64C39">
        <w:rPr>
          <w:rFonts w:cs="Arial"/>
          <w:szCs w:val="24"/>
        </w:rPr>
        <w:t>eleconference or video conference.</w:t>
      </w:r>
    </w:p>
    <w:p w14:paraId="40DA7909" w14:textId="725CF536" w:rsidR="00D64C39" w:rsidRPr="002F7ABB" w:rsidRDefault="00D64C39" w:rsidP="00D64C39">
      <w:pPr>
        <w:pStyle w:val="ListParagraph"/>
        <w:numPr>
          <w:ilvl w:val="0"/>
          <w:numId w:val="26"/>
        </w:numPr>
        <w:spacing w:before="240" w:after="240"/>
        <w:contextualSpacing w:val="0"/>
        <w:rPr>
          <w:rFonts w:cs="Arial"/>
        </w:rPr>
      </w:pPr>
      <w:r w:rsidRPr="002F7ABB">
        <w:rPr>
          <w:rFonts w:cs="Arial"/>
          <w:szCs w:val="24"/>
        </w:rPr>
        <w:t>Phase IV: Technical Evaluation Interview, SSPI</w:t>
      </w:r>
    </w:p>
    <w:p w14:paraId="01E5E103" w14:textId="2F26EAE4" w:rsidR="00D64C39" w:rsidRDefault="00D64C39" w:rsidP="002F7ABB">
      <w:pPr>
        <w:pStyle w:val="ListParagraph"/>
        <w:spacing w:after="240"/>
        <w:ind w:left="1080"/>
        <w:contextualSpacing w:val="0"/>
        <w:rPr>
          <w:rFonts w:cs="Arial"/>
          <w:szCs w:val="24"/>
        </w:rPr>
      </w:pPr>
      <w:r>
        <w:rPr>
          <w:rFonts w:cs="Arial"/>
          <w:szCs w:val="24"/>
        </w:rPr>
        <w:t>The State Superintendent of Public Instruction (SSPI) will evaluate those Technical Proposals that pass the Phase III: Technical Evaluation Interview. The SSPI interview will be based on the criteria shown on Phase IV: Technical Evaluation Interview, SSPI, Attachment 14.</w:t>
      </w:r>
    </w:p>
    <w:p w14:paraId="6AF5D5DA" w14:textId="58E5F690" w:rsidR="00D64C39" w:rsidRDefault="00D64C39" w:rsidP="002F7ABB">
      <w:pPr>
        <w:pStyle w:val="ListParagraph"/>
        <w:spacing w:after="240"/>
        <w:ind w:left="1080"/>
        <w:contextualSpacing w:val="0"/>
        <w:rPr>
          <w:rFonts w:cs="Arial"/>
          <w:szCs w:val="24"/>
        </w:rPr>
      </w:pPr>
      <w:r>
        <w:rPr>
          <w:rFonts w:cs="Arial"/>
          <w:szCs w:val="24"/>
        </w:rPr>
        <w:t xml:space="preserve">Bidders will be contacted to arrange for an interview with the SSPI, or designee. It is anticipated that the interview will be held in </w:t>
      </w:r>
      <w:r w:rsidR="00704E38">
        <w:rPr>
          <w:rFonts w:cs="Arial"/>
          <w:szCs w:val="24"/>
        </w:rPr>
        <w:t>Washington, D.C.</w:t>
      </w:r>
      <w:r>
        <w:rPr>
          <w:rFonts w:cs="Arial"/>
          <w:szCs w:val="24"/>
        </w:rPr>
        <w:t xml:space="preserve"> (at the discretion of the CDE). The interview will be scheduled for July 27 – 31, 2026 (tentative). </w:t>
      </w:r>
      <w:r w:rsidRPr="00D64C39">
        <w:rPr>
          <w:rFonts w:cs="Arial"/>
          <w:szCs w:val="24"/>
        </w:rPr>
        <w:t xml:space="preserve">Each candidate will be given one-half hour to orally present </w:t>
      </w:r>
      <w:r>
        <w:rPr>
          <w:rFonts w:cs="Arial"/>
          <w:szCs w:val="24"/>
        </w:rPr>
        <w:t>their</w:t>
      </w:r>
      <w:r w:rsidRPr="00D64C39">
        <w:rPr>
          <w:rFonts w:cs="Arial"/>
          <w:szCs w:val="24"/>
        </w:rPr>
        <w:t xml:space="preserve"> qualifications, expertise, and experience. If a proposal includes several professionals, the one-half hour allotted will be divided among them pursuant to their request. </w:t>
      </w:r>
      <w:r>
        <w:rPr>
          <w:rFonts w:cs="Arial"/>
          <w:szCs w:val="24"/>
        </w:rPr>
        <w:t xml:space="preserve">Bidders who receive less than the minimum points stated in Attachment </w:t>
      </w:r>
      <w:proofErr w:type="gramStart"/>
      <w:r>
        <w:rPr>
          <w:rFonts w:cs="Arial"/>
          <w:szCs w:val="24"/>
        </w:rPr>
        <w:t>14,</w:t>
      </w:r>
      <w:proofErr w:type="gramEnd"/>
      <w:r>
        <w:rPr>
          <w:rFonts w:cs="Arial"/>
          <w:szCs w:val="24"/>
        </w:rPr>
        <w:t xml:space="preserve"> will not receive further consideration and will not proceed to the Public Opening of the Cost Proposal.</w:t>
      </w:r>
    </w:p>
    <w:p w14:paraId="5B029082" w14:textId="7419FB04" w:rsidR="00D64C39" w:rsidRPr="00D64C39" w:rsidRDefault="00D64C39" w:rsidP="002F7ABB">
      <w:pPr>
        <w:pStyle w:val="ListParagraph"/>
        <w:spacing w:before="240" w:after="240"/>
        <w:ind w:left="1080"/>
        <w:contextualSpacing w:val="0"/>
        <w:rPr>
          <w:rFonts w:cs="Arial"/>
        </w:rPr>
      </w:pPr>
      <w:r>
        <w:rPr>
          <w:rFonts w:cs="Arial"/>
          <w:szCs w:val="24"/>
        </w:rPr>
        <w:t xml:space="preserve">NOTE: The CDE reserves the right to conduct </w:t>
      </w:r>
      <w:proofErr w:type="gramStart"/>
      <w:r>
        <w:rPr>
          <w:rFonts w:cs="Arial"/>
          <w:szCs w:val="24"/>
        </w:rPr>
        <w:t>the Phase</w:t>
      </w:r>
      <w:proofErr w:type="gramEnd"/>
      <w:r>
        <w:rPr>
          <w:rFonts w:cs="Arial"/>
          <w:szCs w:val="24"/>
        </w:rPr>
        <w:t xml:space="preserve"> IV: Technical Evaluation Interview with SSPI via teleconference or video conference.</w:t>
      </w:r>
    </w:p>
    <w:p w14:paraId="3D8AD2AA" w14:textId="24344694" w:rsidR="005619F3" w:rsidRDefault="00D658A4" w:rsidP="00DB77A8">
      <w:pPr>
        <w:pStyle w:val="ListParagraph"/>
        <w:numPr>
          <w:ilvl w:val="0"/>
          <w:numId w:val="11"/>
        </w:numPr>
        <w:spacing w:before="240" w:after="240"/>
        <w:ind w:hanging="720"/>
        <w:contextualSpacing w:val="0"/>
      </w:pPr>
      <w:r>
        <w:t>Publ</w:t>
      </w:r>
      <w:r w:rsidR="002830BC">
        <w:t>ic Opening of the Cost Proposal</w:t>
      </w:r>
    </w:p>
    <w:p w14:paraId="3D8AD2AB" w14:textId="3B05A4FD" w:rsidR="00CF4606" w:rsidRPr="00CF4606" w:rsidRDefault="00D658A4" w:rsidP="00132985">
      <w:pPr>
        <w:pStyle w:val="ListParagraph"/>
        <w:numPr>
          <w:ilvl w:val="0"/>
          <w:numId w:val="16"/>
        </w:numPr>
        <w:spacing w:before="240" w:after="240"/>
        <w:ind w:left="1080"/>
        <w:contextualSpacing w:val="0"/>
      </w:pPr>
      <w:r>
        <w:t>Cost Proposals will be opened for bidders who achieved the required minimum points in Phase I</w:t>
      </w:r>
      <w:r w:rsidR="005F5F63">
        <w:t>V</w:t>
      </w:r>
      <w:r w:rsidR="00F14BBC">
        <w:t xml:space="preserve">, </w:t>
      </w:r>
      <w:r w:rsidR="008452D2">
        <w:t>Technical Evaluation</w:t>
      </w:r>
      <w:r w:rsidR="006C6950">
        <w:t xml:space="preserve"> </w:t>
      </w:r>
      <w:r w:rsidR="005F5F63">
        <w:t>Interview, SSPI</w:t>
      </w:r>
      <w:r w:rsidR="00DD77A6">
        <w:t xml:space="preserve">, </w:t>
      </w:r>
      <w:r w:rsidR="008452D2">
        <w:t xml:space="preserve">as scored using </w:t>
      </w:r>
      <w:r w:rsidR="00DE1CC5">
        <w:t>Attachment</w:t>
      </w:r>
      <w:r w:rsidR="00DD77A6">
        <w:t xml:space="preserve"> 1</w:t>
      </w:r>
      <w:r w:rsidR="00114B63">
        <w:t>4</w:t>
      </w:r>
      <w:r w:rsidR="007C2D86">
        <w:t xml:space="preserve">. </w:t>
      </w:r>
      <w:r>
        <w:t xml:space="preserve">The final selection will be made </w:t>
      </w:r>
      <w:proofErr w:type="gramStart"/>
      <w:r>
        <w:t>on the basis of</w:t>
      </w:r>
      <w:proofErr w:type="gramEnd"/>
      <w:r>
        <w:t xml:space="preserve"> the lowest responsive Cost Proposal from a responsible </w:t>
      </w:r>
      <w:r w:rsidR="00F14BBC">
        <w:t>b</w:t>
      </w:r>
      <w:r>
        <w:t>idder. The Public Opening of the Cost Proposal will</w:t>
      </w:r>
      <w:r w:rsidR="00E05AA0">
        <w:t xml:space="preserve"> be held at 1430 N Street, </w:t>
      </w:r>
      <w:r w:rsidR="00374D8D">
        <w:t xml:space="preserve">Suite 5602 Executive Conference </w:t>
      </w:r>
      <w:r w:rsidR="00E05AA0" w:rsidRPr="00431C46">
        <w:t>Room</w:t>
      </w:r>
      <w:r w:rsidR="00431C46">
        <w:t>,</w:t>
      </w:r>
      <w:r w:rsidRPr="00431C46">
        <w:t xml:space="preserve"> </w:t>
      </w:r>
      <w:r>
        <w:t xml:space="preserve">Sacramento, California, </w:t>
      </w:r>
      <w:r w:rsidRPr="00420652">
        <w:t xml:space="preserve">95814 </w:t>
      </w:r>
      <w:r w:rsidR="00CF4606" w:rsidRPr="008452D2">
        <w:rPr>
          <w:rFonts w:cs="Arial"/>
        </w:rPr>
        <w:t>at the time, day</w:t>
      </w:r>
      <w:r w:rsidR="00AA7AB8" w:rsidRPr="008452D2">
        <w:rPr>
          <w:rFonts w:cs="Arial"/>
        </w:rPr>
        <w:t>,</w:t>
      </w:r>
      <w:r w:rsidR="00CF4606" w:rsidRPr="008452D2">
        <w:rPr>
          <w:rFonts w:cs="Arial"/>
        </w:rPr>
        <w:t xml:space="preserve"> and date specified in RFP Section </w:t>
      </w:r>
      <w:r w:rsidR="009D2EC2">
        <w:rPr>
          <w:rFonts w:cs="Arial"/>
        </w:rPr>
        <w:t>2</w:t>
      </w:r>
      <w:r w:rsidR="00CF4606" w:rsidRPr="008452D2">
        <w:rPr>
          <w:rFonts w:cs="Arial"/>
        </w:rPr>
        <w:t>.3 RFP Schedule of Events.</w:t>
      </w:r>
    </w:p>
    <w:p w14:paraId="3D8AD2AC" w14:textId="75FBA41C" w:rsidR="00D658A4" w:rsidRDefault="00D658A4" w:rsidP="00132985">
      <w:pPr>
        <w:pStyle w:val="ListParagraph"/>
        <w:numPr>
          <w:ilvl w:val="0"/>
          <w:numId w:val="16"/>
        </w:numPr>
        <w:spacing w:before="240" w:after="240"/>
        <w:ind w:left="1080"/>
        <w:contextualSpacing w:val="0"/>
      </w:pPr>
      <w:r>
        <w:lastRenderedPageBreak/>
        <w:t xml:space="preserve">The CDE will review the </w:t>
      </w:r>
      <w:r w:rsidR="00F14BBC">
        <w:t xml:space="preserve">opened </w:t>
      </w:r>
      <w:r>
        <w:t>Cost Proposal</w:t>
      </w:r>
      <w:r w:rsidR="00F14BBC">
        <w:t>(</w:t>
      </w:r>
      <w:r>
        <w:t>s</w:t>
      </w:r>
      <w:r w:rsidR="00F14BBC">
        <w:t>)</w:t>
      </w:r>
      <w:r>
        <w:t xml:space="preserve"> for compliance with the standards and requirements in the RFP (see </w:t>
      </w:r>
      <w:r w:rsidR="00850636">
        <w:t>RFP Section 3.3</w:t>
      </w:r>
      <w:r>
        <w:t>,</w:t>
      </w:r>
      <w:r w:rsidR="00C1612E">
        <w:t xml:space="preserve"> and</w:t>
      </w:r>
      <w:r>
        <w:t xml:space="preserve"> Attachment 1</w:t>
      </w:r>
      <w:r w:rsidR="00BE60C6">
        <w:t>4</w:t>
      </w:r>
      <w:r>
        <w:t xml:space="preserve">) including a review comparing the hours </w:t>
      </w:r>
      <w:r w:rsidR="00FF771D">
        <w:t xml:space="preserve">listed </w:t>
      </w:r>
      <w:r>
        <w:t xml:space="preserve">in the Cost Proposal with the hours </w:t>
      </w:r>
      <w:r w:rsidR="00FF771D">
        <w:t xml:space="preserve">listed </w:t>
      </w:r>
      <w:r>
        <w:t xml:space="preserve">in the </w:t>
      </w:r>
      <w:r w:rsidR="0086591D">
        <w:t>Technical Proposal</w:t>
      </w:r>
      <w:r>
        <w:t xml:space="preserve">, Staffing Labor Hours Worksheet component of the </w:t>
      </w:r>
      <w:r w:rsidR="0086591D">
        <w:t>Technical Proposal</w:t>
      </w:r>
      <w:r>
        <w:t xml:space="preserve">. The CDE reserves the right, at its sole discretion, to overlook, correct, or require a bidder to remedy any obvious clerical or incidental mathematical errors on a proposal, if the correction does not result in an increase in the bidders’ total price. Bidders may be required </w:t>
      </w:r>
      <w:proofErr w:type="gramStart"/>
      <w:r>
        <w:t>to</w:t>
      </w:r>
      <w:proofErr w:type="gramEnd"/>
      <w:r>
        <w:t xml:space="preserve"> initial corrections. Inconsistencies between the </w:t>
      </w:r>
      <w:r w:rsidR="0086591D">
        <w:t>Technical Proposal</w:t>
      </w:r>
      <w:r>
        <w:t xml:space="preserve"> and the Cost Proposal may result in the re</w:t>
      </w:r>
      <w:r w:rsidR="004A7B5D">
        <w:t>jection of the proposal.</w:t>
      </w:r>
    </w:p>
    <w:p w14:paraId="3D8AD2AD" w14:textId="05014927" w:rsidR="00D658A4" w:rsidRDefault="00D658A4" w:rsidP="00132985">
      <w:pPr>
        <w:pStyle w:val="ListParagraph"/>
        <w:numPr>
          <w:ilvl w:val="0"/>
          <w:numId w:val="16"/>
        </w:numPr>
        <w:spacing w:before="240" w:after="240"/>
        <w:ind w:left="1080"/>
        <w:contextualSpacing w:val="0"/>
      </w:pPr>
      <w:r>
        <w:t xml:space="preserve">The </w:t>
      </w:r>
      <w:r w:rsidR="00DE164F">
        <w:t xml:space="preserve">Small Business, </w:t>
      </w:r>
      <w:r w:rsidR="00CC3174">
        <w:t>DVBE</w:t>
      </w:r>
      <w:r w:rsidR="00DE164F">
        <w:t>,</w:t>
      </w:r>
      <w:r w:rsidR="00CC3174">
        <w:t xml:space="preserve"> and </w:t>
      </w:r>
      <w:r>
        <w:t>TACPA preference program incentives will be computed by the CDE Contracts Office if the required documentation is included in the proposal. Adjustment to the bid price will be made accordingly. The preference program incentives are used only for computation purposes to determine the winning bidder and do not alter the amounts of the resulting contract.</w:t>
      </w:r>
    </w:p>
    <w:p w14:paraId="3D8AD2AE" w14:textId="0E6D5363" w:rsidR="00D658A4" w:rsidRDefault="00D658A4" w:rsidP="00132985">
      <w:pPr>
        <w:pStyle w:val="ListParagraph"/>
        <w:numPr>
          <w:ilvl w:val="0"/>
          <w:numId w:val="16"/>
        </w:numPr>
        <w:spacing w:before="240" w:after="240"/>
        <w:ind w:left="1080"/>
        <w:contextualSpacing w:val="0"/>
      </w:pPr>
      <w:r>
        <w:t xml:space="preserve">If no proposals are received containing bids offering a price, which in the opinion of the CDE is a reasonable price, </w:t>
      </w:r>
      <w:r w:rsidR="00974717">
        <w:t xml:space="preserve">the </w:t>
      </w:r>
      <w:r>
        <w:t>CDE is not required to award an Agreement (P</w:t>
      </w:r>
      <w:r w:rsidR="006C6950">
        <w:t xml:space="preserve">ublic </w:t>
      </w:r>
      <w:r>
        <w:t>C</w:t>
      </w:r>
      <w:r w:rsidR="006C6950">
        <w:t xml:space="preserve">ontract </w:t>
      </w:r>
      <w:r>
        <w:t>C</w:t>
      </w:r>
      <w:r w:rsidR="006C6950">
        <w:t>ode</w:t>
      </w:r>
      <w:r>
        <w:t xml:space="preserve"> Section 10344 [d]).</w:t>
      </w:r>
    </w:p>
    <w:p w14:paraId="3D8AD2AF" w14:textId="3F20FD54" w:rsidR="002830BC" w:rsidRDefault="00D658A4" w:rsidP="00132985">
      <w:pPr>
        <w:pStyle w:val="ListParagraph"/>
        <w:numPr>
          <w:ilvl w:val="0"/>
          <w:numId w:val="16"/>
        </w:numPr>
        <w:spacing w:before="240" w:after="240"/>
        <w:ind w:left="1080"/>
        <w:contextualSpacing w:val="0"/>
      </w:pPr>
      <w:r>
        <w:t xml:space="preserve">Every component of the cost is subject to reasonableness of cost justification to </w:t>
      </w:r>
      <w:r w:rsidR="006C6950">
        <w:t xml:space="preserve">the </w:t>
      </w:r>
      <w:r>
        <w:t>DGS, who may approve it at its discretion. If any portion of the cost is rejected by</w:t>
      </w:r>
      <w:r w:rsidR="006C6950">
        <w:t xml:space="preserve"> the</w:t>
      </w:r>
      <w:r>
        <w:t xml:space="preserve"> DGS, then the entire bid may be </w:t>
      </w:r>
      <w:r w:rsidR="002830BC">
        <w:t>rejected.</w:t>
      </w:r>
    </w:p>
    <w:p w14:paraId="3D8AD2B0" w14:textId="636C5D8E" w:rsidR="00D658A4" w:rsidRDefault="00D658A4" w:rsidP="00DB77A8">
      <w:pPr>
        <w:pStyle w:val="ListParagraph"/>
        <w:numPr>
          <w:ilvl w:val="0"/>
          <w:numId w:val="11"/>
        </w:numPr>
        <w:spacing w:before="240" w:after="240"/>
        <w:ind w:hanging="720"/>
        <w:contextualSpacing w:val="0"/>
      </w:pPr>
      <w:r>
        <w:t>Miscellaneous Award Issues</w:t>
      </w:r>
    </w:p>
    <w:p w14:paraId="3D8AD2B1" w14:textId="73D4118B" w:rsidR="00D658A4" w:rsidRDefault="00974717" w:rsidP="008452D2">
      <w:pPr>
        <w:pStyle w:val="ListParagraph"/>
        <w:numPr>
          <w:ilvl w:val="0"/>
          <w:numId w:val="1"/>
        </w:numPr>
        <w:tabs>
          <w:tab w:val="left" w:pos="-1260"/>
        </w:tabs>
        <w:spacing w:before="240" w:after="240"/>
        <w:ind w:left="1080"/>
        <w:contextualSpacing w:val="0"/>
      </w:pPr>
      <w:r>
        <w:t xml:space="preserve">The </w:t>
      </w:r>
      <w:r w:rsidR="00D658A4">
        <w:t>CDE does not negotiate rates and/or costs listed on any Cost Proposal submitted.</w:t>
      </w:r>
    </w:p>
    <w:p w14:paraId="3D8AD2B2" w14:textId="77777777" w:rsidR="00D658A4" w:rsidRDefault="00D658A4" w:rsidP="00DC1391">
      <w:pPr>
        <w:pStyle w:val="ListParagraph"/>
        <w:numPr>
          <w:ilvl w:val="0"/>
          <w:numId w:val="1"/>
        </w:numPr>
        <w:spacing w:before="240" w:after="240"/>
        <w:ind w:left="1080"/>
        <w:contextualSpacing w:val="0"/>
      </w:pPr>
      <w:r>
        <w:t>An error in the proposal may cause rejection of that bid; however, the CDE may, at its sole discretion, retain the proposal and require certain corrections. In determining if a correction will be made, the CDE will consider the conformance of the bid to the format and content required by the RFP, and any unusual complexity of the format and content required by the RFP.</w:t>
      </w:r>
    </w:p>
    <w:p w14:paraId="3D8AD2B3" w14:textId="77777777" w:rsidR="00D658A4" w:rsidRDefault="00D658A4" w:rsidP="00F6039A">
      <w:pPr>
        <w:spacing w:before="240" w:after="240"/>
        <w:ind w:left="1080"/>
      </w:pPr>
      <w:r>
        <w:t>If the bidder’s intent is clearly established based on review of the submitted proposal, the CDE may, at its sole discretion, require a bidder to correct an error based on that established intent. The CDE may, at its sole discretion, require a bidder to correct obvious clerical errors or incidental mathematical computation errors. The CDE may, at its sole discretion, require a bidder to correct incidental errors of omission, and in the following three situations, the CDE will take the indicated actions if the bidder’s intent is not clearly established</w:t>
      </w:r>
      <w:r w:rsidR="000C00DF">
        <w:t xml:space="preserve"> by the complete bid submittal:</w:t>
      </w:r>
    </w:p>
    <w:p w14:paraId="3D8AD2B4" w14:textId="77777777" w:rsidR="00D658A4" w:rsidRDefault="00D658A4" w:rsidP="00132985">
      <w:pPr>
        <w:pStyle w:val="ListParagraph"/>
        <w:numPr>
          <w:ilvl w:val="0"/>
          <w:numId w:val="19"/>
        </w:numPr>
        <w:spacing w:before="240" w:after="240"/>
        <w:ind w:left="1440"/>
        <w:contextualSpacing w:val="0"/>
      </w:pPr>
      <w:r>
        <w:t xml:space="preserve">If a </w:t>
      </w:r>
      <w:proofErr w:type="gramStart"/>
      <w:r>
        <w:t>deliverable,</w:t>
      </w:r>
      <w:proofErr w:type="gramEnd"/>
      <w:r>
        <w:t xml:space="preserve"> task, subtask, or staff is described in the narrative and omitted from the </w:t>
      </w:r>
      <w:r w:rsidR="002B5835" w:rsidRPr="00860659">
        <w:rPr>
          <w:rFonts w:cs="Arial"/>
        </w:rPr>
        <w:t>Cost Proposal</w:t>
      </w:r>
      <w:r>
        <w:t xml:space="preserve">, it will be interpreted to mean that the </w:t>
      </w:r>
      <w:proofErr w:type="gramStart"/>
      <w:r>
        <w:t>deliverable,</w:t>
      </w:r>
      <w:proofErr w:type="gramEnd"/>
      <w:r>
        <w:t xml:space="preserve"> task, subtask, </w:t>
      </w:r>
      <w:r w:rsidR="00CF4606">
        <w:t xml:space="preserve">and </w:t>
      </w:r>
      <w:r>
        <w:t>staff will be provided by the bidder at no cost.</w:t>
      </w:r>
    </w:p>
    <w:p w14:paraId="3D8AD2B5" w14:textId="77777777" w:rsidR="00D658A4" w:rsidRDefault="00D658A4" w:rsidP="00132985">
      <w:pPr>
        <w:pStyle w:val="ListParagraph"/>
        <w:numPr>
          <w:ilvl w:val="0"/>
          <w:numId w:val="19"/>
        </w:numPr>
        <w:spacing w:before="240" w:after="240"/>
        <w:ind w:left="1440"/>
        <w:contextualSpacing w:val="0"/>
      </w:pPr>
      <w:r>
        <w:t xml:space="preserve">If a </w:t>
      </w:r>
      <w:proofErr w:type="gramStart"/>
      <w:r>
        <w:t>deliverable,</w:t>
      </w:r>
      <w:proofErr w:type="gramEnd"/>
      <w:r>
        <w:t xml:space="preserve"> task, or subtask is not mentioned at all in the bidder’s proposal, the bid will be interpreted to mean that the bidder does not intend to perform that </w:t>
      </w:r>
      <w:proofErr w:type="gramStart"/>
      <w:r>
        <w:t>deliverable,</w:t>
      </w:r>
      <w:proofErr w:type="gramEnd"/>
      <w:r>
        <w:t xml:space="preserve"> task, or subtask.</w:t>
      </w:r>
    </w:p>
    <w:p w14:paraId="3D8AD2B6" w14:textId="77777777" w:rsidR="00D658A4" w:rsidRDefault="00D658A4" w:rsidP="00132985">
      <w:pPr>
        <w:pStyle w:val="ListParagraph"/>
        <w:numPr>
          <w:ilvl w:val="0"/>
          <w:numId w:val="19"/>
        </w:numPr>
        <w:spacing w:before="240" w:after="240"/>
        <w:ind w:left="1440"/>
        <w:contextualSpacing w:val="0"/>
      </w:pPr>
      <w:r>
        <w:lastRenderedPageBreak/>
        <w:t xml:space="preserve">If a </w:t>
      </w:r>
      <w:proofErr w:type="gramStart"/>
      <w:r>
        <w:t>deliverable,</w:t>
      </w:r>
      <w:proofErr w:type="gramEnd"/>
      <w:r>
        <w:t xml:space="preserve"> task, or subtask is omitted, and the omission is not discovered until after contract award, the bidder shall be required to perform that </w:t>
      </w:r>
      <w:proofErr w:type="gramStart"/>
      <w:r>
        <w:t>deliverable,</w:t>
      </w:r>
      <w:proofErr w:type="gramEnd"/>
      <w:r>
        <w:t xml:space="preserve"> task, or subtask at no cost.</w:t>
      </w:r>
    </w:p>
    <w:p w14:paraId="3D8AD2B7" w14:textId="7EEB1952" w:rsidR="00002C3F" w:rsidRPr="004E5C06" w:rsidRDefault="00D658A4" w:rsidP="00F92047">
      <w:pPr>
        <w:pStyle w:val="ListParagraph"/>
        <w:numPr>
          <w:ilvl w:val="0"/>
          <w:numId w:val="1"/>
        </w:numPr>
        <w:spacing w:before="240" w:after="240"/>
        <w:ind w:left="1080"/>
        <w:contextualSpacing w:val="0"/>
      </w:pPr>
      <w:r>
        <w:t xml:space="preserve">The bidder is advised that should this RFP result in an award of a contract, the contract will not be in </w:t>
      </w:r>
      <w:proofErr w:type="gramStart"/>
      <w:r>
        <w:t>force</w:t>
      </w:r>
      <w:proofErr w:type="gramEnd"/>
      <w:r>
        <w:t xml:space="preserve"> an</w:t>
      </w:r>
      <w:r w:rsidR="003361B2">
        <w:t>d</w:t>
      </w:r>
      <w:r>
        <w:t xml:space="preserve"> no work shall be performed until the contract is fully approved by the </w:t>
      </w:r>
      <w:r w:rsidR="00871006">
        <w:t>DGS</w:t>
      </w:r>
      <w:r>
        <w:t xml:space="preserve"> and the bidder is notified by the CDE Contract Monitor that services may begin.</w:t>
      </w:r>
    </w:p>
    <w:p w14:paraId="3D8AD2B8" w14:textId="2B57000B" w:rsidR="00401B74" w:rsidRDefault="00135D6D" w:rsidP="00E43B4A">
      <w:pPr>
        <w:pStyle w:val="Heading2"/>
      </w:pPr>
      <w:r>
        <w:br w:type="page"/>
      </w:r>
      <w:bookmarkStart w:id="10" w:name="_Toc224571224"/>
      <w:r w:rsidR="00537458">
        <w:lastRenderedPageBreak/>
        <w:t>5</w:t>
      </w:r>
      <w:r w:rsidR="00002C3F" w:rsidRPr="00002C3F">
        <w:t>. AWARD AND PROTEST</w:t>
      </w:r>
      <w:bookmarkEnd w:id="10"/>
    </w:p>
    <w:p w14:paraId="3D8AD2B9" w14:textId="4C728F0D" w:rsidR="00D658A4" w:rsidRPr="00401B74" w:rsidRDefault="00D658A4" w:rsidP="00DB77A8">
      <w:pPr>
        <w:numPr>
          <w:ilvl w:val="0"/>
          <w:numId w:val="4"/>
        </w:numPr>
        <w:tabs>
          <w:tab w:val="left" w:pos="0"/>
        </w:tabs>
        <w:spacing w:before="240" w:after="240"/>
        <w:ind w:right="720" w:hanging="720"/>
      </w:pPr>
      <w:r w:rsidRPr="00002C3F">
        <w:t>Notice</w:t>
      </w:r>
      <w:r>
        <w:t xml:space="preserve"> of Intent to Award will be posted for five (5) </w:t>
      </w:r>
      <w:r w:rsidRPr="00420652">
        <w:t xml:space="preserve">working days </w:t>
      </w:r>
      <w:r w:rsidR="00CF4606" w:rsidRPr="00420652">
        <w:rPr>
          <w:rFonts w:cs="Arial"/>
        </w:rPr>
        <w:t xml:space="preserve">beginning on the day and date specified in RFP Section </w:t>
      </w:r>
      <w:r w:rsidR="003B1588">
        <w:rPr>
          <w:rFonts w:cs="Arial"/>
        </w:rPr>
        <w:t>2</w:t>
      </w:r>
      <w:r w:rsidR="00CF4606" w:rsidRPr="00420652">
        <w:rPr>
          <w:rFonts w:cs="Arial"/>
        </w:rPr>
        <w:t>.3 RFP Schedule of Events</w:t>
      </w:r>
      <w:r w:rsidRPr="00420652">
        <w:t>, in the CDE</w:t>
      </w:r>
      <w:r>
        <w:t xml:space="preserve"> lobby located at 1430 N Street, Sacramento, California, and </w:t>
      </w:r>
      <w:r w:rsidR="00A34460">
        <w:t>may be posted on</w:t>
      </w:r>
      <w:r>
        <w:t xml:space="preserve"> the</w:t>
      </w:r>
      <w:r w:rsidR="007B4B86">
        <w:t xml:space="preserve"> </w:t>
      </w:r>
      <w:r w:rsidR="007B4B86" w:rsidRPr="007B4B86">
        <w:t xml:space="preserve">CDE's Funding </w:t>
      </w:r>
      <w:r w:rsidR="00BE60C6">
        <w:t>web</w:t>
      </w:r>
      <w:r w:rsidR="007B4B86" w:rsidRPr="007B4B86">
        <w:t>site</w:t>
      </w:r>
      <w:r w:rsidR="00BE60C6">
        <w:t xml:space="preserve"> at</w:t>
      </w:r>
      <w:r>
        <w:t xml:space="preserve"> </w:t>
      </w:r>
      <w:hyperlink r:id="rId31" w:tooltip="CDE's Funding Web site" w:history="1">
        <w:r w:rsidR="007B4B86" w:rsidRPr="007B4B86">
          <w:rPr>
            <w:rStyle w:val="Hyperlink"/>
          </w:rPr>
          <w:t>http://www.cde.ca.gov/fg/fo/af</w:t>
        </w:r>
      </w:hyperlink>
      <w:r w:rsidR="00CE7C87">
        <w:t xml:space="preserve">. </w:t>
      </w:r>
      <w:r>
        <w:t xml:space="preserve">During the same period, proposals and rating sheets will be available for public inspection at 1430 N Street, </w:t>
      </w:r>
      <w:r w:rsidR="00C1612E">
        <w:t>S</w:t>
      </w:r>
      <w:r>
        <w:t>acramento, California, during normal business hours</w:t>
      </w:r>
      <w:r w:rsidR="00C1612E">
        <w:t xml:space="preserve"> by submitting a request to the contact person identified in Section 2.5 of this RFP</w:t>
      </w:r>
      <w:r>
        <w:t>.</w:t>
      </w:r>
      <w:r w:rsidR="00CF4606">
        <w:t xml:space="preserve"> </w:t>
      </w:r>
      <w:r>
        <w:t>After the five (5) day notice has been completed, the proposed awardee wil</w:t>
      </w:r>
      <w:r w:rsidR="00AA27F1">
        <w:t>l be formally notified by mail</w:t>
      </w:r>
      <w:r w:rsidR="00AF4635">
        <w:t xml:space="preserve"> or email</w:t>
      </w:r>
      <w:r w:rsidR="00AA27F1">
        <w:t>.</w:t>
      </w:r>
    </w:p>
    <w:p w14:paraId="3D8AD2BA" w14:textId="77777777" w:rsidR="00D658A4" w:rsidRDefault="00D658A4" w:rsidP="00DB77A8">
      <w:pPr>
        <w:numPr>
          <w:ilvl w:val="0"/>
          <w:numId w:val="4"/>
        </w:numPr>
        <w:spacing w:before="240" w:after="240"/>
        <w:ind w:hanging="720"/>
      </w:pPr>
      <w:r>
        <w:t xml:space="preserve">If prior to the formal award, any bidder files a protest with the </w:t>
      </w:r>
      <w:r w:rsidR="00871006">
        <w:t>DGS</w:t>
      </w:r>
      <w:r>
        <w:t xml:space="preserve"> against the awarding of the contract, the contract shall not be awarded until either the protest has been </w:t>
      </w:r>
      <w:proofErr w:type="gramStart"/>
      <w:r>
        <w:t>withdrawn</w:t>
      </w:r>
      <w:proofErr w:type="gramEnd"/>
      <w:r>
        <w:t xml:space="preserve"> or the </w:t>
      </w:r>
      <w:r w:rsidR="00871006">
        <w:t xml:space="preserve">DGS </w:t>
      </w:r>
      <w:r>
        <w:t xml:space="preserve">has decided the matter. Within five (5) days after filing the protest, the protesting bidder shall file with the </w:t>
      </w:r>
      <w:r w:rsidR="00871006">
        <w:t>DGS</w:t>
      </w:r>
      <w:r>
        <w:t>, a full and complete written statement on the grounds that the (protesting) bidder would have been awarded the contract had the CDE correctly applied the evaluation standards in the RFP, or if the CDE followed the evaluation and scoring methods in the RFP. It is suggested that bidders submit any protest by certified or registered mail to:</w:t>
      </w:r>
    </w:p>
    <w:p w14:paraId="3D8AD2BB" w14:textId="73A913C7" w:rsidR="0078554A" w:rsidRDefault="008528F3" w:rsidP="00132985">
      <w:pPr>
        <w:pStyle w:val="ListParagraph"/>
        <w:numPr>
          <w:ilvl w:val="0"/>
          <w:numId w:val="17"/>
        </w:numPr>
        <w:contextualSpacing w:val="0"/>
      </w:pPr>
      <w:r>
        <w:t xml:space="preserve">California </w:t>
      </w:r>
      <w:r w:rsidR="0078554A">
        <w:t>Department of Education</w:t>
      </w:r>
    </w:p>
    <w:p w14:paraId="459E33A2" w14:textId="77777777" w:rsidR="008528F3" w:rsidRDefault="0078554A" w:rsidP="00721E75">
      <w:pPr>
        <w:pStyle w:val="ListParagraph"/>
        <w:ind w:left="1080"/>
        <w:contextualSpacing w:val="0"/>
      </w:pPr>
      <w:r>
        <w:t>Contracts Office</w:t>
      </w:r>
    </w:p>
    <w:p w14:paraId="3D8AD2BC" w14:textId="39511086" w:rsidR="0078554A" w:rsidRDefault="008528F3" w:rsidP="00721E75">
      <w:pPr>
        <w:pStyle w:val="ListParagraph"/>
        <w:ind w:left="1080"/>
        <w:contextualSpacing w:val="0"/>
      </w:pPr>
      <w:r>
        <w:t xml:space="preserve">Attention: </w:t>
      </w:r>
      <w:r w:rsidR="0078554A">
        <w:t>Jaymi Brown</w:t>
      </w:r>
    </w:p>
    <w:p w14:paraId="3D8AD2BD" w14:textId="60C9EF97" w:rsidR="0078554A" w:rsidRDefault="0078554A" w:rsidP="00721E75">
      <w:pPr>
        <w:pStyle w:val="ListParagraph"/>
        <w:ind w:left="1080"/>
        <w:contextualSpacing w:val="0"/>
      </w:pPr>
      <w:r>
        <w:t xml:space="preserve">1430 N Street, Suite </w:t>
      </w:r>
      <w:r w:rsidR="00AA27F1">
        <w:t>2213</w:t>
      </w:r>
    </w:p>
    <w:p w14:paraId="3D8AD2BE" w14:textId="77777777" w:rsidR="0078554A" w:rsidRDefault="0078554A" w:rsidP="00721E75">
      <w:pPr>
        <w:pStyle w:val="ListParagraph"/>
        <w:ind w:left="1080"/>
        <w:contextualSpacing w:val="0"/>
      </w:pPr>
      <w:r>
        <w:t>Sacramento, CA 95814</w:t>
      </w:r>
    </w:p>
    <w:p w14:paraId="3D8AD2C0" w14:textId="68F34EFC" w:rsidR="0078554A" w:rsidRDefault="0078554A" w:rsidP="00721E75">
      <w:pPr>
        <w:pStyle w:val="ListParagraph"/>
        <w:spacing w:after="240"/>
        <w:ind w:left="1080"/>
        <w:contextualSpacing w:val="0"/>
      </w:pPr>
      <w:r>
        <w:t xml:space="preserve">Email: </w:t>
      </w:r>
      <w:hyperlink r:id="rId32" w:tooltip="mail to Jaymi Brown" w:history="1">
        <w:r w:rsidRPr="00107EFA">
          <w:rPr>
            <w:rStyle w:val="Hyperlink"/>
          </w:rPr>
          <w:t>JaBrown@cde.ca.gov</w:t>
        </w:r>
      </w:hyperlink>
      <w:r w:rsidR="00C1612E" w:rsidRPr="00C1612E">
        <w:rPr>
          <w:rStyle w:val="Hyperlink"/>
          <w:color w:val="auto"/>
          <w:u w:val="none"/>
        </w:rPr>
        <w:t xml:space="preserve">, with CC: </w:t>
      </w:r>
      <w:hyperlink r:id="rId33" w:history="1">
        <w:r w:rsidR="00C1612E" w:rsidRPr="00D63083">
          <w:rPr>
            <w:rStyle w:val="Hyperlink"/>
          </w:rPr>
          <w:t>CONTRACTSOFFICE@cde.ca.gov</w:t>
        </w:r>
      </w:hyperlink>
    </w:p>
    <w:p w14:paraId="3D8AD2C1" w14:textId="77777777" w:rsidR="0078554A" w:rsidRDefault="0078554A" w:rsidP="00132985">
      <w:pPr>
        <w:pStyle w:val="ListParagraph"/>
        <w:numPr>
          <w:ilvl w:val="0"/>
          <w:numId w:val="17"/>
        </w:numPr>
        <w:contextualSpacing w:val="0"/>
      </w:pPr>
      <w:r>
        <w:t>Department of General Services</w:t>
      </w:r>
    </w:p>
    <w:p w14:paraId="2A751D43" w14:textId="77777777" w:rsidR="008528F3" w:rsidRDefault="0078554A" w:rsidP="00721E75">
      <w:pPr>
        <w:pStyle w:val="ListParagraph"/>
        <w:ind w:left="1080"/>
        <w:contextualSpacing w:val="0"/>
      </w:pPr>
      <w:r>
        <w:t>Office of Legal Services</w:t>
      </w:r>
    </w:p>
    <w:p w14:paraId="3D8AD2C2" w14:textId="683FAC93" w:rsidR="0078554A" w:rsidRDefault="008528F3" w:rsidP="00721E75">
      <w:pPr>
        <w:pStyle w:val="ListParagraph"/>
        <w:ind w:left="1080"/>
        <w:contextualSpacing w:val="0"/>
      </w:pPr>
      <w:r>
        <w:t>Attention: Bid</w:t>
      </w:r>
      <w:r w:rsidR="0078554A">
        <w:t xml:space="preserve"> Protest Coordinator</w:t>
      </w:r>
    </w:p>
    <w:p w14:paraId="3D8AD2C3" w14:textId="0EEB921E" w:rsidR="0078554A" w:rsidRDefault="0078554A" w:rsidP="00721E75">
      <w:pPr>
        <w:pStyle w:val="ListParagraph"/>
        <w:ind w:left="1080"/>
        <w:contextualSpacing w:val="0"/>
      </w:pPr>
      <w:r>
        <w:t>707 Third Street, 7</w:t>
      </w:r>
      <w:r w:rsidRPr="0078554A">
        <w:rPr>
          <w:vertAlign w:val="superscript"/>
        </w:rPr>
        <w:t>th</w:t>
      </w:r>
      <w:r>
        <w:t xml:space="preserve"> Floor</w:t>
      </w:r>
      <w:r w:rsidR="008528F3">
        <w:t>, Suite 7-330</w:t>
      </w:r>
    </w:p>
    <w:p w14:paraId="3D8AD2C4" w14:textId="77777777" w:rsidR="0078554A" w:rsidRDefault="0078554A" w:rsidP="00721E75">
      <w:pPr>
        <w:pStyle w:val="ListParagraph"/>
        <w:ind w:left="1080"/>
        <w:contextualSpacing w:val="0"/>
      </w:pPr>
      <w:r>
        <w:t>West Sacramento, CA 95605</w:t>
      </w:r>
    </w:p>
    <w:p w14:paraId="3D8AD2C7" w14:textId="7EDB6255" w:rsidR="002656A6" w:rsidRDefault="008528F3" w:rsidP="005F5F63">
      <w:pPr>
        <w:pStyle w:val="ListParagraph"/>
        <w:ind w:left="1080"/>
        <w:contextualSpacing w:val="0"/>
      </w:pPr>
      <w:r>
        <w:t xml:space="preserve">Bid Protest Coordinator Email: </w:t>
      </w:r>
      <w:hyperlink r:id="rId34" w:history="1">
        <w:r w:rsidRPr="000105A3">
          <w:rPr>
            <w:rStyle w:val="Hyperlink"/>
          </w:rPr>
          <w:t>OLSProtests@dgs.ca.gov</w:t>
        </w:r>
      </w:hyperlink>
    </w:p>
    <w:p w14:paraId="3D8AD2C8" w14:textId="25B2759D" w:rsidR="0047459D" w:rsidRPr="002656A6" w:rsidRDefault="00C426A0" w:rsidP="00E43B4A">
      <w:pPr>
        <w:pStyle w:val="Heading2"/>
      </w:pPr>
      <w:bookmarkStart w:id="11" w:name="_Toc224571225"/>
      <w:r>
        <w:lastRenderedPageBreak/>
        <w:t>6</w:t>
      </w:r>
      <w:r w:rsidR="002656A6">
        <w:t>. S</w:t>
      </w:r>
      <w:r w:rsidR="00471BC1" w:rsidRPr="00471BC1">
        <w:t>TANDARD CONDITIONS OF SERVICE</w:t>
      </w:r>
      <w:bookmarkEnd w:id="11"/>
    </w:p>
    <w:p w14:paraId="5070AAF7" w14:textId="4BC03DF9" w:rsidR="004564C9" w:rsidRPr="004564C9" w:rsidRDefault="004564C9" w:rsidP="00DB77A8">
      <w:pPr>
        <w:keepNext/>
        <w:keepLines/>
        <w:numPr>
          <w:ilvl w:val="0"/>
          <w:numId w:val="3"/>
        </w:numPr>
        <w:spacing w:before="240" w:after="240"/>
        <w:ind w:hanging="720"/>
        <w:rPr>
          <w:rFonts w:eastAsia="Times New Roman" w:cs="Arial"/>
          <w:snapToGrid w:val="0"/>
          <w:szCs w:val="20"/>
        </w:rPr>
      </w:pPr>
      <w:r w:rsidRPr="00EE2F9F">
        <w:t xml:space="preserve">Award of a contract </w:t>
      </w:r>
      <w:proofErr w:type="gramStart"/>
      <w:r w:rsidRPr="00EE2F9F">
        <w:t>as a result of</w:t>
      </w:r>
      <w:proofErr w:type="gramEnd"/>
      <w:r w:rsidRPr="00EE2F9F">
        <w:t xml:space="preserve"> the RFP shall be contingent on </w:t>
      </w:r>
      <w:r>
        <w:t xml:space="preserve">DGS </w:t>
      </w:r>
      <w:r w:rsidRPr="00EE2F9F">
        <w:t>approval, CDE executive approval, funding and program authorization provided to and by the CDE.</w:t>
      </w:r>
    </w:p>
    <w:p w14:paraId="3D8AD2C9" w14:textId="0D5BB095" w:rsidR="00401B74" w:rsidRPr="005867E4" w:rsidRDefault="00401B74" w:rsidP="00DB77A8">
      <w:pPr>
        <w:keepNext/>
        <w:keepLines/>
        <w:numPr>
          <w:ilvl w:val="0"/>
          <w:numId w:val="3"/>
        </w:numPr>
        <w:spacing w:before="240" w:after="240"/>
        <w:ind w:hanging="720"/>
        <w:rPr>
          <w:rFonts w:eastAsia="Times New Roman" w:cs="Arial"/>
          <w:snapToGrid w:val="0"/>
          <w:szCs w:val="20"/>
        </w:rPr>
      </w:pPr>
      <w:r w:rsidRPr="0047459D">
        <w:rPr>
          <w:rFonts w:eastAsia="Times New Roman" w:cs="Arial"/>
          <w:snapToGrid w:val="0"/>
          <w:szCs w:val="20"/>
        </w:rPr>
        <w:t xml:space="preserve">Service shall be available no sooner than the express date set by </w:t>
      </w:r>
      <w:r w:rsidR="00C770BD">
        <w:rPr>
          <w:rFonts w:eastAsia="Times New Roman" w:cs="Arial"/>
          <w:snapToGrid w:val="0"/>
          <w:szCs w:val="20"/>
        </w:rPr>
        <w:t xml:space="preserve">the </w:t>
      </w:r>
      <w:r w:rsidRPr="0047459D">
        <w:rPr>
          <w:rFonts w:eastAsia="Times New Roman" w:cs="Arial"/>
          <w:snapToGrid w:val="0"/>
          <w:szCs w:val="20"/>
        </w:rPr>
        <w:t xml:space="preserve">CDE and the </w:t>
      </w:r>
      <w:r w:rsidR="0002661D">
        <w:rPr>
          <w:rFonts w:eastAsia="Times New Roman" w:cs="Arial"/>
          <w:snapToGrid w:val="0"/>
          <w:szCs w:val="20"/>
        </w:rPr>
        <w:t>b</w:t>
      </w:r>
      <w:r w:rsidRPr="0047459D">
        <w:rPr>
          <w:rFonts w:eastAsia="Times New Roman" w:cs="Arial"/>
          <w:snapToGrid w:val="0"/>
          <w:szCs w:val="20"/>
        </w:rPr>
        <w:t xml:space="preserve">idder, after all approvals have been obtained and the contract is fully executed. Should the </w:t>
      </w:r>
      <w:r w:rsidR="0002661D">
        <w:rPr>
          <w:rFonts w:eastAsia="Times New Roman" w:cs="Arial"/>
          <w:snapToGrid w:val="0"/>
          <w:szCs w:val="20"/>
        </w:rPr>
        <w:t>b</w:t>
      </w:r>
      <w:r w:rsidRPr="0047459D">
        <w:rPr>
          <w:rFonts w:eastAsia="Times New Roman" w:cs="Arial"/>
          <w:snapToGrid w:val="0"/>
          <w:szCs w:val="20"/>
        </w:rPr>
        <w:t xml:space="preserve">idder fail to commence work at the agreed upon time, </w:t>
      </w:r>
      <w:r w:rsidR="00C770BD">
        <w:rPr>
          <w:rFonts w:eastAsia="Times New Roman" w:cs="Arial"/>
          <w:snapToGrid w:val="0"/>
          <w:szCs w:val="20"/>
        </w:rPr>
        <w:t xml:space="preserve">the </w:t>
      </w:r>
      <w:r w:rsidRPr="0047459D">
        <w:rPr>
          <w:rFonts w:eastAsia="Times New Roman" w:cs="Arial"/>
          <w:snapToGrid w:val="0"/>
          <w:szCs w:val="20"/>
        </w:rPr>
        <w:t xml:space="preserve">CDE, upon five (5) days written notice to the Contractor, reserves the right to terminate the Agreement. In addition, the proposer shall be liable to the State for the difference between the </w:t>
      </w:r>
      <w:r w:rsidR="0002661D">
        <w:rPr>
          <w:rFonts w:eastAsia="Times New Roman" w:cs="Arial"/>
          <w:snapToGrid w:val="0"/>
          <w:szCs w:val="20"/>
        </w:rPr>
        <w:t>b</w:t>
      </w:r>
      <w:r w:rsidRPr="0047459D">
        <w:rPr>
          <w:rFonts w:eastAsia="Times New Roman" w:cs="Arial"/>
          <w:snapToGrid w:val="0"/>
          <w:szCs w:val="20"/>
        </w:rPr>
        <w:t xml:space="preserve">idder’s </w:t>
      </w:r>
      <w:r w:rsidR="002B5835" w:rsidRPr="002B5835">
        <w:rPr>
          <w:rFonts w:eastAsia="Times New Roman" w:cs="Arial"/>
          <w:snapToGrid w:val="0"/>
          <w:szCs w:val="20"/>
        </w:rPr>
        <w:t>Cost Proposal</w:t>
      </w:r>
      <w:r w:rsidR="002B5835" w:rsidRPr="002B5835" w:rsidDel="002B5835">
        <w:rPr>
          <w:rFonts w:eastAsia="Times New Roman" w:cs="Arial"/>
          <w:snapToGrid w:val="0"/>
          <w:szCs w:val="20"/>
        </w:rPr>
        <w:t xml:space="preserve"> </w:t>
      </w:r>
      <w:r w:rsidRPr="0047459D">
        <w:rPr>
          <w:rFonts w:eastAsia="Times New Roman" w:cs="Arial"/>
          <w:snapToGrid w:val="0"/>
          <w:szCs w:val="20"/>
        </w:rPr>
        <w:t>price and the actual cost of performing work by the second lowest proposer or by another Contractor.</w:t>
      </w:r>
    </w:p>
    <w:p w14:paraId="558CBD6A" w14:textId="29164F67" w:rsidR="004564C9" w:rsidRPr="004564C9" w:rsidRDefault="004564C9" w:rsidP="004564C9">
      <w:pPr>
        <w:widowControl w:val="0"/>
        <w:numPr>
          <w:ilvl w:val="0"/>
          <w:numId w:val="3"/>
        </w:numPr>
        <w:spacing w:before="240" w:after="240"/>
        <w:ind w:hanging="720"/>
        <w:rPr>
          <w:rFonts w:eastAsia="Times New Roman" w:cs="Arial"/>
          <w:b/>
          <w:snapToGrid w:val="0"/>
          <w:szCs w:val="20"/>
        </w:rPr>
      </w:pPr>
      <w:r>
        <w:t>All proposals and related documents submitted in response to this RFP shall become the property of the State of California. Pursuant to the Public Contract Code and all other applicable laws, all proposals and related documents will be made available in their entirety for public inspection and reproduction. Submission of a proposal constitutes acceptance of the terms.</w:t>
      </w:r>
    </w:p>
    <w:p w14:paraId="5050BE88" w14:textId="1CA4E1B7" w:rsidR="004564C9" w:rsidRPr="00CD2F48" w:rsidRDefault="004564C9" w:rsidP="004564C9">
      <w:pPr>
        <w:widowControl w:val="0"/>
        <w:numPr>
          <w:ilvl w:val="0"/>
          <w:numId w:val="3"/>
        </w:numPr>
        <w:spacing w:before="240" w:after="240"/>
        <w:ind w:hanging="720"/>
        <w:rPr>
          <w:rFonts w:eastAsia="Times New Roman" w:cs="Arial"/>
          <w:b/>
          <w:snapToGrid w:val="0"/>
          <w:szCs w:val="20"/>
        </w:rPr>
      </w:pPr>
      <w:r w:rsidRPr="00CD2F48">
        <w:t xml:space="preserve">Sections </w:t>
      </w:r>
      <w:r w:rsidR="00CD2F48" w:rsidRPr="00CD2F48">
        <w:t>7</w:t>
      </w:r>
      <w:r w:rsidRPr="00CD2F48">
        <w:t xml:space="preserve"> through 1</w:t>
      </w:r>
      <w:r w:rsidR="00CD2F48" w:rsidRPr="00CD2F48">
        <w:t>1</w:t>
      </w:r>
      <w:r w:rsidRPr="00CD2F48">
        <w:t xml:space="preserve"> of this RFP and the successful bidder’s Technical and Cost Proposals for the contract will be incorporated into the final contract, which is a public document.</w:t>
      </w:r>
    </w:p>
    <w:p w14:paraId="0B4C77BD" w14:textId="77777777" w:rsidR="004564C9" w:rsidRPr="002432C1" w:rsidRDefault="004564C9" w:rsidP="004564C9">
      <w:pPr>
        <w:widowControl w:val="0"/>
        <w:numPr>
          <w:ilvl w:val="0"/>
          <w:numId w:val="3"/>
        </w:numPr>
        <w:spacing w:before="240" w:after="240"/>
        <w:ind w:hanging="720"/>
        <w:rPr>
          <w:rFonts w:eastAsia="Times New Roman" w:cs="Arial"/>
          <w:snapToGrid w:val="0"/>
          <w:szCs w:val="20"/>
        </w:rPr>
      </w:pPr>
      <w:r w:rsidRPr="00401B74">
        <w:rPr>
          <w:rFonts w:eastAsia="Times New Roman" w:cs="Arial"/>
          <w:snapToGrid w:val="0"/>
          <w:szCs w:val="20"/>
        </w:rPr>
        <w:t>All performance under the contract shall be completed on or before the termination date of the contract.</w:t>
      </w:r>
    </w:p>
    <w:p w14:paraId="0F9A35E6" w14:textId="77777777" w:rsidR="004564C9" w:rsidRPr="002432C1" w:rsidRDefault="004564C9" w:rsidP="004564C9">
      <w:pPr>
        <w:widowControl w:val="0"/>
        <w:numPr>
          <w:ilvl w:val="0"/>
          <w:numId w:val="3"/>
        </w:numPr>
        <w:spacing w:before="240" w:after="240"/>
        <w:ind w:hanging="720"/>
        <w:rPr>
          <w:rFonts w:eastAsia="Times New Roman" w:cs="Arial"/>
          <w:snapToGrid w:val="0"/>
          <w:szCs w:val="20"/>
        </w:rPr>
      </w:pPr>
      <w:r w:rsidRPr="00401B74">
        <w:rPr>
          <w:rFonts w:eastAsia="Times New Roman" w:cs="Arial"/>
          <w:snapToGrid w:val="0"/>
          <w:szCs w:val="20"/>
        </w:rPr>
        <w:t>No oral understanding or agreement shall be binding on either party.</w:t>
      </w:r>
    </w:p>
    <w:p w14:paraId="69D7DBE7" w14:textId="0FFD0215" w:rsidR="00537458" w:rsidRPr="004564C9" w:rsidRDefault="004564C9" w:rsidP="00E54297">
      <w:pPr>
        <w:widowControl w:val="0"/>
        <w:numPr>
          <w:ilvl w:val="0"/>
          <w:numId w:val="3"/>
        </w:numPr>
        <w:spacing w:before="240" w:after="240"/>
        <w:ind w:hanging="720"/>
        <w:rPr>
          <w:rFonts w:eastAsia="Times New Roman" w:cs="Arial"/>
          <w:b/>
          <w:snapToGrid w:val="0"/>
          <w:szCs w:val="20"/>
        </w:rPr>
      </w:pPr>
      <w:r w:rsidRPr="00401B74">
        <w:rPr>
          <w:rFonts w:eastAsia="Times New Roman" w:cs="Arial"/>
          <w:snapToGrid w:val="0"/>
          <w:szCs w:val="20"/>
        </w:rPr>
        <w:t xml:space="preserve">If a </w:t>
      </w:r>
      <w:r>
        <w:rPr>
          <w:rFonts w:eastAsia="Times New Roman" w:cs="Arial"/>
          <w:snapToGrid w:val="0"/>
          <w:szCs w:val="20"/>
        </w:rPr>
        <w:t>b</w:t>
      </w:r>
      <w:r w:rsidRPr="00401B74">
        <w:rPr>
          <w:rFonts w:eastAsia="Times New Roman" w:cs="Arial"/>
          <w:snapToGrid w:val="0"/>
          <w:szCs w:val="20"/>
        </w:rPr>
        <w:t xml:space="preserve">idder is awarded a contract and refuses to sign the contract presented for signature within the time and manner required, the </w:t>
      </w:r>
      <w:r>
        <w:rPr>
          <w:rFonts w:eastAsia="Times New Roman" w:cs="Arial"/>
          <w:snapToGrid w:val="0"/>
          <w:szCs w:val="20"/>
        </w:rPr>
        <w:t>b</w:t>
      </w:r>
      <w:r w:rsidRPr="00401B74">
        <w:rPr>
          <w:rFonts w:eastAsia="Times New Roman" w:cs="Arial"/>
          <w:snapToGrid w:val="0"/>
          <w:szCs w:val="20"/>
        </w:rPr>
        <w:t xml:space="preserve">idder will be liable to </w:t>
      </w:r>
      <w:r>
        <w:rPr>
          <w:rFonts w:eastAsia="Times New Roman" w:cs="Arial"/>
          <w:snapToGrid w:val="0"/>
          <w:szCs w:val="20"/>
        </w:rPr>
        <w:t xml:space="preserve">the </w:t>
      </w:r>
      <w:r w:rsidRPr="00401B74">
        <w:rPr>
          <w:rFonts w:eastAsia="Times New Roman" w:cs="Arial"/>
          <w:snapToGrid w:val="0"/>
          <w:szCs w:val="20"/>
        </w:rPr>
        <w:t xml:space="preserve">CDE for actual damages resulting to </w:t>
      </w:r>
      <w:r>
        <w:rPr>
          <w:rFonts w:eastAsia="Times New Roman" w:cs="Arial"/>
          <w:snapToGrid w:val="0"/>
          <w:szCs w:val="20"/>
        </w:rPr>
        <w:t xml:space="preserve">the </w:t>
      </w:r>
      <w:r w:rsidRPr="00401B74">
        <w:rPr>
          <w:rFonts w:eastAsia="Times New Roman" w:cs="Arial"/>
          <w:snapToGrid w:val="0"/>
          <w:szCs w:val="20"/>
        </w:rPr>
        <w:t>CDE therefrom or ten percent of the amount proposed, whichever is less.</w:t>
      </w:r>
    </w:p>
    <w:p w14:paraId="2034C3F7" w14:textId="77777777" w:rsidR="004564C9" w:rsidRDefault="004564C9">
      <w:pPr>
        <w:rPr>
          <w:rFonts w:eastAsia="Times New Roman" w:cs="Arial"/>
          <w:b/>
          <w:bCs/>
          <w:iCs/>
          <w:sz w:val="40"/>
          <w:szCs w:val="40"/>
        </w:rPr>
      </w:pPr>
      <w:r>
        <w:br w:type="page"/>
      </w:r>
    </w:p>
    <w:p w14:paraId="3FCE5E21" w14:textId="6DB87D99" w:rsidR="00537458" w:rsidRDefault="00C426A0" w:rsidP="00E43B4A">
      <w:pPr>
        <w:pStyle w:val="Heading2"/>
      </w:pPr>
      <w:bookmarkStart w:id="12" w:name="_Toc224571226"/>
      <w:r>
        <w:lastRenderedPageBreak/>
        <w:t>7</w:t>
      </w:r>
      <w:r w:rsidR="00537458">
        <w:t xml:space="preserve">. </w:t>
      </w:r>
      <w:r w:rsidR="00537458" w:rsidRPr="00B32A0B">
        <w:t>SCOPE OF PROJECT</w:t>
      </w:r>
      <w:bookmarkEnd w:id="12"/>
    </w:p>
    <w:p w14:paraId="35D94BC4" w14:textId="77777777" w:rsidR="00537458" w:rsidRPr="002E0181" w:rsidRDefault="00537458" w:rsidP="00537458">
      <w:pPr>
        <w:spacing w:after="240"/>
        <w:rPr>
          <w:rFonts w:eastAsia="Times New Roman" w:cs="Arial"/>
          <w:bCs/>
          <w:snapToGrid w:val="0"/>
          <w:szCs w:val="20"/>
        </w:rPr>
      </w:pPr>
      <w:r>
        <w:rPr>
          <w:rFonts w:eastAsia="Times New Roman" w:cs="Arial"/>
          <w:bCs/>
          <w:snapToGrid w:val="0"/>
          <w:szCs w:val="20"/>
        </w:rPr>
        <w:t>The Contractor</w:t>
      </w:r>
      <w:r w:rsidRPr="002E0181">
        <w:rPr>
          <w:rFonts w:eastAsia="Times New Roman" w:cs="Arial"/>
          <w:bCs/>
          <w:snapToGrid w:val="0"/>
          <w:szCs w:val="20"/>
        </w:rPr>
        <w:t xml:space="preserve"> must plan and budget for the costs of all tasks/subtasks and activities. The Technical Proposal may not contain any cost </w:t>
      </w:r>
      <w:r>
        <w:rPr>
          <w:rFonts w:eastAsia="Times New Roman" w:cs="Arial"/>
          <w:bCs/>
          <w:snapToGrid w:val="0"/>
          <w:szCs w:val="20"/>
        </w:rPr>
        <w:t>information.</w:t>
      </w:r>
    </w:p>
    <w:p w14:paraId="6C3C73B2" w14:textId="77777777" w:rsidR="00537458" w:rsidRPr="001D345A" w:rsidRDefault="00537458" w:rsidP="00537458">
      <w:pPr>
        <w:spacing w:after="240"/>
        <w:rPr>
          <w:rFonts w:eastAsia="Times New Roman" w:cs="Arial"/>
          <w:bCs/>
          <w:snapToGrid w:val="0"/>
          <w:szCs w:val="20"/>
        </w:rPr>
      </w:pPr>
      <w:r w:rsidRPr="002E0181">
        <w:rPr>
          <w:rFonts w:eastAsia="Times New Roman" w:cs="Arial"/>
          <w:bCs/>
          <w:snapToGrid w:val="0"/>
          <w:szCs w:val="20"/>
        </w:rPr>
        <w:t>The successful bidder must comply w</w:t>
      </w:r>
      <w:r w:rsidRPr="001D345A">
        <w:rPr>
          <w:rFonts w:eastAsia="Times New Roman" w:cs="Arial"/>
          <w:bCs/>
          <w:snapToGrid w:val="0"/>
          <w:szCs w:val="20"/>
        </w:rPr>
        <w:t>ith all relevant laws and regulations in the performance of work in furtherance of the contract established pursuant to this procurement.</w:t>
      </w:r>
    </w:p>
    <w:p w14:paraId="662F572B" w14:textId="53F87CFF" w:rsidR="00537458" w:rsidRPr="001D345A" w:rsidRDefault="00537458" w:rsidP="00537458">
      <w:pPr>
        <w:tabs>
          <w:tab w:val="left" w:pos="-1440"/>
          <w:tab w:val="left" w:pos="720"/>
        </w:tabs>
        <w:spacing w:after="240"/>
        <w:rPr>
          <w:rFonts w:eastAsia="Times New Roman" w:cs="Arial"/>
          <w:bCs/>
          <w:snapToGrid w:val="0"/>
          <w:szCs w:val="20"/>
        </w:rPr>
      </w:pPr>
      <w:r w:rsidRPr="001D345A">
        <w:rPr>
          <w:rFonts w:cs="Arial"/>
          <w:szCs w:val="24"/>
        </w:rPr>
        <w:t xml:space="preserve">The term of the contract is from </w:t>
      </w:r>
      <w:r w:rsidR="001D345A" w:rsidRPr="001D345A">
        <w:rPr>
          <w:rFonts w:cs="Arial"/>
          <w:szCs w:val="24"/>
        </w:rPr>
        <w:t xml:space="preserve">January 1, </w:t>
      </w:r>
      <w:proofErr w:type="gramStart"/>
      <w:r w:rsidR="001D345A" w:rsidRPr="001D345A">
        <w:rPr>
          <w:rFonts w:cs="Arial"/>
          <w:szCs w:val="24"/>
        </w:rPr>
        <w:t>2027</w:t>
      </w:r>
      <w:proofErr w:type="gramEnd"/>
      <w:r w:rsidR="001D345A" w:rsidRPr="001D345A">
        <w:rPr>
          <w:rFonts w:cs="Arial"/>
          <w:szCs w:val="24"/>
        </w:rPr>
        <w:t xml:space="preserve"> through December 31, 2028</w:t>
      </w:r>
      <w:r w:rsidRPr="001D345A">
        <w:rPr>
          <w:rFonts w:cs="Arial"/>
          <w:szCs w:val="24"/>
        </w:rPr>
        <w:t xml:space="preserve">, which spans </w:t>
      </w:r>
      <w:r w:rsidR="00C1612E" w:rsidRPr="001D345A">
        <w:rPr>
          <w:rFonts w:cs="Arial"/>
          <w:szCs w:val="24"/>
        </w:rPr>
        <w:t>three</w:t>
      </w:r>
      <w:r w:rsidRPr="001D345A">
        <w:rPr>
          <w:rFonts w:cs="Arial"/>
          <w:szCs w:val="24"/>
        </w:rPr>
        <w:t xml:space="preserve"> fiscal years, for a total of 2</w:t>
      </w:r>
      <w:r w:rsidR="001D345A" w:rsidRPr="001D345A">
        <w:rPr>
          <w:rFonts w:cs="Arial"/>
          <w:szCs w:val="24"/>
        </w:rPr>
        <w:t>4</w:t>
      </w:r>
      <w:r w:rsidRPr="001D345A">
        <w:rPr>
          <w:rFonts w:cs="Arial"/>
          <w:szCs w:val="24"/>
        </w:rPr>
        <w:t xml:space="preserve"> months. </w:t>
      </w:r>
      <w:r w:rsidRPr="001D345A">
        <w:rPr>
          <w:rFonts w:eastAsia="Times New Roman" w:cs="Arial"/>
          <w:bCs/>
          <w:snapToGrid w:val="0"/>
          <w:szCs w:val="20"/>
        </w:rPr>
        <w:t xml:space="preserve">(Refer to RFP Section </w:t>
      </w:r>
      <w:r w:rsidR="00C1612E" w:rsidRPr="001D345A">
        <w:rPr>
          <w:rFonts w:eastAsia="Times New Roman" w:cs="Arial"/>
          <w:bCs/>
          <w:snapToGrid w:val="0"/>
          <w:szCs w:val="20"/>
        </w:rPr>
        <w:t>2</w:t>
      </w:r>
      <w:r w:rsidRPr="001D345A">
        <w:rPr>
          <w:rFonts w:eastAsia="Times New Roman" w:cs="Arial"/>
          <w:bCs/>
          <w:snapToGrid w:val="0"/>
          <w:szCs w:val="20"/>
        </w:rPr>
        <w:t>.8 for the definition of “fiscal year”). The fiscal years defined in this RFP are as follows:</w:t>
      </w:r>
    </w:p>
    <w:p w14:paraId="5DA103E2" w14:textId="77777777" w:rsidR="001D345A" w:rsidRPr="001D345A" w:rsidRDefault="001D345A" w:rsidP="001D345A">
      <w:pPr>
        <w:pStyle w:val="ListParagraph"/>
        <w:numPr>
          <w:ilvl w:val="0"/>
          <w:numId w:val="62"/>
        </w:numPr>
        <w:spacing w:after="240"/>
        <w:rPr>
          <w:rFonts w:eastAsia="Times New Roman" w:cs="Arial"/>
          <w:bCs/>
          <w:snapToGrid w:val="0"/>
          <w:szCs w:val="20"/>
        </w:rPr>
      </w:pPr>
      <w:r w:rsidRPr="001D345A">
        <w:rPr>
          <w:rFonts w:eastAsia="Times New Roman" w:cs="Arial"/>
          <w:bCs/>
          <w:snapToGrid w:val="0"/>
          <w:szCs w:val="20"/>
        </w:rPr>
        <w:t>2026–2027: January 1, 2027 – June 30, 2027</w:t>
      </w:r>
    </w:p>
    <w:p w14:paraId="051EDE3B" w14:textId="77777777" w:rsidR="001D345A" w:rsidRPr="001D345A" w:rsidRDefault="001D345A" w:rsidP="001D345A">
      <w:pPr>
        <w:pStyle w:val="ListParagraph"/>
        <w:numPr>
          <w:ilvl w:val="0"/>
          <w:numId w:val="62"/>
        </w:numPr>
        <w:spacing w:after="240"/>
        <w:rPr>
          <w:rFonts w:eastAsia="Times New Roman" w:cs="Arial"/>
          <w:bCs/>
          <w:snapToGrid w:val="0"/>
          <w:szCs w:val="20"/>
        </w:rPr>
      </w:pPr>
      <w:r w:rsidRPr="001D345A">
        <w:rPr>
          <w:rFonts w:eastAsia="Times New Roman" w:cs="Arial"/>
          <w:bCs/>
          <w:snapToGrid w:val="0"/>
          <w:szCs w:val="20"/>
        </w:rPr>
        <w:t>2027–2028: July 1, 2027 – June 30, 2028</w:t>
      </w:r>
    </w:p>
    <w:p w14:paraId="0C402AD8" w14:textId="77777777" w:rsidR="001D345A" w:rsidRPr="001D345A" w:rsidRDefault="001D345A" w:rsidP="001D345A">
      <w:pPr>
        <w:pStyle w:val="ListParagraph"/>
        <w:numPr>
          <w:ilvl w:val="0"/>
          <w:numId w:val="62"/>
        </w:numPr>
        <w:spacing w:after="240"/>
        <w:contextualSpacing w:val="0"/>
        <w:rPr>
          <w:rFonts w:eastAsia="Times New Roman" w:cs="Arial"/>
          <w:bCs/>
          <w:snapToGrid w:val="0"/>
          <w:szCs w:val="20"/>
        </w:rPr>
      </w:pPr>
      <w:r w:rsidRPr="001D345A">
        <w:rPr>
          <w:rFonts w:eastAsia="Times New Roman" w:cs="Arial"/>
          <w:bCs/>
          <w:snapToGrid w:val="0"/>
          <w:szCs w:val="20"/>
        </w:rPr>
        <w:t>2028–2029: July 1, 2028 – December 31, 2028</w:t>
      </w:r>
    </w:p>
    <w:p w14:paraId="1E47285D" w14:textId="019CF663" w:rsidR="00537458" w:rsidRPr="001D345A" w:rsidRDefault="00537458" w:rsidP="00537458">
      <w:pPr>
        <w:spacing w:after="240"/>
      </w:pPr>
      <w:r w:rsidRPr="001D345A">
        <w:t xml:space="preserve">At the sole discretion of the CDE, the contract may be extended by written agreement and formal amendment between the parties, for an additional year (12 months) beginning </w:t>
      </w:r>
      <w:r w:rsidR="001D345A" w:rsidRPr="001D345A">
        <w:t xml:space="preserve">January 1, </w:t>
      </w:r>
      <w:proofErr w:type="gramStart"/>
      <w:r w:rsidR="001D345A" w:rsidRPr="001D345A">
        <w:t>2029</w:t>
      </w:r>
      <w:proofErr w:type="gramEnd"/>
      <w:r w:rsidR="001D345A" w:rsidRPr="001D345A">
        <w:t xml:space="preserve"> through December 31, 2029</w:t>
      </w:r>
      <w:r w:rsidRPr="001D345A">
        <w:t xml:space="preserve">, at the same or lower rates, under the same terms and conditions. (Refer to RFP Section </w:t>
      </w:r>
      <w:r w:rsidR="00CD2F48" w:rsidRPr="001D345A">
        <w:t>2</w:t>
      </w:r>
      <w:r w:rsidRPr="001D345A">
        <w:t>.4.3)</w:t>
      </w:r>
    </w:p>
    <w:p w14:paraId="2AE43DD8" w14:textId="6A200C95" w:rsidR="00537458" w:rsidRPr="001D345A" w:rsidRDefault="00537458" w:rsidP="00537458">
      <w:pPr>
        <w:spacing w:after="240"/>
        <w:rPr>
          <w:rFonts w:eastAsia="Times New Roman" w:cs="Arial"/>
          <w:bCs/>
          <w:snapToGrid w:val="0"/>
          <w:szCs w:val="20"/>
        </w:rPr>
      </w:pPr>
      <w:r w:rsidRPr="001D345A">
        <w:t xml:space="preserve">Proposals must be submitted for the performance of all tasks described herein. Any deviation from the tasks described in Section </w:t>
      </w:r>
      <w:r w:rsidR="00DC395C" w:rsidRPr="001D345A">
        <w:t>7</w:t>
      </w:r>
      <w:r w:rsidRPr="001D345A">
        <w:t xml:space="preserve"> (Scope of Project) will not be considered and will cause a proposal to be rejected.</w:t>
      </w:r>
      <w:r w:rsidRPr="001D345A">
        <w:rPr>
          <w:rFonts w:eastAsia="Times New Roman" w:cs="Arial"/>
          <w:bCs/>
          <w:snapToGrid w:val="0"/>
          <w:szCs w:val="20"/>
        </w:rPr>
        <w:t xml:space="preserve"> This RFP seeks proposals addressing five main tasks:</w:t>
      </w:r>
    </w:p>
    <w:p w14:paraId="11255AF1" w14:textId="77777777" w:rsidR="00537458" w:rsidRPr="001D345A" w:rsidRDefault="00537458" w:rsidP="00537458">
      <w:pPr>
        <w:spacing w:after="240"/>
        <w:rPr>
          <w:rFonts w:eastAsia="Times New Roman" w:cs="Arial"/>
          <w:bCs/>
          <w:snapToGrid w:val="0"/>
          <w:szCs w:val="20"/>
        </w:rPr>
      </w:pPr>
      <w:r w:rsidRPr="001D345A">
        <w:rPr>
          <w:rFonts w:eastAsia="Times New Roman" w:cs="Arial"/>
          <w:bCs/>
          <w:snapToGrid w:val="0"/>
          <w:szCs w:val="20"/>
        </w:rPr>
        <w:t>Task 1 – Coordination and Communications with the CDE</w:t>
      </w:r>
    </w:p>
    <w:p w14:paraId="611E905D" w14:textId="77777777" w:rsidR="00537458" w:rsidRPr="001D345A" w:rsidRDefault="00537458" w:rsidP="00537458">
      <w:pPr>
        <w:spacing w:after="240"/>
        <w:rPr>
          <w:rFonts w:eastAsia="Times New Roman" w:cs="Arial"/>
          <w:bCs/>
          <w:snapToGrid w:val="0"/>
          <w:szCs w:val="20"/>
        </w:rPr>
      </w:pPr>
      <w:r w:rsidRPr="001D345A">
        <w:rPr>
          <w:rFonts w:eastAsia="Times New Roman" w:cs="Arial"/>
          <w:bCs/>
          <w:snapToGrid w:val="0"/>
          <w:szCs w:val="20"/>
        </w:rPr>
        <w:t>Task 2 – Reports, Invoices, and Data File Requirements</w:t>
      </w:r>
    </w:p>
    <w:p w14:paraId="6C951E31" w14:textId="77777777" w:rsidR="00537458" w:rsidRPr="001D345A" w:rsidRDefault="00537458" w:rsidP="00537458">
      <w:pPr>
        <w:spacing w:after="240"/>
        <w:rPr>
          <w:rFonts w:eastAsia="Times New Roman" w:cs="Arial"/>
          <w:bCs/>
          <w:snapToGrid w:val="0"/>
          <w:szCs w:val="20"/>
        </w:rPr>
      </w:pPr>
      <w:r w:rsidRPr="001D345A">
        <w:rPr>
          <w:rFonts w:eastAsia="Times New Roman" w:cs="Arial"/>
          <w:bCs/>
          <w:snapToGrid w:val="0"/>
          <w:szCs w:val="20"/>
        </w:rPr>
        <w:t>Task 3 – Comprehensive Plan and Schedule for Project Activities and Deliverables</w:t>
      </w:r>
    </w:p>
    <w:p w14:paraId="2FB438E9" w14:textId="79D7B30E" w:rsidR="00537458" w:rsidRPr="001D345A" w:rsidRDefault="00537458" w:rsidP="00537458">
      <w:pPr>
        <w:spacing w:after="240"/>
        <w:rPr>
          <w:rFonts w:eastAsia="Times New Roman" w:cs="Arial"/>
          <w:bCs/>
          <w:snapToGrid w:val="0"/>
          <w:szCs w:val="20"/>
        </w:rPr>
      </w:pPr>
      <w:r w:rsidRPr="001D345A">
        <w:rPr>
          <w:rFonts w:eastAsia="Times New Roman" w:cs="Arial"/>
          <w:bCs/>
          <w:snapToGrid w:val="0"/>
          <w:szCs w:val="20"/>
        </w:rPr>
        <w:t xml:space="preserve">Task 4 – </w:t>
      </w:r>
      <w:r w:rsidR="001D345A" w:rsidRPr="001D345A">
        <w:rPr>
          <w:rFonts w:eastAsia="Times New Roman" w:cs="Arial"/>
          <w:bCs/>
          <w:snapToGrid w:val="0"/>
          <w:szCs w:val="20"/>
        </w:rPr>
        <w:t>Congressional Liaison</w:t>
      </w:r>
    </w:p>
    <w:p w14:paraId="5865054A" w14:textId="2C222685" w:rsidR="00C1612E" w:rsidRPr="001D345A" w:rsidRDefault="00C1612E" w:rsidP="00537458">
      <w:pPr>
        <w:spacing w:after="240"/>
        <w:rPr>
          <w:rFonts w:eastAsia="Times New Roman" w:cs="Arial"/>
          <w:bCs/>
          <w:snapToGrid w:val="0"/>
          <w:szCs w:val="20"/>
        </w:rPr>
      </w:pPr>
      <w:r w:rsidRPr="001D345A">
        <w:rPr>
          <w:rFonts w:eastAsia="Times New Roman" w:cs="Arial"/>
          <w:bCs/>
          <w:snapToGrid w:val="0"/>
          <w:szCs w:val="20"/>
        </w:rPr>
        <w:t>Task 5 –</w:t>
      </w:r>
      <w:r w:rsidR="001D345A" w:rsidRPr="001D345A">
        <w:rPr>
          <w:rFonts w:eastAsia="Times New Roman" w:cs="Arial"/>
          <w:bCs/>
          <w:snapToGrid w:val="0"/>
          <w:szCs w:val="20"/>
        </w:rPr>
        <w:t xml:space="preserve"> Administrative Liaison</w:t>
      </w:r>
    </w:p>
    <w:p w14:paraId="592DB7F7" w14:textId="77777777" w:rsidR="00537458" w:rsidRDefault="00537458" w:rsidP="00537458">
      <w:pPr>
        <w:spacing w:after="240"/>
        <w:rPr>
          <w:rFonts w:eastAsia="Times New Roman" w:cs="Arial"/>
          <w:b/>
          <w:bCs/>
          <w:iCs/>
          <w:sz w:val="32"/>
          <w:szCs w:val="28"/>
        </w:rPr>
      </w:pPr>
      <w:r>
        <w:br w:type="page"/>
      </w:r>
    </w:p>
    <w:p w14:paraId="49F755B9" w14:textId="77777777" w:rsidR="00537458" w:rsidRPr="0082265F" w:rsidRDefault="00537458" w:rsidP="00F67ED5">
      <w:pPr>
        <w:pStyle w:val="Heading3"/>
      </w:pPr>
      <w:r w:rsidRPr="0082265F">
        <w:lastRenderedPageBreak/>
        <w:t>TASK 1 – COORDINATION AND COMMUNICATIONS WITH THE CDE</w:t>
      </w:r>
    </w:p>
    <w:p w14:paraId="30A06FA0" w14:textId="77777777" w:rsidR="00537458" w:rsidRPr="00A80331" w:rsidRDefault="00537458" w:rsidP="00537458">
      <w:pPr>
        <w:rPr>
          <w:rFonts w:cs="Arial"/>
          <w:color w:val="000000"/>
          <w:szCs w:val="24"/>
        </w:rPr>
      </w:pPr>
      <w:r w:rsidRPr="00A80331">
        <w:rPr>
          <w:rFonts w:cs="Arial"/>
          <w:color w:val="000000"/>
          <w:szCs w:val="24"/>
        </w:rPr>
        <w:t xml:space="preserve">This section </w:t>
      </w:r>
      <w:r>
        <w:rPr>
          <w:rFonts w:cs="Arial"/>
          <w:color w:val="000000"/>
          <w:szCs w:val="24"/>
        </w:rPr>
        <w:t>of the T</w:t>
      </w:r>
      <w:r w:rsidRPr="00A80331">
        <w:rPr>
          <w:rFonts w:cs="Arial"/>
          <w:color w:val="000000"/>
          <w:szCs w:val="24"/>
        </w:rPr>
        <w:t xml:space="preserve">echnical </w:t>
      </w:r>
      <w:r>
        <w:rPr>
          <w:rFonts w:cs="Arial"/>
          <w:color w:val="000000"/>
          <w:szCs w:val="24"/>
        </w:rPr>
        <w:t>P</w:t>
      </w:r>
      <w:r w:rsidRPr="00A80331">
        <w:rPr>
          <w:rFonts w:cs="Arial"/>
          <w:color w:val="000000"/>
          <w:szCs w:val="24"/>
        </w:rPr>
        <w:t xml:space="preserve">roposal must acknowledge the bidder’s commitment to completing all the requirements specified below in Task 1 and must provide a description of the approach and methodology by which the bidder will accomplish all the associated subtasks and activities. The </w:t>
      </w:r>
      <w:r>
        <w:rPr>
          <w:rFonts w:cs="Arial"/>
          <w:color w:val="000000"/>
          <w:szCs w:val="24"/>
        </w:rPr>
        <w:t>T</w:t>
      </w:r>
      <w:r w:rsidRPr="00A80331">
        <w:rPr>
          <w:rFonts w:cs="Arial"/>
          <w:color w:val="000000"/>
          <w:szCs w:val="24"/>
        </w:rPr>
        <w:t xml:space="preserve">echnical </w:t>
      </w:r>
      <w:r>
        <w:rPr>
          <w:rFonts w:cs="Arial"/>
          <w:color w:val="000000"/>
          <w:szCs w:val="24"/>
        </w:rPr>
        <w:t>P</w:t>
      </w:r>
      <w:r w:rsidRPr="00A80331">
        <w:rPr>
          <w:rFonts w:cs="Arial"/>
          <w:color w:val="000000"/>
          <w:szCs w:val="24"/>
        </w:rPr>
        <w:t>roposal must contain sufficient detail to convey the bidder’s knowledge of the subjects and skills necessary to successfully complete the project as stated in Task 1.</w:t>
      </w:r>
    </w:p>
    <w:p w14:paraId="0D68E5AE" w14:textId="5478563C" w:rsidR="001D345A" w:rsidRDefault="00537458" w:rsidP="00537458">
      <w:pPr>
        <w:spacing w:before="240" w:after="240"/>
        <w:rPr>
          <w:rFonts w:cs="Arial"/>
        </w:rPr>
      </w:pPr>
      <w:r w:rsidRPr="005C528E">
        <w:rPr>
          <w:rFonts w:cs="Arial"/>
          <w:color w:val="000000"/>
          <w:szCs w:val="24"/>
        </w:rPr>
        <w:t xml:space="preserve">The successful bidder shall coordinate communications with the CDE during the entire contract period. The successful bidder shall provide timely and accurate communication and coordination with CDE staff and other policy, administrative, and advisory groups; attend and provide minutes for required meetings; adhere to the CDE Approval Schedule Requirements </w:t>
      </w:r>
      <w:r w:rsidRPr="00853D76">
        <w:rPr>
          <w:rFonts w:cs="Arial"/>
          <w:szCs w:val="24"/>
        </w:rPr>
        <w:t>(See Task 1.</w:t>
      </w:r>
      <w:r w:rsidR="00853D76">
        <w:rPr>
          <w:rFonts w:cs="Arial"/>
          <w:szCs w:val="24"/>
        </w:rPr>
        <w:t>5</w:t>
      </w:r>
      <w:r w:rsidRPr="00853D76">
        <w:rPr>
          <w:rFonts w:cs="Arial"/>
          <w:szCs w:val="24"/>
        </w:rPr>
        <w:t xml:space="preserve"> </w:t>
      </w:r>
      <w:r w:rsidRPr="00853D76">
        <w:t xml:space="preserve">– </w:t>
      </w:r>
      <w:r>
        <w:t>CDE Approval Schedule Requirements</w:t>
      </w:r>
      <w:r>
        <w:rPr>
          <w:rFonts w:cs="Arial"/>
          <w:color w:val="000000"/>
          <w:szCs w:val="24"/>
        </w:rPr>
        <w:t>) for project deliverables</w:t>
      </w:r>
      <w:r w:rsidRPr="005C528E">
        <w:rPr>
          <w:rFonts w:cs="Arial"/>
          <w:color w:val="000000"/>
          <w:szCs w:val="24"/>
        </w:rPr>
        <w:t>. The bidder’s proposal must include the following information to address Task 1 activities which include the following subtasks. The Task 1 activities include, but are not limited to, the following subtasks.</w:t>
      </w:r>
    </w:p>
    <w:p w14:paraId="15E729AA" w14:textId="42512B58" w:rsidR="00537458" w:rsidRDefault="001D345A" w:rsidP="00537458">
      <w:pPr>
        <w:spacing w:before="240" w:after="240"/>
      </w:pPr>
      <w:r>
        <w:rPr>
          <w:rFonts w:cs="Arial"/>
        </w:rPr>
        <w:t>For all meetings outlined in Task 1 and i</w:t>
      </w:r>
      <w:r w:rsidRPr="001D345A">
        <w:rPr>
          <w:rFonts w:cs="Arial"/>
        </w:rPr>
        <w:t>n accordance with any recommendation(s) or order(s) contained in a Governor’s executive order, an advisory or order of the California Department of Public Health, or an advisory or order of a county health department with authority over the area in which this contract is to be performed or an advisory or order of a law enforcement authority, the in-person meetings may be cancelled or changed to a virtual meeting at the discretion of the CDE. Therefore, any announcement for the event must state that the event may be in-person, virtual, or both. The CDE cannot reimburse the Contractor for any cancellation fees, deposit or pre-payments under any circumstances, even if the CDE decides to cancel the event</w:t>
      </w:r>
      <w:r w:rsidR="000049BC">
        <w:rPr>
          <w:rFonts w:cs="Arial"/>
        </w:rPr>
        <w:t>.</w:t>
      </w:r>
    </w:p>
    <w:p w14:paraId="60361EBF" w14:textId="77777777" w:rsidR="00537458" w:rsidRPr="005420EF" w:rsidRDefault="00537458" w:rsidP="00537458">
      <w:pPr>
        <w:pStyle w:val="Heading4"/>
      </w:pPr>
      <w:r w:rsidRPr="005420EF">
        <w:t>1.1 Orientation Meeting</w:t>
      </w:r>
    </w:p>
    <w:p w14:paraId="3996E30A" w14:textId="0CA324BB" w:rsidR="001D345A" w:rsidRPr="00AF0B33" w:rsidRDefault="00537458" w:rsidP="00537458">
      <w:pPr>
        <w:spacing w:before="240" w:after="240"/>
        <w:rPr>
          <w:rFonts w:cs="Arial"/>
          <w:szCs w:val="24"/>
        </w:rPr>
      </w:pPr>
      <w:r w:rsidRPr="005420EF">
        <w:rPr>
          <w:rFonts w:cs="Arial"/>
          <w:szCs w:val="24"/>
        </w:rPr>
        <w:t xml:space="preserve">The Technical Proposal must include a detailed plan for conducting an orientation meeting that will occur within the first two weeks of the commencement of this contract. The Technical Proposal must ensure that all </w:t>
      </w:r>
      <w:r w:rsidRPr="00152C31">
        <w:rPr>
          <w:rFonts w:cs="Arial"/>
          <w:szCs w:val="24"/>
        </w:rPr>
        <w:t xml:space="preserve">key personnel of the prime contractor and any subcontractor(s) including the management team (Project Manager, Fiscal Manager, </w:t>
      </w:r>
      <w:r w:rsidR="001D345A">
        <w:rPr>
          <w:rFonts w:cs="Arial"/>
          <w:szCs w:val="24"/>
        </w:rPr>
        <w:t xml:space="preserve">Partner/Senior Associate (if applicable), </w:t>
      </w:r>
      <w:r w:rsidRPr="00152C31">
        <w:rPr>
          <w:rFonts w:cs="Arial"/>
          <w:szCs w:val="24"/>
        </w:rPr>
        <w:t xml:space="preserve">and any other key personnel identified in Section </w:t>
      </w:r>
      <w:r w:rsidR="00292129">
        <w:rPr>
          <w:rFonts w:cs="Arial"/>
          <w:szCs w:val="24"/>
        </w:rPr>
        <w:t xml:space="preserve">RFP </w:t>
      </w:r>
      <w:r w:rsidR="00CD2F48">
        <w:rPr>
          <w:rFonts w:cs="Arial"/>
          <w:szCs w:val="24"/>
        </w:rPr>
        <w:t>3</w:t>
      </w:r>
      <w:r w:rsidRPr="00152C31">
        <w:rPr>
          <w:rFonts w:cs="Arial"/>
          <w:szCs w:val="24"/>
        </w:rPr>
        <w:t>.1.3), task leaders, and significant subcontractors</w:t>
      </w:r>
      <w:r w:rsidRPr="005420EF">
        <w:rPr>
          <w:rFonts w:cs="Arial"/>
          <w:szCs w:val="24"/>
        </w:rPr>
        <w:t xml:space="preserve"> will </w:t>
      </w:r>
      <w:r w:rsidRPr="001D345A">
        <w:rPr>
          <w:rFonts w:cs="Arial"/>
          <w:szCs w:val="24"/>
        </w:rPr>
        <w:t>meet in person with the CDE for up to four hours at the CDE headquarters located at 1430 N Street, Sacramento, California 95814.</w:t>
      </w:r>
    </w:p>
    <w:p w14:paraId="02723DBA" w14:textId="53770E2C" w:rsidR="00537458" w:rsidRPr="005420EF" w:rsidRDefault="00537458" w:rsidP="00537458">
      <w:pPr>
        <w:spacing w:before="240" w:after="240"/>
        <w:rPr>
          <w:rFonts w:cs="Arial"/>
          <w:szCs w:val="24"/>
        </w:rPr>
      </w:pPr>
      <w:r w:rsidRPr="00152C31">
        <w:rPr>
          <w:rFonts w:cs="Arial"/>
          <w:szCs w:val="24"/>
        </w:rPr>
        <w:t xml:space="preserve">The Technical Proposal must acknowledge and ensure that </w:t>
      </w:r>
      <w:r w:rsidRPr="005420EF">
        <w:rPr>
          <w:rFonts w:cs="Arial"/>
          <w:szCs w:val="24"/>
        </w:rPr>
        <w:t xml:space="preserve">during the orientation meeting, the successful bidder will review each task and </w:t>
      </w:r>
      <w:r w:rsidRPr="00152C31">
        <w:rPr>
          <w:rFonts w:cs="Arial"/>
          <w:szCs w:val="24"/>
        </w:rPr>
        <w:t xml:space="preserve">subtask(s), the detailed narrative schedule and timeline (See Task 3.1), and staffing regarding </w:t>
      </w:r>
      <w:r w:rsidRPr="005420EF">
        <w:rPr>
          <w:rFonts w:cs="Arial"/>
          <w:szCs w:val="24"/>
        </w:rPr>
        <w:t xml:space="preserve">the proposed method(s) for implementation </w:t>
      </w:r>
      <w:r w:rsidRPr="00152C31">
        <w:rPr>
          <w:rFonts w:cs="Arial"/>
          <w:szCs w:val="24"/>
        </w:rPr>
        <w:t>of the contract</w:t>
      </w:r>
      <w:r w:rsidRPr="005420EF">
        <w:rPr>
          <w:rFonts w:cs="Arial"/>
          <w:szCs w:val="24"/>
        </w:rPr>
        <w:t xml:space="preserve"> as contained in the bidder’s Technical Proposal. The successful bidder must develop the meeting agenda in coordination with the CDE, take minutes, and, within five working days after the meeting, submit the meeting minutes to the CDE by email for review and approval. The orientation meeting must address all tasks, including timelines, questions, and concerns about the implementation of the contract. </w:t>
      </w:r>
      <w:r w:rsidRPr="00152C31">
        <w:t>The bidder must budget for this meeting and include all costs in the Cost Proposal. Do not include any cost information in the Technical Proposal.</w:t>
      </w:r>
    </w:p>
    <w:p w14:paraId="73B6C8A2" w14:textId="77777777" w:rsidR="00537458" w:rsidRPr="001D345A" w:rsidRDefault="00537458" w:rsidP="00537458">
      <w:pPr>
        <w:pStyle w:val="Heading4"/>
      </w:pPr>
      <w:r w:rsidRPr="001D345A">
        <w:lastRenderedPageBreak/>
        <w:t>1.2 Annual Planning Meeting</w:t>
      </w:r>
    </w:p>
    <w:p w14:paraId="17AF3B90" w14:textId="278400D5" w:rsidR="001D345A" w:rsidRDefault="00537458" w:rsidP="00537458">
      <w:pPr>
        <w:spacing w:after="240"/>
        <w:rPr>
          <w:rFonts w:cs="Arial"/>
          <w:szCs w:val="24"/>
        </w:rPr>
      </w:pPr>
      <w:r w:rsidRPr="001D345A">
        <w:rPr>
          <w:rFonts w:cs="Arial"/>
          <w:szCs w:val="24"/>
        </w:rPr>
        <w:t xml:space="preserve">The Technical Proposal must include a detailed plan to coordinate an Annual Planning meeting with CDE that is to occur no later than June 1 annually to confirm the procedures and timeline for implementing </w:t>
      </w:r>
      <w:proofErr w:type="gramStart"/>
      <w:r w:rsidRPr="001D345A">
        <w:rPr>
          <w:rFonts w:cs="Arial"/>
          <w:szCs w:val="24"/>
        </w:rPr>
        <w:t>subsequent year</w:t>
      </w:r>
      <w:proofErr w:type="gramEnd"/>
      <w:r w:rsidRPr="001D345A">
        <w:rPr>
          <w:rFonts w:cs="Arial"/>
          <w:szCs w:val="24"/>
        </w:rPr>
        <w:t xml:space="preserve"> activities. The Technical Proposal must ensure that all key personnel of the prime contractor and any subcontractor(s) including the management team (Project Manager, Fiscal Manager, </w:t>
      </w:r>
      <w:r w:rsidR="001D345A" w:rsidRPr="001D345A">
        <w:rPr>
          <w:rFonts w:cs="Arial"/>
          <w:szCs w:val="24"/>
        </w:rPr>
        <w:t xml:space="preserve">Partner/Senior Associate (if applicable), </w:t>
      </w:r>
      <w:r w:rsidRPr="001D345A">
        <w:rPr>
          <w:rFonts w:cs="Arial"/>
          <w:szCs w:val="24"/>
        </w:rPr>
        <w:t xml:space="preserve">and any other key personnel identified in </w:t>
      </w:r>
      <w:r w:rsidR="00292129" w:rsidRPr="001D345A">
        <w:rPr>
          <w:rFonts w:cs="Arial"/>
          <w:szCs w:val="24"/>
        </w:rPr>
        <w:t xml:space="preserve">RFP </w:t>
      </w:r>
      <w:r w:rsidRPr="001D345A">
        <w:rPr>
          <w:rFonts w:cs="Arial"/>
          <w:szCs w:val="24"/>
        </w:rPr>
        <w:t xml:space="preserve">Section </w:t>
      </w:r>
      <w:r w:rsidR="00CD2F48" w:rsidRPr="001D345A">
        <w:rPr>
          <w:rFonts w:cs="Arial"/>
          <w:szCs w:val="24"/>
        </w:rPr>
        <w:t>3</w:t>
      </w:r>
      <w:r w:rsidRPr="001D345A">
        <w:rPr>
          <w:rFonts w:cs="Arial"/>
          <w:szCs w:val="24"/>
        </w:rPr>
        <w:t>.1.3), task leaders, and significant subcontractors will meet with the CDE for up to four hours at the CDE headquarters located at 1430 N Street, Sacramento, California 95814. The meeting may be held in person at the CDE headquarters, or may be conducted by telephone or video conference technology.</w:t>
      </w:r>
    </w:p>
    <w:p w14:paraId="463BD44F" w14:textId="37DB2386" w:rsidR="00537458" w:rsidRPr="001D345A" w:rsidRDefault="00AF0B33" w:rsidP="00537458">
      <w:pPr>
        <w:spacing w:after="240"/>
        <w:rPr>
          <w:rFonts w:cs="Arial"/>
          <w:szCs w:val="24"/>
        </w:rPr>
      </w:pPr>
      <w:r>
        <w:rPr>
          <w:rFonts w:cs="Arial"/>
          <w:szCs w:val="24"/>
        </w:rPr>
        <w:t>T</w:t>
      </w:r>
      <w:r w:rsidR="00537458" w:rsidRPr="001D345A">
        <w:rPr>
          <w:rFonts w:cs="Arial"/>
          <w:szCs w:val="24"/>
        </w:rPr>
        <w:t xml:space="preserve">he Technical Proposal must acknowledge and ensure that the meeting must address all tasks, timelines, questions, and concerns related to the project. The Technical Proposal must acknowledge and ensure that during the meeting, the successful bidder will provide a review of all tasks, timelines, task implementation, deliverables, and status as contained in the Technical Proposal. The successful bidder must develop the meeting agenda in coordination with the CDE, take minutes, and, within five working days after the meeting, submit the meeting minutes to the CDE by email for review and approval. </w:t>
      </w:r>
      <w:r w:rsidR="00537458" w:rsidRPr="001D345A">
        <w:t>The agenda must include the status of all pending activities along with the deadline and person(s) assigned to each activity. The bidder must budget for these meetings and include all costs in the cost proposal. Do not include any cost information in the Technical Proposal.</w:t>
      </w:r>
    </w:p>
    <w:p w14:paraId="004CA302" w14:textId="77777777" w:rsidR="00537458" w:rsidRPr="005420EF" w:rsidRDefault="00537458" w:rsidP="00537458">
      <w:pPr>
        <w:pStyle w:val="Heading4"/>
      </w:pPr>
      <w:r w:rsidRPr="005420EF">
        <w:t>1.3 Management Meetings</w:t>
      </w:r>
    </w:p>
    <w:p w14:paraId="639133D3" w14:textId="7C739931" w:rsidR="00853D76" w:rsidRPr="00853D76" w:rsidRDefault="00853D76" w:rsidP="00853D76">
      <w:pPr>
        <w:widowControl w:val="0"/>
        <w:spacing w:after="240"/>
        <w:rPr>
          <w:rFonts w:cs="Arial"/>
        </w:rPr>
      </w:pPr>
      <w:r w:rsidRPr="00853D76">
        <w:t xml:space="preserve">The Technical Proposal must include a plan to provide monthly meetings to provide updates and training in Sacramento, California, as long as public health safety permits. The CDE reserves the right to replace the in-person meetings with video conferencing or webinars. The Technical Proposal must ensure that all key prime </w:t>
      </w:r>
      <w:proofErr w:type="gramStart"/>
      <w:r w:rsidRPr="00853D76">
        <w:t>contractor</w:t>
      </w:r>
      <w:proofErr w:type="gramEnd"/>
      <w:r w:rsidRPr="00853D76">
        <w:t xml:space="preserve"> and subcontractor personnel, including the management team, must be present as appropriate. The bidder must budget for these meetings and include all costs in the cost proposal. Do not include any cost information in the Technical Proposal.</w:t>
      </w:r>
    </w:p>
    <w:p w14:paraId="05EF5AB3" w14:textId="2419FC82" w:rsidR="00853D76" w:rsidRDefault="00853D76" w:rsidP="00853D76">
      <w:pPr>
        <w:widowControl w:val="0"/>
        <w:spacing w:after="240"/>
      </w:pPr>
      <w:r w:rsidRPr="00853D76">
        <w:t xml:space="preserve">The Technical proposal must include a plan to participate in weekly check-ins with the CDE Director of Government Affairs and/or the Federal Policy Liaison, typically by phone, </w:t>
      </w:r>
      <w:proofErr w:type="gramStart"/>
      <w:r w:rsidRPr="00853D76">
        <w:t>in order to</w:t>
      </w:r>
      <w:proofErr w:type="gramEnd"/>
      <w:r w:rsidRPr="00853D76">
        <w:t xml:space="preserve"> provide an informal report of activities in Washington, D.C. and hear updates from the CDE regarding relevant state-related activities. The Technical Proposal must ensure that all key prime </w:t>
      </w:r>
      <w:proofErr w:type="gramStart"/>
      <w:r w:rsidRPr="00853D76">
        <w:t>contractor</w:t>
      </w:r>
      <w:proofErr w:type="gramEnd"/>
      <w:r w:rsidRPr="00853D76">
        <w:t xml:space="preserve"> and subcontractor personnel, including the management team, must be present as appropriate. The bidder must budget for these meetings and include all costs in the cost proposal. Do not include any cost information in the Technical Proposal.</w:t>
      </w:r>
    </w:p>
    <w:p w14:paraId="36AAF4E0" w14:textId="12B46930" w:rsidR="00853D76" w:rsidRPr="00853D76" w:rsidRDefault="00853D76" w:rsidP="00853D76">
      <w:pPr>
        <w:pStyle w:val="Heading4"/>
      </w:pPr>
      <w:r w:rsidRPr="00853D76">
        <w:t>1.4 Stakeholder Meetings</w:t>
      </w:r>
    </w:p>
    <w:p w14:paraId="4E7D6D62" w14:textId="3A84408C" w:rsidR="00853D76" w:rsidRPr="00853D76" w:rsidRDefault="00853D76" w:rsidP="00853D76">
      <w:pPr>
        <w:spacing w:after="240"/>
      </w:pPr>
      <w:r w:rsidRPr="00853D76">
        <w:t>The Technical Proposal must include a detailed plan to provide at least two</w:t>
      </w:r>
      <w:r w:rsidR="00996F50">
        <w:t xml:space="preserve"> </w:t>
      </w:r>
      <w:r w:rsidR="00B905DE">
        <w:t>and up to</w:t>
      </w:r>
      <w:r w:rsidRPr="00853D76">
        <w:t xml:space="preserve"> four updates per calendar year to stakeholders such as the California State Board of Education and the California Legislature </w:t>
      </w:r>
      <w:proofErr w:type="gramStart"/>
      <w:r w:rsidRPr="00853D76">
        <w:t>in order to</w:t>
      </w:r>
      <w:proofErr w:type="gramEnd"/>
      <w:r w:rsidRPr="00853D76">
        <w:t xml:space="preserve"> deliver congressional and/or administrative updates at the request of CDE leadership and in coordination with the Director of Government Affairs and the Federal Policy Liaison. The Technical Proposal must ensure that these updates may include, but are not limited </w:t>
      </w:r>
      <w:proofErr w:type="gramStart"/>
      <w:r w:rsidRPr="00853D76">
        <w:t>to:</w:t>
      </w:r>
      <w:proofErr w:type="gramEnd"/>
      <w:r w:rsidRPr="00853D76">
        <w:t xml:space="preserve"> conference calls, webinars, and in-person presentations. In-person </w:t>
      </w:r>
      <w:r w:rsidRPr="00853D76">
        <w:lastRenderedPageBreak/>
        <w:t xml:space="preserve">presentations will take place in Sacramento, California, and will be coordinated with the two in-person management meetings that take place every 12 months </w:t>
      </w:r>
      <w:proofErr w:type="gramStart"/>
      <w:r w:rsidRPr="00853D76">
        <w:t>in order for</w:t>
      </w:r>
      <w:proofErr w:type="gramEnd"/>
      <w:r w:rsidRPr="00853D76">
        <w:t xml:space="preserve"> no additional costs to be incurred. The CDE reserves the right to change the location of the in-person presentation to another large metropolitan city in California or Washington, D.C. The Technical Proposal must ensure that all key prime </w:t>
      </w:r>
      <w:proofErr w:type="gramStart"/>
      <w:r w:rsidRPr="00853D76">
        <w:t>contractor</w:t>
      </w:r>
      <w:proofErr w:type="gramEnd"/>
      <w:r w:rsidRPr="00853D76">
        <w:t xml:space="preserve"> and subcontractor personnel, including the management team, must be present as appropriate. The bidder must budget for these meetings and include all costs in the cost proposal. Do not include any cost information in the Technical Proposal.</w:t>
      </w:r>
    </w:p>
    <w:p w14:paraId="3CB5D302" w14:textId="77777777" w:rsidR="00537458" w:rsidRPr="00BC514B" w:rsidRDefault="00537458" w:rsidP="00537458">
      <w:pPr>
        <w:pStyle w:val="Heading4"/>
        <w:rPr>
          <w:snapToGrid w:val="0"/>
        </w:rPr>
      </w:pPr>
      <w:r>
        <w:rPr>
          <w:snapToGrid w:val="0"/>
        </w:rPr>
        <w:t>1.5 CDE Approval Schedule Requirements</w:t>
      </w:r>
    </w:p>
    <w:p w14:paraId="266CC7A6" w14:textId="77777777" w:rsidR="00537458" w:rsidRPr="00152C31" w:rsidRDefault="00537458" w:rsidP="00537458">
      <w:pPr>
        <w:spacing w:after="240"/>
      </w:pPr>
      <w:r w:rsidRPr="00B23666">
        <w:t xml:space="preserve">The Technical Proposal must acknowledge and ensure the successful bidder will consult with the CDE for guidance during all work performed during this contract. </w:t>
      </w:r>
      <w:r w:rsidRPr="00152C31">
        <w:t xml:space="preserve">The CDE has an established review and approval process to document all final deliverables. This process consists of the review of the </w:t>
      </w:r>
      <w:proofErr w:type="gramStart"/>
      <w:r w:rsidRPr="00152C31">
        <w:t>deliverable</w:t>
      </w:r>
      <w:proofErr w:type="gramEnd"/>
      <w:r w:rsidRPr="00152C31">
        <w:t xml:space="preserve"> by CDE staff and the approval of the </w:t>
      </w:r>
      <w:proofErr w:type="gramStart"/>
      <w:r w:rsidRPr="00152C31">
        <w:t>deliverable</w:t>
      </w:r>
      <w:proofErr w:type="gramEnd"/>
      <w:r w:rsidRPr="00152C31">
        <w:t xml:space="preserve"> by the CDE Contract Monitor. This process will be further discussed by the CDE at the orientation meeting. The successful bidder must have thoroughly vetted all deliverables to ensure they are of high quality prior to submitting them to the CDE. The Technical Proposal must include a plan for complying with the CDE review and approval process as well as the CDE Approval Schedule Requirements. The Technical Proposal must acknowledge and ensure that the CDE must approve all materials and/or deliverables developed in conjunction with this contract. </w:t>
      </w:r>
      <w:r w:rsidRPr="00152C31">
        <w:rPr>
          <w:rFonts w:cs="Arial"/>
        </w:rPr>
        <w:t xml:space="preserve">The Technical Proposal must acknowledge and ensure that the successful </w:t>
      </w:r>
      <w:r w:rsidRPr="00152C31">
        <w:t>bidder may not disseminate any written information, materials, or deliverables to the field, public, or any other third party without the CDE’s prior written approval.</w:t>
      </w:r>
    </w:p>
    <w:p w14:paraId="3633EF91" w14:textId="77777777" w:rsidR="00537458" w:rsidRPr="00152C31" w:rsidRDefault="00537458" w:rsidP="00537458">
      <w:pPr>
        <w:spacing w:after="240"/>
      </w:pPr>
      <w:r w:rsidRPr="00152C31">
        <w:t xml:space="preserve">The Technical Proposal must acknowledge and ensure that all materials and/or deliverables submitted to the CDE have been reviewed and approved by the successful bidder’s Project Manager, are free of any typographical or grammatical errors, and are presented in a professional format in adherence </w:t>
      </w:r>
      <w:proofErr w:type="gramStart"/>
      <w:r w:rsidRPr="00152C31">
        <w:t>with</w:t>
      </w:r>
      <w:proofErr w:type="gramEnd"/>
      <w:r w:rsidRPr="00152C31">
        <w:t xml:space="preserve"> the CDE required style. The Technical Proposal must specify that the bidder will:</w:t>
      </w:r>
    </w:p>
    <w:p w14:paraId="017A535D" w14:textId="77777777" w:rsidR="00537458" w:rsidRPr="00152C31" w:rsidRDefault="00537458" w:rsidP="00132985">
      <w:pPr>
        <w:pStyle w:val="ListParagraph"/>
        <w:numPr>
          <w:ilvl w:val="0"/>
          <w:numId w:val="30"/>
        </w:numPr>
        <w:spacing w:after="240"/>
        <w:contextualSpacing w:val="0"/>
      </w:pPr>
      <w:r w:rsidRPr="00152C31">
        <w:t xml:space="preserve">Meet all the requirements for each </w:t>
      </w:r>
      <w:proofErr w:type="gramStart"/>
      <w:r w:rsidRPr="00152C31">
        <w:t>deliverable</w:t>
      </w:r>
      <w:proofErr w:type="gramEnd"/>
      <w:r w:rsidRPr="00152C31">
        <w:t xml:space="preserve"> as specified in the Scope of Project.</w:t>
      </w:r>
    </w:p>
    <w:p w14:paraId="4CDCC76A" w14:textId="77777777" w:rsidR="00537458" w:rsidRPr="00152C31" w:rsidRDefault="00537458" w:rsidP="00132985">
      <w:pPr>
        <w:pStyle w:val="ListParagraph"/>
        <w:numPr>
          <w:ilvl w:val="0"/>
          <w:numId w:val="30"/>
        </w:numPr>
        <w:spacing w:after="240"/>
        <w:contextualSpacing w:val="0"/>
      </w:pPr>
      <w:r w:rsidRPr="00152C31">
        <w:t>Submit deliverables that are consistent with and do not conflict with any previously approved deliverable.</w:t>
      </w:r>
    </w:p>
    <w:p w14:paraId="4CDB02ED" w14:textId="2414E9D0" w:rsidR="00537458" w:rsidRPr="00152C31" w:rsidRDefault="00537458" w:rsidP="00132985">
      <w:pPr>
        <w:pStyle w:val="ListParagraph"/>
        <w:numPr>
          <w:ilvl w:val="0"/>
          <w:numId w:val="30"/>
        </w:numPr>
        <w:spacing w:after="240"/>
        <w:contextualSpacing w:val="0"/>
      </w:pPr>
      <w:r w:rsidRPr="00152C31">
        <w:t xml:space="preserve">Meet the requirements of the CDE Correspondence Guide and the CDE Style Manual which can be found at </w:t>
      </w:r>
      <w:hyperlink r:id="rId35" w:tooltip="CDE Style Manual page" w:history="1">
        <w:r w:rsidR="007C07A0" w:rsidRPr="0050695F">
          <w:rPr>
            <w:rStyle w:val="Hyperlink"/>
          </w:rPr>
          <w:t>http://www.cde.ca.gov/re/pn/st/</w:t>
        </w:r>
      </w:hyperlink>
      <w:r w:rsidR="007C07A0">
        <w:t xml:space="preserve">. </w:t>
      </w:r>
    </w:p>
    <w:p w14:paraId="090C261A" w14:textId="77777777" w:rsidR="00537458" w:rsidRPr="00152C31" w:rsidRDefault="00537458" w:rsidP="00132985">
      <w:pPr>
        <w:pStyle w:val="ListParagraph"/>
        <w:numPr>
          <w:ilvl w:val="0"/>
          <w:numId w:val="30"/>
        </w:numPr>
        <w:spacing w:after="240"/>
        <w:contextualSpacing w:val="0"/>
      </w:pPr>
      <w:r w:rsidRPr="00152C31">
        <w:t xml:space="preserve">Ensure all task information provided has been reviewed and is accurate for each </w:t>
      </w:r>
      <w:proofErr w:type="gramStart"/>
      <w:r w:rsidRPr="00152C31">
        <w:t>deliverable</w:t>
      </w:r>
      <w:proofErr w:type="gramEnd"/>
      <w:r w:rsidRPr="00152C31">
        <w:t xml:space="preserve"> as specified in the Scope of Project.</w:t>
      </w:r>
    </w:p>
    <w:p w14:paraId="321E6B6B" w14:textId="7E287228" w:rsidR="00537458" w:rsidRPr="00152C31" w:rsidRDefault="00537458" w:rsidP="00132985">
      <w:pPr>
        <w:pStyle w:val="ListParagraph"/>
        <w:numPr>
          <w:ilvl w:val="0"/>
          <w:numId w:val="30"/>
        </w:numPr>
        <w:spacing w:after="240"/>
        <w:contextualSpacing w:val="0"/>
      </w:pPr>
      <w:r w:rsidRPr="00152C31">
        <w:t xml:space="preserve">Ensure that all deliverables are consistent with data file requirements as specified in RFP Section </w:t>
      </w:r>
      <w:r w:rsidR="00F766B4">
        <w:t>7</w:t>
      </w:r>
      <w:r w:rsidRPr="00152C31">
        <w:t xml:space="preserve">, Task 2.3 – Data Files, </w:t>
      </w:r>
      <w:r w:rsidRPr="00B23666">
        <w:t>Rep</w:t>
      </w:r>
      <w:r w:rsidRPr="00B60676">
        <w:t>orts, and</w:t>
      </w:r>
      <w:r w:rsidRPr="00152C31">
        <w:t xml:space="preserve"> Final Documents.</w:t>
      </w:r>
    </w:p>
    <w:p w14:paraId="540BB5A5" w14:textId="77777777" w:rsidR="00537458" w:rsidRPr="00152C31" w:rsidRDefault="00537458" w:rsidP="00132985">
      <w:pPr>
        <w:pStyle w:val="ListParagraph"/>
        <w:numPr>
          <w:ilvl w:val="0"/>
          <w:numId w:val="30"/>
        </w:numPr>
        <w:spacing w:after="240"/>
        <w:contextualSpacing w:val="0"/>
      </w:pPr>
      <w:r w:rsidRPr="00152C31">
        <w:t xml:space="preserve">Ensure </w:t>
      </w:r>
      <w:r w:rsidRPr="00853D76">
        <w:t>that all deliverables are consistent with and do not conflict with state or federal law, state regulations, and/or State Board of Education actions.</w:t>
      </w:r>
    </w:p>
    <w:p w14:paraId="6044699C" w14:textId="60CA1903" w:rsidR="00537458" w:rsidRPr="00152C31" w:rsidRDefault="00537458" w:rsidP="00132985">
      <w:pPr>
        <w:pStyle w:val="ListParagraph"/>
        <w:numPr>
          <w:ilvl w:val="0"/>
          <w:numId w:val="30"/>
        </w:numPr>
        <w:spacing w:after="240"/>
        <w:contextualSpacing w:val="0"/>
      </w:pPr>
      <w:r w:rsidRPr="00152C31">
        <w:t xml:space="preserve">Submit deliverables in a timely manner consistent with the CDE review and approval process as well as the CDE Approved Schedule Requirements and due dates as specified in the Section </w:t>
      </w:r>
      <w:r w:rsidR="00DC395C">
        <w:t>7</w:t>
      </w:r>
      <w:r w:rsidRPr="00152C31">
        <w:t xml:space="preserve"> Scope of Project, state or federal law, and/or state regulations.</w:t>
      </w:r>
    </w:p>
    <w:p w14:paraId="3B946A60" w14:textId="38543EEF" w:rsidR="00537458" w:rsidRPr="00152C31" w:rsidRDefault="00537458" w:rsidP="00132985">
      <w:pPr>
        <w:pStyle w:val="ListParagraph"/>
        <w:numPr>
          <w:ilvl w:val="0"/>
          <w:numId w:val="30"/>
        </w:numPr>
        <w:spacing w:after="240"/>
        <w:contextualSpacing w:val="0"/>
      </w:pPr>
      <w:r w:rsidRPr="00853D76">
        <w:lastRenderedPageBreak/>
        <w:t xml:space="preserve">Adhere to the CDE Web Standards including tags for accessibility for all deliverables, including all technical reports and special studies, CDE </w:t>
      </w:r>
      <w:r w:rsidR="00E4342D">
        <w:t>w</w:t>
      </w:r>
      <w:r w:rsidRPr="00152C31">
        <w:t xml:space="preserve">eb </w:t>
      </w:r>
      <w:r w:rsidR="00E4342D">
        <w:t>s</w:t>
      </w:r>
      <w:r w:rsidRPr="00152C31">
        <w:t xml:space="preserve">tandards which can be found at </w:t>
      </w:r>
      <w:hyperlink r:id="rId36" w:tooltip="CDE Web Standards page" w:history="1">
        <w:r w:rsidR="007C07A0" w:rsidRPr="0050695F">
          <w:rPr>
            <w:rStyle w:val="Hyperlink"/>
          </w:rPr>
          <w:t>http://www.cde.ca.gov/re/di/ws/webstandards.asp</w:t>
        </w:r>
      </w:hyperlink>
      <w:r w:rsidR="007C07A0">
        <w:t>.</w:t>
      </w:r>
    </w:p>
    <w:p w14:paraId="47C1C382" w14:textId="77777777" w:rsidR="00537458" w:rsidRPr="00152C31" w:rsidRDefault="00537458" w:rsidP="00132985">
      <w:pPr>
        <w:pStyle w:val="ListParagraph"/>
        <w:numPr>
          <w:ilvl w:val="0"/>
          <w:numId w:val="30"/>
        </w:numPr>
        <w:spacing w:after="240"/>
        <w:contextualSpacing w:val="0"/>
      </w:pPr>
      <w:r w:rsidRPr="00152C31">
        <w:rPr>
          <w:rFonts w:cs="Arial"/>
          <w:szCs w:val="24"/>
        </w:rPr>
        <w:t>Occasional deliverable/report content edits may be required; the CDE reserves the right to modify all project related deliverables after review.</w:t>
      </w:r>
    </w:p>
    <w:p w14:paraId="6F763BDF" w14:textId="3A0CB9B2" w:rsidR="00537458" w:rsidRPr="00152C31" w:rsidRDefault="00537458" w:rsidP="00537458">
      <w:pPr>
        <w:spacing w:after="240"/>
      </w:pPr>
      <w:r w:rsidRPr="00152C31">
        <w:t>Unless otherwise specified in this RFP or agreed to in writing by the CDE, the Technical Proposal must acknowledge that the successful bidder will:</w:t>
      </w:r>
    </w:p>
    <w:p w14:paraId="25E3DE90" w14:textId="153CAE78" w:rsidR="00537458" w:rsidRPr="00152C31" w:rsidRDefault="00537458" w:rsidP="00132985">
      <w:pPr>
        <w:pStyle w:val="ListParagraph"/>
        <w:numPr>
          <w:ilvl w:val="0"/>
          <w:numId w:val="31"/>
        </w:numPr>
        <w:spacing w:after="240"/>
        <w:contextualSpacing w:val="0"/>
      </w:pPr>
      <w:r w:rsidRPr="00152C31">
        <w:t>Ensure that there are no fewer than 10 working days for the CDE to initially review any finalized deliverable that has been previously reviewed and approved by the successful bidder’s Project Manager prior to submission to the CDE;</w:t>
      </w:r>
    </w:p>
    <w:p w14:paraId="31DDFA3A" w14:textId="53FDEC09" w:rsidR="00537458" w:rsidRPr="00152C31" w:rsidRDefault="00537458" w:rsidP="00132985">
      <w:pPr>
        <w:pStyle w:val="ListParagraph"/>
        <w:numPr>
          <w:ilvl w:val="0"/>
          <w:numId w:val="31"/>
        </w:numPr>
        <w:spacing w:after="240"/>
        <w:contextualSpacing w:val="0"/>
      </w:pPr>
      <w:r w:rsidRPr="00152C31">
        <w:t>Ensure that the successful bidder will make all modifications within five working days from receipt of the changes directed by the CDE; and</w:t>
      </w:r>
    </w:p>
    <w:p w14:paraId="2BD55A97" w14:textId="6318D9FC" w:rsidR="00537458" w:rsidRPr="00152C31" w:rsidRDefault="00537458" w:rsidP="00132985">
      <w:pPr>
        <w:pStyle w:val="ListParagraph"/>
        <w:numPr>
          <w:ilvl w:val="0"/>
          <w:numId w:val="31"/>
        </w:numPr>
        <w:spacing w:after="240"/>
        <w:contextualSpacing w:val="0"/>
      </w:pPr>
      <w:r w:rsidRPr="00152C31">
        <w:t xml:space="preserve">Ensure that the successful bidder will allow the </w:t>
      </w:r>
      <w:proofErr w:type="gramStart"/>
      <w:r w:rsidRPr="00152C31">
        <w:t>CDE</w:t>
      </w:r>
      <w:proofErr w:type="gramEnd"/>
      <w:r w:rsidRPr="00152C31">
        <w:t xml:space="preserve"> at least five working days to review, and the CDE Contract Monitor </w:t>
      </w:r>
      <w:r w:rsidR="00E4342D">
        <w:t xml:space="preserve">to </w:t>
      </w:r>
      <w:r w:rsidRPr="00152C31">
        <w:t>approve, the modified deliverable that has been reviewed and approved by the successful bidder’s Project Manager prior to re-submission to the CDE.</w:t>
      </w:r>
    </w:p>
    <w:p w14:paraId="33010C54" w14:textId="77777777" w:rsidR="00537458" w:rsidRPr="00152C31" w:rsidRDefault="00537458" w:rsidP="00537458">
      <w:pPr>
        <w:pStyle w:val="ListParagraph"/>
        <w:spacing w:after="240"/>
        <w:ind w:left="0"/>
        <w:contextualSpacing w:val="0"/>
      </w:pPr>
      <w:r w:rsidRPr="00152C31">
        <w:t>The Technical Proposal must ensure that there are no less than 30 working days for the CDE initial review of final drafts that have been reviewed and approved by the successful bidder’s Project Manager prior to submission to the CDE.</w:t>
      </w:r>
    </w:p>
    <w:p w14:paraId="4A42B234" w14:textId="4535B930" w:rsidR="00537458" w:rsidRPr="00152C31" w:rsidRDefault="00537458" w:rsidP="00537458">
      <w:pPr>
        <w:spacing w:after="240"/>
      </w:pPr>
      <w:r w:rsidRPr="00152C31">
        <w:t xml:space="preserve">The Technical Proposal must include a process to document all approvals, the CDE-requested modifications, and disapprovals from the CDE in writing. If the CDE rejects a </w:t>
      </w:r>
      <w:proofErr w:type="gramStart"/>
      <w:r w:rsidRPr="00152C31">
        <w:t>deliverable</w:t>
      </w:r>
      <w:proofErr w:type="gramEnd"/>
      <w:r w:rsidRPr="00152C31">
        <w:t xml:space="preserve"> or product as unacceptable, the successful bidder shall make required modifications within the time frame required by the CDE. An approval/sign-off for any </w:t>
      </w:r>
      <w:proofErr w:type="gramStart"/>
      <w:r w:rsidRPr="00152C31">
        <w:t>deliverable</w:t>
      </w:r>
      <w:proofErr w:type="gramEnd"/>
      <w:r w:rsidRPr="00152C31">
        <w:t xml:space="preserve"> will be provided only when the CDE is satisfied with the </w:t>
      </w:r>
      <w:proofErr w:type="gramStart"/>
      <w:r w:rsidRPr="00152C31">
        <w:t>deliverable</w:t>
      </w:r>
      <w:proofErr w:type="gramEnd"/>
      <w:r w:rsidRPr="00152C31">
        <w:t xml:space="preserve">. The successful bidder is responsible for any costs associated with making modifications to deliverables necessary to obtain the CDE approval. (See RFP Section </w:t>
      </w:r>
      <w:r w:rsidR="00CD2F48">
        <w:t>3</w:t>
      </w:r>
      <w:r w:rsidRPr="00152C31">
        <w:t>.3 – Cost Proposal Requirements.) Do not include any cost information in the Technical Proposal.</w:t>
      </w:r>
    </w:p>
    <w:p w14:paraId="7BBB5DDD" w14:textId="77777777" w:rsidR="00537458" w:rsidRPr="00152C31" w:rsidRDefault="00537458" w:rsidP="00537458">
      <w:pPr>
        <w:spacing w:after="240"/>
      </w:pPr>
      <w:r w:rsidRPr="00152C31">
        <w:t>The Technical Proposal must acknowledge and ensure that, in the event of failure of the successful bidder to obtain prior CDE approval of deliverables or products, the successful bidder shall not be relieved of performing related responsibilities or providing related deliverables and products to the CDE. The proposal must acknowledge that the successful bidder will accept financial responsibility for failure to meet agreed-upon timelines and produce deliverables that are of high quality and satisfactory to the CDE. The CDE is not liable for payment of any work which begins without the bidder consulting the CDE for guidance. Failure to conform to the CDE Approval Schedule Requirements may result in the cancellation of the contract.</w:t>
      </w:r>
    </w:p>
    <w:p w14:paraId="5E0CD37B" w14:textId="179BA6D8" w:rsidR="00537458" w:rsidRPr="00152C31" w:rsidRDefault="00537458" w:rsidP="00537458">
      <w:pPr>
        <w:spacing w:after="240"/>
        <w:rPr>
          <w:rFonts w:cs="Arial"/>
          <w:szCs w:val="24"/>
        </w:rPr>
      </w:pPr>
      <w:r w:rsidRPr="00152C31">
        <w:rPr>
          <w:rFonts w:cs="Arial"/>
          <w:szCs w:val="24"/>
        </w:rPr>
        <w:t xml:space="preserve">The bidder must acknowledge on the Bidder Certification Sheet (Attachment </w:t>
      </w:r>
      <w:r w:rsidR="000C3DCA">
        <w:rPr>
          <w:rFonts w:cs="Arial"/>
          <w:szCs w:val="24"/>
        </w:rPr>
        <w:t>3</w:t>
      </w:r>
      <w:r w:rsidRPr="00152C31">
        <w:rPr>
          <w:rFonts w:cs="Arial"/>
          <w:szCs w:val="24"/>
        </w:rPr>
        <w:t>) that it will comply with the CDE Approval Schedule requirements.</w:t>
      </w:r>
    </w:p>
    <w:p w14:paraId="2D19FA9D" w14:textId="77777777" w:rsidR="00537458" w:rsidRPr="00B23666" w:rsidRDefault="00537458" w:rsidP="00537458">
      <w:pPr>
        <w:pStyle w:val="Heading4"/>
      </w:pPr>
      <w:r w:rsidRPr="00B23666">
        <w:lastRenderedPageBreak/>
        <w:t>1.</w:t>
      </w:r>
      <w:r>
        <w:t>6</w:t>
      </w:r>
      <w:r w:rsidRPr="00B23666">
        <w:t xml:space="preserve"> Transition of Contracts</w:t>
      </w:r>
    </w:p>
    <w:p w14:paraId="58B02636" w14:textId="1F3926AE" w:rsidR="00537458" w:rsidRPr="00853D76" w:rsidRDefault="00537458" w:rsidP="00537458">
      <w:pPr>
        <w:spacing w:after="240"/>
        <w:rPr>
          <w:rFonts w:cs="Arial"/>
          <w:szCs w:val="24"/>
        </w:rPr>
      </w:pPr>
      <w:r w:rsidRPr="00853D76">
        <w:rPr>
          <w:rFonts w:cs="Arial"/>
          <w:szCs w:val="24"/>
        </w:rPr>
        <w:t>The Technical Proposal must acknowledge the successful bidder’s commitment to completing all the requirements specified below in Task 1.</w:t>
      </w:r>
      <w:r w:rsidR="003F2FA9" w:rsidRPr="00853D76">
        <w:rPr>
          <w:rFonts w:cs="Arial"/>
          <w:szCs w:val="24"/>
        </w:rPr>
        <w:t>6</w:t>
      </w:r>
      <w:r w:rsidRPr="00853D76">
        <w:rPr>
          <w:rFonts w:cs="Arial"/>
          <w:szCs w:val="24"/>
        </w:rPr>
        <w:t xml:space="preserve"> and must provide a description of the approach and methodology by which the successful bidder will accomplish all the associated transition activities. The Technical Proposal must contain sufficient detail to convey the successful bidder’s knowledge of the subjects and skills necessary to successfully complete the project as stated in Task 1.</w:t>
      </w:r>
      <w:r w:rsidR="003F2FA9" w:rsidRPr="00853D76">
        <w:rPr>
          <w:rFonts w:cs="Arial"/>
          <w:szCs w:val="24"/>
        </w:rPr>
        <w:t>6</w:t>
      </w:r>
      <w:r w:rsidRPr="00853D76">
        <w:rPr>
          <w:rFonts w:cs="Arial"/>
          <w:szCs w:val="24"/>
        </w:rPr>
        <w:t>.</w:t>
      </w:r>
    </w:p>
    <w:p w14:paraId="78B6C2E6" w14:textId="6240431A" w:rsidR="00537458" w:rsidRPr="00853D76" w:rsidRDefault="00537458" w:rsidP="00537458">
      <w:pPr>
        <w:spacing w:after="240"/>
        <w:rPr>
          <w:rFonts w:cs="Arial"/>
          <w:szCs w:val="24"/>
        </w:rPr>
      </w:pPr>
      <w:r w:rsidRPr="00853D76">
        <w:t>The Technical Proposal must acknowledge and ensure that the successful bidder awarded the contract, pursuant to this RFP process, must cooperate fully with the CDE and the current or any future contractors selected by the CDE.</w:t>
      </w:r>
    </w:p>
    <w:p w14:paraId="165FF73B" w14:textId="77777777" w:rsidR="00537458" w:rsidRPr="00853D76" w:rsidRDefault="00537458" w:rsidP="00537458">
      <w:pPr>
        <w:spacing w:after="240"/>
      </w:pPr>
      <w:r w:rsidRPr="00853D76">
        <w:t>The successful bidder and any proposed subcontractors must plan and budget for the cost of sending staff to the transition meetings. No costs may be included in the Technical Proposal.</w:t>
      </w:r>
    </w:p>
    <w:p w14:paraId="7A9C47B4" w14:textId="6343A53F" w:rsidR="00537458" w:rsidRPr="00853D76" w:rsidRDefault="00537458" w:rsidP="00132985">
      <w:pPr>
        <w:pStyle w:val="ListParagraph"/>
        <w:numPr>
          <w:ilvl w:val="0"/>
          <w:numId w:val="32"/>
        </w:numPr>
        <w:spacing w:after="240"/>
        <w:contextualSpacing w:val="0"/>
      </w:pPr>
      <w:r w:rsidRPr="00853D76">
        <w:t>The Technical Proposal must describe in detail how the successful bidder proposes to work with the current contractor to obtain all electronic data files and file layouts, including</w:t>
      </w:r>
      <w:r w:rsidR="00AF5583" w:rsidRPr="00853D76">
        <w:t xml:space="preserve"> </w:t>
      </w:r>
      <w:r w:rsidR="00B931E4">
        <w:t xml:space="preserve">applicable </w:t>
      </w:r>
      <w:r w:rsidRPr="00853D76">
        <w:t xml:space="preserve">historical data, all supporting documentation, and all other materials developed for </w:t>
      </w:r>
      <w:r w:rsidR="00B960C6">
        <w:t>this</w:t>
      </w:r>
      <w:r w:rsidRPr="00853D76">
        <w:t xml:space="preserve"> contract and on behalf of the CDE.</w:t>
      </w:r>
    </w:p>
    <w:p w14:paraId="5877CA36" w14:textId="77777777" w:rsidR="00537458" w:rsidRPr="00853D76" w:rsidRDefault="00537458" w:rsidP="00537458">
      <w:pPr>
        <w:pStyle w:val="ListParagraph"/>
        <w:spacing w:after="240"/>
        <w:contextualSpacing w:val="0"/>
      </w:pPr>
      <w:r w:rsidRPr="00853D76">
        <w:t>The Technical Proposal must describe in detail how the successful bidder proposes to handle all private, personal, or confidential data to be transmitted from the current contractor. The data must be transferred in a secure manner (see Task 2.3 – Data Files, Reports, and Final Documents).</w:t>
      </w:r>
    </w:p>
    <w:p w14:paraId="06956358" w14:textId="77777777" w:rsidR="00537458" w:rsidRPr="00853D76" w:rsidRDefault="00537458" w:rsidP="00537458">
      <w:pPr>
        <w:pStyle w:val="ListParagraph"/>
        <w:spacing w:after="240"/>
        <w:contextualSpacing w:val="0"/>
      </w:pPr>
      <w:r w:rsidRPr="00853D76">
        <w:t>The Technical Proposal must describe in detail how the successful bidder proposes to organize and manage all information obtained from the current contractor.</w:t>
      </w:r>
    </w:p>
    <w:p w14:paraId="2C10E5C3" w14:textId="565B3A19" w:rsidR="00537458" w:rsidRPr="00853D76" w:rsidRDefault="00537458" w:rsidP="00132985">
      <w:pPr>
        <w:pStyle w:val="ListParagraph"/>
        <w:numPr>
          <w:ilvl w:val="0"/>
          <w:numId w:val="32"/>
        </w:numPr>
        <w:spacing w:after="240"/>
        <w:contextualSpacing w:val="0"/>
      </w:pPr>
      <w:r w:rsidRPr="00853D76">
        <w:t>The Technical Proposal must describe in detail the process that will be used for the effective and seamless transition to the next (future) contractor. The Technical Proposal must acknowledge and ensure that the successful bidder will have staff available to work with the next contractor on transitional aspects of the program, including but not limited to transfer of knowledge, transfer of data, etc.</w:t>
      </w:r>
    </w:p>
    <w:p w14:paraId="1F4B258F" w14:textId="2E60A61D" w:rsidR="00537458" w:rsidRPr="00853D76" w:rsidRDefault="00537458" w:rsidP="00537458">
      <w:pPr>
        <w:pStyle w:val="ListParagraph"/>
        <w:spacing w:after="240"/>
        <w:contextualSpacing w:val="0"/>
      </w:pPr>
      <w:r w:rsidRPr="00853D76">
        <w:t xml:space="preserve">The Technical Proposal must include a detailed plan for a transition meeting in the last year of the contract. A transition meeting with </w:t>
      </w:r>
      <w:proofErr w:type="gramStart"/>
      <w:r w:rsidRPr="00853D76">
        <w:t>the CDE</w:t>
      </w:r>
      <w:proofErr w:type="gramEnd"/>
      <w:r w:rsidRPr="00853D76">
        <w:t xml:space="preserve"> must be held in Sacramento, California at the CDE headquarters </w:t>
      </w:r>
      <w:r w:rsidR="00F12D40">
        <w:t xml:space="preserve">by November 16 </w:t>
      </w:r>
      <w:r w:rsidRPr="00853D76">
        <w:t>to ensure that all final deliverables are complete or on track for final delivery before the end of the contract.</w:t>
      </w:r>
    </w:p>
    <w:p w14:paraId="20ECAFE0" w14:textId="77777777" w:rsidR="00537458" w:rsidRPr="007C07A0" w:rsidRDefault="00537458" w:rsidP="00537458">
      <w:pPr>
        <w:pStyle w:val="ListParagraph"/>
        <w:spacing w:after="240"/>
        <w:contextualSpacing w:val="0"/>
        <w:rPr>
          <w:color w:val="FF0000"/>
        </w:rPr>
      </w:pPr>
      <w:r w:rsidRPr="00853D76">
        <w:t>The Technical Proposal must describe in detail how the successful bidder proposes to handle all private, personal, or confidential data to be transmitted to the next (future) contractor. The data must be transferred in a secure manner (see Task 2.3 – Data Files, Reports, and Final Documents).</w:t>
      </w:r>
    </w:p>
    <w:p w14:paraId="3323DE72" w14:textId="77777777" w:rsidR="00537458" w:rsidRPr="00FA47F0" w:rsidRDefault="00537458" w:rsidP="00537458">
      <w:pPr>
        <w:pStyle w:val="ListParagraph"/>
        <w:spacing w:after="240"/>
        <w:contextualSpacing w:val="0"/>
      </w:pPr>
      <w:r>
        <w:br w:type="page"/>
      </w:r>
    </w:p>
    <w:p w14:paraId="02198C7E" w14:textId="77777777" w:rsidR="00537458" w:rsidRPr="00BC514B" w:rsidRDefault="00537458" w:rsidP="00F67ED5">
      <w:pPr>
        <w:pStyle w:val="Heading3"/>
        <w:rPr>
          <w:sz w:val="24"/>
        </w:rPr>
      </w:pPr>
      <w:r w:rsidRPr="00FA181E">
        <w:lastRenderedPageBreak/>
        <w:t>TASK 2 – REPORTS, INVOICES, AND DATA FILE REQUIREMENTS</w:t>
      </w:r>
    </w:p>
    <w:p w14:paraId="292F5F6B" w14:textId="77777777" w:rsidR="00537458" w:rsidRPr="00853D76" w:rsidRDefault="00537458" w:rsidP="00537458">
      <w:pPr>
        <w:spacing w:before="240" w:after="240"/>
      </w:pPr>
      <w:r>
        <w:t xml:space="preserve">This section of the Technical Proposal must acknowledge the bidder’s commitment to completing all the requirements specified below in Task 2 and must provide a description of the approach and methodology by which the bidder will accomplish all the associated subtasks and activities. The Technical Proposal must contain sufficient detail to convey the bidder’s knowledge of the </w:t>
      </w:r>
      <w:r w:rsidRPr="00853D76">
        <w:t>subjects and skills necessary to successfully complete the project as stated in Task 2.</w:t>
      </w:r>
    </w:p>
    <w:p w14:paraId="196C54B5" w14:textId="6C9B01AC" w:rsidR="00537458" w:rsidRDefault="00537458" w:rsidP="00537458">
      <w:pPr>
        <w:spacing w:before="240" w:after="240"/>
      </w:pPr>
      <w:r w:rsidRPr="00853D76">
        <w:t>The successful bidder must adhere to the CDE Approval Schedule Requirements as stated in Task 1.</w:t>
      </w:r>
      <w:r w:rsidR="003F2FA9" w:rsidRPr="00853D76">
        <w:t>5</w:t>
      </w:r>
      <w:r w:rsidRPr="00853D76">
        <w:t xml:space="preserve"> – </w:t>
      </w:r>
      <w:r w:rsidRPr="00853D76">
        <w:rPr>
          <w:snapToGrid w:val="0"/>
        </w:rPr>
        <w:t xml:space="preserve">CDE </w:t>
      </w:r>
      <w:r w:rsidRPr="00467E3D">
        <w:rPr>
          <w:snapToGrid w:val="0"/>
        </w:rPr>
        <w:t>Approval Schedule Requirements</w:t>
      </w:r>
      <w:r>
        <w:rPr>
          <w:snapToGrid w:val="0"/>
        </w:rPr>
        <w:t xml:space="preserve"> </w:t>
      </w:r>
      <w:r>
        <w:t>for generating and delivering required reports/deliverables.</w:t>
      </w:r>
    </w:p>
    <w:p w14:paraId="6BFA5D26" w14:textId="77777777" w:rsidR="00537458" w:rsidRDefault="00537458" w:rsidP="00537458">
      <w:pPr>
        <w:spacing w:before="240" w:after="240"/>
      </w:pPr>
      <w:r>
        <w:t>The Technical Proposal must acknowledge and ensure that the successful bidder shall be responsible for a variety of activities related to reports, invoices, and data file requirements and will adhere to the relative timelines. The Technical Proposal must include the following information to address Task 2 activities which include the following subtasks:</w:t>
      </w:r>
    </w:p>
    <w:p w14:paraId="7ED459E3" w14:textId="77777777" w:rsidR="00537458" w:rsidRPr="00AC163A" w:rsidRDefault="00537458" w:rsidP="00537458">
      <w:pPr>
        <w:pStyle w:val="Heading4"/>
      </w:pPr>
      <w:r w:rsidRPr="0056300F">
        <w:t>2.1 Monthly Written Progress Repor</w:t>
      </w:r>
      <w:r w:rsidRPr="00AC163A">
        <w:t>ts</w:t>
      </w:r>
    </w:p>
    <w:p w14:paraId="17D95C23" w14:textId="77777777" w:rsidR="007C07A0" w:rsidRDefault="00537458" w:rsidP="00537458">
      <w:pPr>
        <w:pStyle w:val="ListParagraph"/>
        <w:spacing w:before="240" w:after="240"/>
        <w:ind w:left="0"/>
        <w:contextualSpacing w:val="0"/>
      </w:pPr>
      <w:r>
        <w:t xml:space="preserve">The Technical Proposal must include a detailed process for providing monthly written progress reports to the CDE. The </w:t>
      </w:r>
      <w:r w:rsidRPr="00B76BB1">
        <w:t xml:space="preserve">Technical Proposal must ensure that at a minimum, each monthly progress report must include: </w:t>
      </w:r>
    </w:p>
    <w:p w14:paraId="17F902F6" w14:textId="1754C3E1" w:rsidR="007C07A0" w:rsidRDefault="00537458" w:rsidP="007C07A0">
      <w:pPr>
        <w:pStyle w:val="ListParagraph"/>
        <w:numPr>
          <w:ilvl w:val="0"/>
          <w:numId w:val="49"/>
        </w:numPr>
        <w:spacing w:before="240" w:after="240"/>
      </w:pPr>
      <w:r w:rsidRPr="00B76BB1">
        <w:t>task number and title;</w:t>
      </w:r>
    </w:p>
    <w:p w14:paraId="76C29C03" w14:textId="3947ECD0" w:rsidR="007C07A0" w:rsidRDefault="00537458" w:rsidP="007C07A0">
      <w:pPr>
        <w:pStyle w:val="ListParagraph"/>
        <w:numPr>
          <w:ilvl w:val="0"/>
          <w:numId w:val="49"/>
        </w:numPr>
        <w:spacing w:before="240" w:after="240"/>
      </w:pPr>
      <w:r w:rsidRPr="00B76BB1">
        <w:t>description of tasks;</w:t>
      </w:r>
    </w:p>
    <w:p w14:paraId="10D3E55E" w14:textId="5706C1DC" w:rsidR="007C07A0" w:rsidRDefault="00537458" w:rsidP="007C07A0">
      <w:pPr>
        <w:pStyle w:val="ListParagraph"/>
        <w:numPr>
          <w:ilvl w:val="0"/>
          <w:numId w:val="49"/>
        </w:numPr>
        <w:spacing w:before="240" w:after="240"/>
      </w:pPr>
      <w:r w:rsidRPr="00B76BB1">
        <w:t xml:space="preserve">a report </w:t>
      </w:r>
      <w:proofErr w:type="gramStart"/>
      <w:r w:rsidRPr="00B76BB1">
        <w:t>of</w:t>
      </w:r>
      <w:proofErr w:type="gramEnd"/>
      <w:r w:rsidRPr="00B76BB1">
        <w:t xml:space="preserve"> activities </w:t>
      </w:r>
      <w:proofErr w:type="gramStart"/>
      <w:r w:rsidRPr="00B76BB1">
        <w:t>completed</w:t>
      </w:r>
      <w:proofErr w:type="gramEnd"/>
      <w:r w:rsidRPr="00B76BB1">
        <w:t xml:space="preserve"> and deliverables produced during the prior month;</w:t>
      </w:r>
    </w:p>
    <w:p w14:paraId="518D08C9" w14:textId="724B8A55" w:rsidR="007C07A0" w:rsidRDefault="00537458" w:rsidP="007C07A0">
      <w:pPr>
        <w:pStyle w:val="ListParagraph"/>
        <w:numPr>
          <w:ilvl w:val="0"/>
          <w:numId w:val="49"/>
        </w:numPr>
        <w:spacing w:before="240" w:after="240"/>
      </w:pPr>
      <w:r w:rsidRPr="00B76BB1">
        <w:t>an update of current or ongoing activities and the progress noted for each;</w:t>
      </w:r>
    </w:p>
    <w:p w14:paraId="7CE6E98A" w14:textId="50F2163A" w:rsidR="007C07A0" w:rsidRDefault="00537458" w:rsidP="007C07A0">
      <w:pPr>
        <w:pStyle w:val="ListParagraph"/>
        <w:numPr>
          <w:ilvl w:val="0"/>
          <w:numId w:val="49"/>
        </w:numPr>
        <w:spacing w:before="240" w:after="240"/>
      </w:pPr>
      <w:r w:rsidRPr="00152C31">
        <w:t>unanticipated outcomes or problems (as applicable)</w:t>
      </w:r>
      <w:r w:rsidRPr="00B76BB1">
        <w:t>;</w:t>
      </w:r>
    </w:p>
    <w:p w14:paraId="3A7FB93C" w14:textId="5A5C3E0F" w:rsidR="007C07A0" w:rsidRDefault="00537458" w:rsidP="007C07A0">
      <w:pPr>
        <w:pStyle w:val="ListParagraph"/>
        <w:numPr>
          <w:ilvl w:val="0"/>
          <w:numId w:val="49"/>
        </w:numPr>
        <w:spacing w:before="240" w:after="240"/>
      </w:pPr>
      <w:r w:rsidRPr="00152C31">
        <w:t>root cause analysis of the problems (as applicable</w:t>
      </w:r>
      <w:r w:rsidR="008A49B6">
        <w:t>, see Task 2.1.1</w:t>
      </w:r>
      <w:r w:rsidRPr="00152C31">
        <w:t>);</w:t>
      </w:r>
    </w:p>
    <w:p w14:paraId="4B181E51" w14:textId="77777777" w:rsidR="007C07A0" w:rsidRDefault="00537458" w:rsidP="007C07A0">
      <w:pPr>
        <w:pStyle w:val="ListParagraph"/>
        <w:numPr>
          <w:ilvl w:val="0"/>
          <w:numId w:val="49"/>
        </w:numPr>
        <w:spacing w:before="240" w:after="240"/>
      </w:pPr>
      <w:r w:rsidRPr="00152C31">
        <w:t>tasks planned for completion the following month;</w:t>
      </w:r>
      <w:r w:rsidRPr="00B76BB1">
        <w:t xml:space="preserve"> and</w:t>
      </w:r>
    </w:p>
    <w:p w14:paraId="505847A8" w14:textId="77777777" w:rsidR="007C07A0" w:rsidRDefault="00537458" w:rsidP="007C07A0">
      <w:pPr>
        <w:pStyle w:val="ListParagraph"/>
        <w:numPr>
          <w:ilvl w:val="0"/>
          <w:numId w:val="49"/>
        </w:numPr>
        <w:spacing w:before="240" w:after="240"/>
        <w:contextualSpacing w:val="0"/>
      </w:pPr>
      <w:r w:rsidRPr="00B76BB1">
        <w:t xml:space="preserve">a detailed list of activities. </w:t>
      </w:r>
    </w:p>
    <w:p w14:paraId="0AF40147" w14:textId="77777777" w:rsidR="008A49B6" w:rsidRDefault="00537458" w:rsidP="008A49B6">
      <w:pPr>
        <w:spacing w:after="240"/>
      </w:pPr>
      <w:r w:rsidRPr="00B76BB1">
        <w:t>The Technical Proposal must ensure that the monthly progress report will be submitted to the CDE for review and approval on th</w:t>
      </w:r>
      <w:r w:rsidRPr="00305490">
        <w:t>e last Friday of each month for the month prior. The CDE will not approve invoices for payments on this contract without an approved month</w:t>
      </w:r>
      <w:r w:rsidRPr="00B76BB1">
        <w:t>ly progress report.</w:t>
      </w:r>
      <w:r w:rsidR="008A49B6" w:rsidRPr="008A49B6" w:rsidDel="00A3025F">
        <w:t xml:space="preserve"> </w:t>
      </w:r>
    </w:p>
    <w:p w14:paraId="60FCD3F7" w14:textId="1EFA7F57" w:rsidR="008A49B6" w:rsidRPr="003A236F" w:rsidDel="00A3025F" w:rsidRDefault="008A49B6" w:rsidP="008A49B6">
      <w:pPr>
        <w:spacing w:after="240"/>
        <w:rPr>
          <w:rFonts w:cs="Arial"/>
        </w:rPr>
      </w:pPr>
      <w:r w:rsidRPr="00C37623" w:rsidDel="00A3025F">
        <w:t xml:space="preserve">The Technical Proposal must specify that the monthly progress reports will note progress </w:t>
      </w:r>
      <w:proofErr w:type="gramStart"/>
      <w:r w:rsidRPr="00C37623" w:rsidDel="00A3025F">
        <w:t>on</w:t>
      </w:r>
      <w:proofErr w:type="gramEnd"/>
      <w:r w:rsidRPr="00C37623" w:rsidDel="00A3025F">
        <w:t xml:space="preserve"> all tasks and activities and will be used as a basis for tracking progress and making improvements. The monthly progress reports must</w:t>
      </w:r>
      <w:r w:rsidRPr="0035153D" w:rsidDel="00A3025F">
        <w:t xml:space="preserve"> reflect all tasks specified in the corresponding monthly invoice and each monthly progress report must be used to determine approval for payment of the corresponding monthly invoice. Additionally, the original CDE-approved monthly progress report must be </w:t>
      </w:r>
      <w:r w:rsidRPr="00B06E98" w:rsidDel="00A3025F">
        <w:t>signed by the successful bidder's Project Manager and submitted to the CDE with the monthly invoice.</w:t>
      </w:r>
    </w:p>
    <w:p w14:paraId="413EC20F" w14:textId="287EF2BE" w:rsidR="008A49B6" w:rsidRDefault="008A49B6" w:rsidP="008A49B6">
      <w:pPr>
        <w:pStyle w:val="Heading5"/>
      </w:pPr>
      <w:r>
        <w:t>2.1.1 Root Cause Analysis</w:t>
      </w:r>
    </w:p>
    <w:p w14:paraId="3467A7B8" w14:textId="0A9996E7" w:rsidR="00537458" w:rsidRPr="00B76BB1" w:rsidRDefault="00537458" w:rsidP="008A49B6">
      <w:pPr>
        <w:pStyle w:val="ListParagraph"/>
        <w:spacing w:before="240" w:after="240"/>
        <w:contextualSpacing w:val="0"/>
      </w:pPr>
      <w:r w:rsidRPr="00B76BB1">
        <w:t xml:space="preserve">The Technical Proposal must acknowledge and ensure that if a problem occurs, the successful bidder must notify the CDE Contract Monitor within one working day, and </w:t>
      </w:r>
      <w:r w:rsidRPr="00B76BB1">
        <w:lastRenderedPageBreak/>
        <w:t>submit a Root Cause Analysis Report as part of the monthly progress report within 30 calendar days after the incident.</w:t>
      </w:r>
    </w:p>
    <w:p w14:paraId="079A02C8" w14:textId="77777777" w:rsidR="00537458" w:rsidRPr="00B76BB1" w:rsidRDefault="00537458" w:rsidP="008A49B6">
      <w:pPr>
        <w:pStyle w:val="ListParagraph"/>
        <w:spacing w:after="240"/>
        <w:contextualSpacing w:val="0"/>
      </w:pPr>
      <w:r w:rsidRPr="00B76BB1">
        <w:t>The Technical Proposal must acknowledge and ensure that at a minimum, the Root Cause Analysis Report must address the following:</w:t>
      </w:r>
    </w:p>
    <w:p w14:paraId="3A696A54" w14:textId="77777777" w:rsidR="00537458" w:rsidRPr="00B76BB1" w:rsidRDefault="00537458" w:rsidP="008A49B6">
      <w:pPr>
        <w:pStyle w:val="ListParagraph"/>
        <w:ind w:left="1440" w:hanging="360"/>
        <w:contextualSpacing w:val="0"/>
      </w:pPr>
      <w:r w:rsidRPr="00B76BB1">
        <w:t>1.</w:t>
      </w:r>
      <w:r w:rsidRPr="00B76BB1">
        <w:tab/>
        <w:t>Identify the problem;</w:t>
      </w:r>
    </w:p>
    <w:p w14:paraId="7920F0C7" w14:textId="77777777" w:rsidR="00537458" w:rsidRPr="00B76BB1" w:rsidRDefault="00537458" w:rsidP="008A49B6">
      <w:pPr>
        <w:pStyle w:val="ListParagraph"/>
        <w:ind w:left="1440" w:hanging="360"/>
        <w:contextualSpacing w:val="0"/>
      </w:pPr>
      <w:r w:rsidRPr="00B76BB1">
        <w:t>2.</w:t>
      </w:r>
      <w:r w:rsidRPr="00B76BB1">
        <w:tab/>
        <w:t>Evaluate the significance and impact of the problem;</w:t>
      </w:r>
    </w:p>
    <w:p w14:paraId="7FC20171" w14:textId="77777777" w:rsidR="00537458" w:rsidRPr="00B76BB1" w:rsidRDefault="00537458" w:rsidP="008A49B6">
      <w:pPr>
        <w:pStyle w:val="ListParagraph"/>
        <w:ind w:left="1440" w:hanging="360"/>
        <w:contextualSpacing w:val="0"/>
      </w:pPr>
      <w:r w:rsidRPr="00B76BB1">
        <w:t>3.</w:t>
      </w:r>
      <w:r w:rsidRPr="00B76BB1">
        <w:tab/>
        <w:t xml:space="preserve">Identify the root cause of the problem </w:t>
      </w:r>
      <w:r w:rsidRPr="00152C31">
        <w:t xml:space="preserve">and the </w:t>
      </w:r>
      <w:proofErr w:type="gramStart"/>
      <w:r w:rsidRPr="00152C31">
        <w:t>responsible party</w:t>
      </w:r>
      <w:proofErr w:type="gramEnd"/>
      <w:r w:rsidRPr="00B76BB1">
        <w:t>;</w:t>
      </w:r>
    </w:p>
    <w:p w14:paraId="50BE55B2" w14:textId="77777777" w:rsidR="00537458" w:rsidRPr="00B76BB1" w:rsidRDefault="00537458" w:rsidP="008A49B6">
      <w:pPr>
        <w:pStyle w:val="ListParagraph"/>
        <w:ind w:left="1440" w:hanging="360"/>
        <w:contextualSpacing w:val="0"/>
      </w:pPr>
      <w:r w:rsidRPr="00B76BB1">
        <w:t>4.</w:t>
      </w:r>
      <w:r w:rsidRPr="00B76BB1">
        <w:tab/>
        <w:t>Recommend actions to prevent recurrence of this or similar problems;</w:t>
      </w:r>
    </w:p>
    <w:p w14:paraId="30EA5B11" w14:textId="77777777" w:rsidR="00537458" w:rsidRPr="00B76BB1" w:rsidRDefault="00537458" w:rsidP="008A49B6">
      <w:pPr>
        <w:pStyle w:val="ListParagraph"/>
        <w:ind w:left="1440" w:hanging="360"/>
        <w:contextualSpacing w:val="0"/>
      </w:pPr>
      <w:r w:rsidRPr="00B76BB1">
        <w:t>5.</w:t>
      </w:r>
      <w:r w:rsidRPr="00B76BB1">
        <w:tab/>
        <w:t xml:space="preserve">Assign responsibility for </w:t>
      </w:r>
      <w:r w:rsidRPr="00152C31">
        <w:t xml:space="preserve">developing and implementing </w:t>
      </w:r>
      <w:r w:rsidRPr="00B76BB1">
        <w:t>corrective action;</w:t>
      </w:r>
    </w:p>
    <w:p w14:paraId="29B46701" w14:textId="77777777" w:rsidR="00537458" w:rsidRPr="00B76BB1" w:rsidRDefault="00537458" w:rsidP="008A49B6">
      <w:pPr>
        <w:pStyle w:val="ListParagraph"/>
        <w:ind w:left="1440" w:hanging="360"/>
        <w:contextualSpacing w:val="0"/>
      </w:pPr>
      <w:r w:rsidRPr="00B76BB1">
        <w:t>6.</w:t>
      </w:r>
      <w:r w:rsidRPr="00B76BB1">
        <w:tab/>
        <w:t xml:space="preserve">Implement new </w:t>
      </w:r>
      <w:proofErr w:type="gramStart"/>
      <w:r w:rsidRPr="00B76BB1">
        <w:t>process</w:t>
      </w:r>
      <w:proofErr w:type="gramEnd"/>
      <w:r w:rsidRPr="00B76BB1">
        <w:t xml:space="preserve"> or quality controls as necessary;</w:t>
      </w:r>
    </w:p>
    <w:p w14:paraId="08E06450" w14:textId="77777777" w:rsidR="00537458" w:rsidRPr="00B76BB1" w:rsidRDefault="00537458" w:rsidP="008A49B6">
      <w:pPr>
        <w:pStyle w:val="ListParagraph"/>
        <w:ind w:left="1440" w:hanging="360"/>
        <w:contextualSpacing w:val="0"/>
      </w:pPr>
      <w:r w:rsidRPr="00B76BB1">
        <w:t>7.</w:t>
      </w:r>
      <w:r w:rsidRPr="00B76BB1">
        <w:tab/>
        <w:t>Determine what to do with failed items/</w:t>
      </w:r>
      <w:r w:rsidRPr="00152C31">
        <w:t>deliverables</w:t>
      </w:r>
      <w:r w:rsidRPr="00B76BB1">
        <w:t>; and</w:t>
      </w:r>
    </w:p>
    <w:p w14:paraId="23750776" w14:textId="77777777" w:rsidR="00537458" w:rsidRDefault="00537458" w:rsidP="008A49B6">
      <w:pPr>
        <w:pStyle w:val="ListParagraph"/>
        <w:spacing w:after="240"/>
        <w:ind w:left="1440" w:hanging="360"/>
        <w:contextualSpacing w:val="0"/>
      </w:pPr>
      <w:r>
        <w:t>8.</w:t>
      </w:r>
      <w:r>
        <w:tab/>
        <w:t>Record permanent changes in process documentation.</w:t>
      </w:r>
    </w:p>
    <w:p w14:paraId="72BF20F5" w14:textId="77777777" w:rsidR="00537458" w:rsidRPr="00117F9B" w:rsidRDefault="00537458" w:rsidP="00537458">
      <w:pPr>
        <w:pStyle w:val="Heading4"/>
      </w:pPr>
      <w:r w:rsidRPr="00117F9B">
        <w:t xml:space="preserve">2.2 Annual Summary Project Report </w:t>
      </w:r>
    </w:p>
    <w:p w14:paraId="29605A34" w14:textId="0E624BFA" w:rsidR="00537458" w:rsidRPr="000049BC" w:rsidRDefault="00537458" w:rsidP="00537458">
      <w:pPr>
        <w:spacing w:after="240"/>
        <w:rPr>
          <w:rFonts w:cs="Arial"/>
          <w:szCs w:val="24"/>
        </w:rPr>
      </w:pPr>
      <w:r w:rsidRPr="000049BC">
        <w:rPr>
          <w:rFonts w:cs="Arial"/>
          <w:szCs w:val="24"/>
        </w:rPr>
        <w:t xml:space="preserve">The Technical Proposal must describe in detail the process for delivering annual summary reports. The Technical Proposal must acknowledge and ensure that at the end of each year, the successful bidder will email the annual summary report to the CDE no later than </w:t>
      </w:r>
      <w:proofErr w:type="gramStart"/>
      <w:r w:rsidRPr="000049BC">
        <w:rPr>
          <w:rFonts w:cs="Arial"/>
          <w:szCs w:val="24"/>
        </w:rPr>
        <w:t>the last</w:t>
      </w:r>
      <w:proofErr w:type="gramEnd"/>
      <w:r w:rsidRPr="000049BC">
        <w:rPr>
          <w:rFonts w:cs="Arial"/>
          <w:szCs w:val="24"/>
        </w:rPr>
        <w:t xml:space="preserve"> Friday in </w:t>
      </w:r>
      <w:r w:rsidR="00B931E4">
        <w:rPr>
          <w:rFonts w:cs="Arial"/>
          <w:szCs w:val="24"/>
        </w:rPr>
        <w:t>January for preceding year.</w:t>
      </w:r>
      <w:r w:rsidRPr="000049BC">
        <w:rPr>
          <w:rFonts w:cs="Arial"/>
          <w:szCs w:val="24"/>
        </w:rPr>
        <w:t xml:space="preserve"> The Technical Proposal must describe how the successful bidder will submit the annual summary progress reports both electronically by email and as hard copies by certified mail to the CDE. The original annual summary progress report must be signed by the contractor’s Project Manager.</w:t>
      </w:r>
    </w:p>
    <w:p w14:paraId="707158D3" w14:textId="1CBAEE9A" w:rsidR="00537458" w:rsidRPr="000049BC" w:rsidRDefault="00537458" w:rsidP="00537458">
      <w:pPr>
        <w:spacing w:after="240"/>
      </w:pPr>
      <w:r w:rsidRPr="000049BC">
        <w:rPr>
          <w:rFonts w:cs="Arial"/>
          <w:szCs w:val="24"/>
        </w:rPr>
        <w:t xml:space="preserve">The annual report documents the work performed for each contract year. It provides a mechanism for accountability and contract monitoring purposes. This report is formatted by contractual tasks/subtask(s) and related activities. The Technical Proposal must ensure that the annual summary progress reports include at a minimum an executive summary, background, tasks/subtasks specified in the Scope of Project, task methodology, progress, status update(s), and recommendations. The Technical Proposal must ensure that each annual summary progress report describes the procedures used, describes any limitations of the findings, and challenges related to conducting the task activities and any surveys or other instruments developed to conduct the activities are to be included in the report. </w:t>
      </w:r>
      <w:r w:rsidRPr="000049BC">
        <w:t>Additionally, this report will include analysis and synthesis of participant feedback from professional development activities and surveys conducted as indicated in Task 4.</w:t>
      </w:r>
    </w:p>
    <w:p w14:paraId="476991FC" w14:textId="77777777" w:rsidR="00537458" w:rsidRPr="00EB0CA6" w:rsidRDefault="00537458" w:rsidP="00537458">
      <w:pPr>
        <w:pStyle w:val="Heading4"/>
      </w:pPr>
      <w:r w:rsidRPr="00AC163A">
        <w:t>2.3</w:t>
      </w:r>
      <w:r w:rsidRPr="00BA3573">
        <w:t xml:space="preserve"> Data Files, Reports, and </w:t>
      </w:r>
      <w:r w:rsidRPr="00EB0CA6">
        <w:t>Final Documents</w:t>
      </w:r>
    </w:p>
    <w:p w14:paraId="381249CA" w14:textId="60531707" w:rsidR="00537458" w:rsidRPr="009715D3" w:rsidRDefault="00537458" w:rsidP="00537458">
      <w:pPr>
        <w:spacing w:before="240" w:after="240"/>
        <w:rPr>
          <w:rFonts w:eastAsia="Times New Roman"/>
          <w:snapToGrid w:val="0"/>
          <w:szCs w:val="20"/>
        </w:rPr>
      </w:pPr>
      <w:r w:rsidRPr="009715D3">
        <w:rPr>
          <w:rFonts w:eastAsia="Times New Roman"/>
          <w:snapToGrid w:val="0"/>
          <w:szCs w:val="20"/>
        </w:rPr>
        <w:t xml:space="preserve">The Technical Proposal must acknowledge and ensure that the successful bidder will adhere to the </w:t>
      </w:r>
      <w:r w:rsidRPr="00B76BB1">
        <w:rPr>
          <w:rFonts w:eastAsia="Times New Roman"/>
          <w:snapToGrid w:val="0"/>
          <w:szCs w:val="20"/>
        </w:rPr>
        <w:t xml:space="preserve">CDE Style </w:t>
      </w:r>
      <w:r w:rsidRPr="00152C31">
        <w:rPr>
          <w:rFonts w:eastAsia="Times New Roman"/>
          <w:snapToGrid w:val="0"/>
          <w:szCs w:val="20"/>
        </w:rPr>
        <w:t>Manual, Correspondence Guide</w:t>
      </w:r>
      <w:r w:rsidRPr="00B76BB1">
        <w:rPr>
          <w:rFonts w:eastAsia="Times New Roman"/>
          <w:snapToGrid w:val="0"/>
          <w:szCs w:val="20"/>
        </w:rPr>
        <w:t xml:space="preserve">, </w:t>
      </w:r>
      <w:r w:rsidR="003F2FA9">
        <w:rPr>
          <w:rFonts w:eastAsia="Times New Roman"/>
          <w:snapToGrid w:val="0"/>
          <w:szCs w:val="20"/>
        </w:rPr>
        <w:t>w</w:t>
      </w:r>
      <w:r w:rsidRPr="00B76BB1">
        <w:rPr>
          <w:rFonts w:eastAsia="Times New Roman"/>
          <w:snapToGrid w:val="0"/>
          <w:szCs w:val="20"/>
        </w:rPr>
        <w:t xml:space="preserve">eb standards, and data file requirements. The CDE Style </w:t>
      </w:r>
      <w:r w:rsidRPr="00152C31">
        <w:rPr>
          <w:rFonts w:eastAsia="Times New Roman"/>
          <w:snapToGrid w:val="0"/>
          <w:szCs w:val="20"/>
        </w:rPr>
        <w:t>Manual, Correspondence Guide</w:t>
      </w:r>
      <w:r w:rsidRPr="00B76BB1">
        <w:rPr>
          <w:rFonts w:eastAsia="Times New Roman"/>
          <w:snapToGrid w:val="0"/>
          <w:szCs w:val="20"/>
        </w:rPr>
        <w:t xml:space="preserve">, </w:t>
      </w:r>
      <w:r w:rsidRPr="009715D3">
        <w:rPr>
          <w:rFonts w:eastAsia="Times New Roman"/>
          <w:snapToGrid w:val="0"/>
          <w:szCs w:val="20"/>
        </w:rPr>
        <w:t xml:space="preserve">and </w:t>
      </w:r>
      <w:r w:rsidR="003F2FA9">
        <w:rPr>
          <w:rFonts w:eastAsia="Times New Roman"/>
          <w:snapToGrid w:val="0"/>
          <w:szCs w:val="20"/>
        </w:rPr>
        <w:t>w</w:t>
      </w:r>
      <w:r w:rsidRPr="009715D3">
        <w:rPr>
          <w:rFonts w:eastAsia="Times New Roman"/>
          <w:snapToGrid w:val="0"/>
          <w:szCs w:val="20"/>
        </w:rPr>
        <w:t xml:space="preserve">eb standards are posted on the CDE </w:t>
      </w:r>
      <w:r w:rsidR="003F2FA9">
        <w:rPr>
          <w:rFonts w:eastAsia="Times New Roman"/>
          <w:snapToGrid w:val="0"/>
          <w:szCs w:val="20"/>
        </w:rPr>
        <w:t>w</w:t>
      </w:r>
      <w:r w:rsidRPr="009715D3">
        <w:rPr>
          <w:rFonts w:eastAsia="Times New Roman"/>
          <w:snapToGrid w:val="0"/>
          <w:szCs w:val="20"/>
        </w:rPr>
        <w:t xml:space="preserve">eb </w:t>
      </w:r>
      <w:r w:rsidR="003F2FA9">
        <w:rPr>
          <w:rFonts w:eastAsia="Times New Roman"/>
          <w:snapToGrid w:val="0"/>
          <w:szCs w:val="20"/>
        </w:rPr>
        <w:t>s</w:t>
      </w:r>
      <w:r w:rsidRPr="009715D3">
        <w:rPr>
          <w:rFonts w:eastAsia="Times New Roman"/>
          <w:snapToGrid w:val="0"/>
          <w:szCs w:val="20"/>
        </w:rPr>
        <w:t xml:space="preserve">tandards </w:t>
      </w:r>
      <w:r w:rsidR="003F2FA9">
        <w:rPr>
          <w:rFonts w:eastAsia="Times New Roman"/>
          <w:snapToGrid w:val="0"/>
          <w:szCs w:val="20"/>
        </w:rPr>
        <w:t>w</w:t>
      </w:r>
      <w:r w:rsidRPr="009715D3">
        <w:rPr>
          <w:rFonts w:eastAsia="Times New Roman"/>
          <w:snapToGrid w:val="0"/>
          <w:szCs w:val="20"/>
        </w:rPr>
        <w:t xml:space="preserve">eb </w:t>
      </w:r>
      <w:r w:rsidR="003F2FA9">
        <w:rPr>
          <w:rFonts w:eastAsia="Times New Roman"/>
          <w:snapToGrid w:val="0"/>
          <w:szCs w:val="20"/>
        </w:rPr>
        <w:t>p</w:t>
      </w:r>
      <w:r w:rsidRPr="009715D3">
        <w:rPr>
          <w:rFonts w:eastAsia="Times New Roman"/>
          <w:snapToGrid w:val="0"/>
          <w:szCs w:val="20"/>
        </w:rPr>
        <w:t xml:space="preserve">age </w:t>
      </w:r>
      <w:r>
        <w:rPr>
          <w:rFonts w:eastAsia="Times New Roman"/>
          <w:snapToGrid w:val="0"/>
          <w:szCs w:val="20"/>
        </w:rPr>
        <w:t xml:space="preserve">which can be found at </w:t>
      </w:r>
      <w:hyperlink r:id="rId37" w:tooltip="CDE Web Standards Web Page" w:history="1">
        <w:r w:rsidRPr="00672E3A">
          <w:rPr>
            <w:rStyle w:val="Hyperlink"/>
            <w:rFonts w:eastAsia="Times New Roman"/>
            <w:snapToGrid w:val="0"/>
            <w:szCs w:val="20"/>
          </w:rPr>
          <w:t>http://www.cde.ca.gov/re/di/ws/webstandards.asp</w:t>
        </w:r>
      </w:hyperlink>
      <w:r>
        <w:rPr>
          <w:rFonts w:eastAsia="Times New Roman"/>
          <w:snapToGrid w:val="0"/>
          <w:szCs w:val="20"/>
        </w:rPr>
        <w:t>.</w:t>
      </w:r>
    </w:p>
    <w:p w14:paraId="30A58AAC" w14:textId="4FF286A1" w:rsidR="00537458" w:rsidRDefault="00537458" w:rsidP="00537458">
      <w:pPr>
        <w:spacing w:before="240" w:after="240"/>
        <w:rPr>
          <w:rFonts w:eastAsia="Times New Roman"/>
          <w:snapToGrid w:val="0"/>
          <w:szCs w:val="20"/>
        </w:rPr>
      </w:pPr>
      <w:r w:rsidRPr="009715D3">
        <w:rPr>
          <w:rFonts w:eastAsia="Times New Roman"/>
          <w:snapToGrid w:val="0"/>
          <w:szCs w:val="20"/>
        </w:rPr>
        <w:t xml:space="preserve">The Technical Proposal must acknowledge and ensure that unless otherwise specified in this RFP, all final documents must be provided in Microsoft Word 2013 or later format. With prior approval from CDE, the </w:t>
      </w:r>
      <w:r w:rsidR="00EE5ED2">
        <w:rPr>
          <w:rFonts w:eastAsia="Times New Roman"/>
          <w:snapToGrid w:val="0"/>
          <w:szCs w:val="20"/>
        </w:rPr>
        <w:t>successful bidder</w:t>
      </w:r>
      <w:r w:rsidRPr="009715D3">
        <w:rPr>
          <w:rFonts w:eastAsia="Times New Roman"/>
          <w:snapToGrid w:val="0"/>
          <w:szCs w:val="20"/>
        </w:rPr>
        <w:t xml:space="preserve"> may also use Adobe Acrobat or any other CDE approved software. The Technical Proposal must acknowledge and ensure that any document (e.g., </w:t>
      </w:r>
      <w:r w:rsidR="003F2FA9">
        <w:rPr>
          <w:rFonts w:eastAsia="Times New Roman"/>
          <w:snapToGrid w:val="0"/>
          <w:szCs w:val="20"/>
        </w:rPr>
        <w:t>w</w:t>
      </w:r>
      <w:r w:rsidRPr="009715D3">
        <w:rPr>
          <w:rFonts w:eastAsia="Times New Roman"/>
          <w:snapToGrid w:val="0"/>
          <w:szCs w:val="20"/>
        </w:rPr>
        <w:t xml:space="preserve">eb page, document, survey, application) </w:t>
      </w:r>
      <w:proofErr w:type="gramStart"/>
      <w:r w:rsidRPr="009715D3">
        <w:rPr>
          <w:rFonts w:eastAsia="Times New Roman"/>
          <w:snapToGrid w:val="0"/>
          <w:szCs w:val="20"/>
        </w:rPr>
        <w:t>to</w:t>
      </w:r>
      <w:proofErr w:type="gramEnd"/>
      <w:r w:rsidRPr="009715D3">
        <w:rPr>
          <w:rFonts w:eastAsia="Times New Roman"/>
          <w:snapToGrid w:val="0"/>
          <w:szCs w:val="20"/>
        </w:rPr>
        <w:t xml:space="preserve"> be posted on the Internet (not just any CDE </w:t>
      </w:r>
      <w:r w:rsidR="003F2FA9">
        <w:rPr>
          <w:rFonts w:eastAsia="Times New Roman"/>
          <w:snapToGrid w:val="0"/>
          <w:szCs w:val="20"/>
        </w:rPr>
        <w:lastRenderedPageBreak/>
        <w:t>w</w:t>
      </w:r>
      <w:r w:rsidRPr="009715D3">
        <w:rPr>
          <w:rFonts w:eastAsia="Times New Roman"/>
          <w:snapToGrid w:val="0"/>
          <w:szCs w:val="20"/>
        </w:rPr>
        <w:t xml:space="preserve">ebsite but any </w:t>
      </w:r>
      <w:r w:rsidR="003F2FA9">
        <w:rPr>
          <w:rFonts w:eastAsia="Times New Roman"/>
          <w:snapToGrid w:val="0"/>
          <w:szCs w:val="20"/>
        </w:rPr>
        <w:t>w</w:t>
      </w:r>
      <w:r w:rsidRPr="009715D3">
        <w:rPr>
          <w:rFonts w:eastAsia="Times New Roman"/>
          <w:snapToGrid w:val="0"/>
          <w:szCs w:val="20"/>
        </w:rPr>
        <w:t xml:space="preserve">ebsite) meets the CDE’s </w:t>
      </w:r>
      <w:r w:rsidR="003F2FA9">
        <w:rPr>
          <w:rFonts w:eastAsia="Times New Roman"/>
          <w:snapToGrid w:val="0"/>
          <w:szCs w:val="20"/>
        </w:rPr>
        <w:t>w</w:t>
      </w:r>
      <w:r w:rsidRPr="009715D3">
        <w:rPr>
          <w:rFonts w:eastAsia="Times New Roman"/>
          <w:snapToGrid w:val="0"/>
          <w:szCs w:val="20"/>
        </w:rPr>
        <w:t xml:space="preserve">eb standards, including but not limited to the CDE Style Guidelines and </w:t>
      </w:r>
      <w:r w:rsidR="003F2FA9">
        <w:rPr>
          <w:rFonts w:eastAsia="Times New Roman"/>
          <w:snapToGrid w:val="0"/>
          <w:szCs w:val="20"/>
        </w:rPr>
        <w:t>w</w:t>
      </w:r>
      <w:r w:rsidRPr="009715D3">
        <w:rPr>
          <w:rFonts w:eastAsia="Times New Roman"/>
          <w:snapToGrid w:val="0"/>
          <w:szCs w:val="20"/>
        </w:rPr>
        <w:t>eb standards and CDE Accessibility Standards. The Technical Proposal must acknowledge and ensure that whether documents are provided as word or PDF, the documents must be fully accessible to persons with disabilities including at a minimum that they are text-based, have the correct reading order, and all non-text elements (e.g., pictures, charts, and graphs) have fully equivalent alternative text and alt</w:t>
      </w:r>
      <w:r>
        <w:rPr>
          <w:rFonts w:eastAsia="Times New Roman"/>
          <w:snapToGrid w:val="0"/>
          <w:szCs w:val="20"/>
        </w:rPr>
        <w:t>ernative</w:t>
      </w:r>
      <w:r w:rsidRPr="009715D3">
        <w:rPr>
          <w:rFonts w:eastAsia="Times New Roman"/>
          <w:snapToGrid w:val="0"/>
          <w:szCs w:val="20"/>
        </w:rPr>
        <w:t xml:space="preserve"> text tags.</w:t>
      </w:r>
    </w:p>
    <w:p w14:paraId="59C5BC7A" w14:textId="486FC362" w:rsidR="00537458" w:rsidRPr="009715D3" w:rsidRDefault="00537458" w:rsidP="00537458">
      <w:pPr>
        <w:spacing w:before="240" w:after="240"/>
        <w:rPr>
          <w:rFonts w:eastAsia="Times New Roman"/>
          <w:snapToGrid w:val="0"/>
          <w:szCs w:val="20"/>
        </w:rPr>
      </w:pPr>
      <w:r w:rsidRPr="009715D3">
        <w:rPr>
          <w:rFonts w:eastAsia="Times New Roman"/>
          <w:snapToGrid w:val="0"/>
          <w:szCs w:val="20"/>
        </w:rPr>
        <w:t xml:space="preserve">The Technical Proposal must acknowledge and ensure that after a document has been fully approved by the CDE, the successful bidder must ensure that the material meets the CDE Accessibility Standards. </w:t>
      </w:r>
      <w:r w:rsidRPr="00410AC9">
        <w:rPr>
          <w:rFonts w:eastAsia="Times New Roman"/>
          <w:snapToGrid w:val="0"/>
          <w:szCs w:val="20"/>
        </w:rPr>
        <w:t xml:space="preserve">Additionally, PDF documents must be tagged for accessibility. The </w:t>
      </w:r>
      <w:r w:rsidR="003F2FA9">
        <w:rPr>
          <w:rFonts w:eastAsia="Times New Roman"/>
          <w:snapToGrid w:val="0"/>
          <w:szCs w:val="20"/>
        </w:rPr>
        <w:t>T</w:t>
      </w:r>
      <w:r w:rsidRPr="00410AC9">
        <w:rPr>
          <w:rFonts w:eastAsia="Times New Roman"/>
          <w:snapToGrid w:val="0"/>
          <w:szCs w:val="20"/>
        </w:rPr>
        <w:t xml:space="preserve">echnical </w:t>
      </w:r>
      <w:r w:rsidR="003F2FA9">
        <w:rPr>
          <w:rFonts w:eastAsia="Times New Roman"/>
          <w:snapToGrid w:val="0"/>
          <w:szCs w:val="20"/>
        </w:rPr>
        <w:t>P</w:t>
      </w:r>
      <w:r w:rsidRPr="00410AC9">
        <w:rPr>
          <w:rFonts w:eastAsia="Times New Roman"/>
          <w:snapToGrid w:val="0"/>
          <w:szCs w:val="20"/>
        </w:rPr>
        <w:t xml:space="preserve">roposal must acknowledge and ensure that accessibility requirements are not waived because content is received from schools or any other </w:t>
      </w:r>
      <w:r w:rsidR="00645B5B">
        <w:rPr>
          <w:rFonts w:eastAsia="Times New Roman"/>
          <w:snapToGrid w:val="0"/>
          <w:szCs w:val="20"/>
        </w:rPr>
        <w:t>thi</w:t>
      </w:r>
      <w:r w:rsidRPr="00410AC9">
        <w:rPr>
          <w:rFonts w:eastAsia="Times New Roman"/>
          <w:snapToGrid w:val="0"/>
          <w:szCs w:val="20"/>
        </w:rPr>
        <w:t>rd party</w:t>
      </w:r>
      <w:r>
        <w:rPr>
          <w:rFonts w:eastAsia="Times New Roman"/>
          <w:snapToGrid w:val="0"/>
          <w:szCs w:val="20"/>
        </w:rPr>
        <w:t xml:space="preserve">. </w:t>
      </w:r>
      <w:r w:rsidRPr="009715D3">
        <w:rPr>
          <w:rFonts w:eastAsia="Times New Roman"/>
          <w:snapToGrid w:val="0"/>
          <w:szCs w:val="20"/>
        </w:rPr>
        <w:t xml:space="preserve">The Technical Proposal must acknowledge and ensure that all fully approved PowerPoint documents, for posting on the Internet, must be delivered to the CDE with a text only Word version, with fully equivalent alternative text for every non-text element (e.g., graphics, pictures, charts, graphs). Videos or </w:t>
      </w:r>
      <w:r w:rsidR="003F2FA9">
        <w:rPr>
          <w:rFonts w:eastAsia="Times New Roman"/>
          <w:snapToGrid w:val="0"/>
          <w:szCs w:val="20"/>
        </w:rPr>
        <w:t>w</w:t>
      </w:r>
      <w:r w:rsidRPr="009715D3">
        <w:rPr>
          <w:rFonts w:eastAsia="Times New Roman"/>
          <w:snapToGrid w:val="0"/>
          <w:szCs w:val="20"/>
        </w:rPr>
        <w:t xml:space="preserve">ebinars that are posted to any </w:t>
      </w:r>
      <w:r w:rsidR="00EF3B33">
        <w:rPr>
          <w:rFonts w:eastAsia="Times New Roman"/>
          <w:snapToGrid w:val="0"/>
          <w:szCs w:val="20"/>
        </w:rPr>
        <w:t>w</w:t>
      </w:r>
      <w:r w:rsidRPr="009715D3">
        <w:rPr>
          <w:rFonts w:eastAsia="Times New Roman"/>
          <w:snapToGrid w:val="0"/>
          <w:szCs w:val="20"/>
        </w:rPr>
        <w:t xml:space="preserve">eb site must be fully captioned and meet the CDE </w:t>
      </w:r>
      <w:r w:rsidR="003F2FA9">
        <w:rPr>
          <w:rFonts w:eastAsia="Times New Roman"/>
          <w:snapToGrid w:val="0"/>
          <w:szCs w:val="20"/>
        </w:rPr>
        <w:t>w</w:t>
      </w:r>
      <w:r w:rsidRPr="009715D3">
        <w:rPr>
          <w:rFonts w:eastAsia="Times New Roman"/>
          <w:snapToGrid w:val="0"/>
          <w:szCs w:val="20"/>
        </w:rPr>
        <w:t>eb standards.</w:t>
      </w:r>
    </w:p>
    <w:p w14:paraId="11DC85EA" w14:textId="77777777" w:rsidR="00537458" w:rsidRPr="009715D3" w:rsidRDefault="00537458" w:rsidP="00537458">
      <w:pPr>
        <w:spacing w:before="240" w:after="240"/>
        <w:rPr>
          <w:rFonts w:eastAsia="Times New Roman"/>
          <w:snapToGrid w:val="0"/>
          <w:szCs w:val="20"/>
        </w:rPr>
      </w:pPr>
      <w:r w:rsidRPr="009715D3">
        <w:rPr>
          <w:rFonts w:eastAsia="Times New Roman"/>
          <w:snapToGrid w:val="0"/>
          <w:szCs w:val="20"/>
        </w:rPr>
        <w:t xml:space="preserve">The Technical Proposal must describe in detail that </w:t>
      </w:r>
      <w:r>
        <w:rPr>
          <w:rFonts w:eastAsia="Times New Roman"/>
          <w:snapToGrid w:val="0"/>
          <w:szCs w:val="20"/>
        </w:rPr>
        <w:t>the successful bidder has</w:t>
      </w:r>
      <w:r w:rsidRPr="009715D3">
        <w:rPr>
          <w:rFonts w:eastAsia="Times New Roman"/>
          <w:snapToGrid w:val="0"/>
          <w:szCs w:val="20"/>
        </w:rPr>
        <w:t xml:space="preserve"> the resources, staff, knowledge, skills, and abilities to deliver Section 508 accessible products. If needed during the contract period, the successful bidder may request to meet with the CDE Web Application Review Team (Web ART) to answer questions about proposed accessibility strategies and request Web ART to review a small sample of a deliverable to help guide the process.</w:t>
      </w:r>
    </w:p>
    <w:p w14:paraId="540A2392" w14:textId="77777777" w:rsidR="00537458" w:rsidRPr="009715D3" w:rsidRDefault="00537458" w:rsidP="00537458">
      <w:pPr>
        <w:spacing w:before="240" w:after="240"/>
        <w:rPr>
          <w:rFonts w:eastAsia="Times New Roman"/>
          <w:snapToGrid w:val="0"/>
          <w:szCs w:val="20"/>
        </w:rPr>
      </w:pPr>
      <w:r w:rsidRPr="009715D3">
        <w:rPr>
          <w:rFonts w:eastAsia="Times New Roman"/>
          <w:snapToGrid w:val="0"/>
          <w:szCs w:val="20"/>
        </w:rPr>
        <w:t>The Technical Proposal must acknowledge and ensure that unless otherwise specified, all data files must be delivered in text files using tab delimited and comma separated values (CSV) format with double quote field delimiters. The file must be encrypted using Federal Information Processing Standards (FIPS) 140-2 validation product that can be incorporated into Microsoft Access and Microsoft Structured Query Language (SQL) Server.</w:t>
      </w:r>
    </w:p>
    <w:p w14:paraId="24036F68" w14:textId="14084D81" w:rsidR="00537458" w:rsidRPr="009715D3" w:rsidRDefault="00537458" w:rsidP="00537458">
      <w:pPr>
        <w:spacing w:before="240" w:after="240"/>
        <w:rPr>
          <w:rFonts w:eastAsia="Times New Roman"/>
          <w:snapToGrid w:val="0"/>
          <w:szCs w:val="20"/>
        </w:rPr>
      </w:pPr>
      <w:r w:rsidRPr="009715D3">
        <w:rPr>
          <w:rFonts w:eastAsia="Times New Roman"/>
          <w:snapToGrid w:val="0"/>
          <w:szCs w:val="20"/>
        </w:rPr>
        <w:t xml:space="preserve">The Technical Proposal must specify that </w:t>
      </w:r>
      <w:proofErr w:type="gramStart"/>
      <w:r w:rsidRPr="009715D3">
        <w:rPr>
          <w:rFonts w:eastAsia="Times New Roman"/>
          <w:snapToGrid w:val="0"/>
          <w:szCs w:val="20"/>
        </w:rPr>
        <w:t>the CDE</w:t>
      </w:r>
      <w:proofErr w:type="gramEnd"/>
      <w:r w:rsidRPr="009715D3">
        <w:rPr>
          <w:rFonts w:eastAsia="Times New Roman"/>
          <w:snapToGrid w:val="0"/>
          <w:szCs w:val="20"/>
        </w:rPr>
        <w:t xml:space="preserve"> must approve all material and/or deliverables developed in conjunction with this </w:t>
      </w:r>
      <w:r w:rsidRPr="000049BC">
        <w:rPr>
          <w:rFonts w:eastAsia="Times New Roman"/>
          <w:snapToGrid w:val="0"/>
          <w:szCs w:val="20"/>
        </w:rPr>
        <w:t>contract. (See Task 1.</w:t>
      </w:r>
      <w:r w:rsidR="003F2FA9" w:rsidRPr="000049BC">
        <w:rPr>
          <w:rFonts w:eastAsia="Times New Roman"/>
          <w:snapToGrid w:val="0"/>
          <w:szCs w:val="20"/>
        </w:rPr>
        <w:t>5</w:t>
      </w:r>
      <w:r w:rsidRPr="000049BC">
        <w:rPr>
          <w:rFonts w:eastAsia="Times New Roman"/>
          <w:snapToGrid w:val="0"/>
          <w:szCs w:val="20"/>
        </w:rPr>
        <w:t xml:space="preserve"> </w:t>
      </w:r>
      <w:r w:rsidRPr="000049BC">
        <w:t>–</w:t>
      </w:r>
      <w:r w:rsidRPr="000049BC">
        <w:rPr>
          <w:rFonts w:eastAsia="Times New Roman"/>
          <w:snapToGrid w:val="0"/>
          <w:szCs w:val="20"/>
        </w:rPr>
        <w:t xml:space="preserve"> CDE Approval Schedule Requirements). The Technical Proposal must acknowledge and ensure that the successful bidder will not disseminate any written information, materials, or deliverables to the field, public, or any other third party without written approval by the CDE. The Technical Proposal must acknowledge and ensure that the successful bidder is responsible for allowing sufficient time for the CDE to review the materials and/or deliverables, and if necessary, for the </w:t>
      </w:r>
      <w:r w:rsidR="003F2FA9" w:rsidRPr="000049BC">
        <w:rPr>
          <w:rFonts w:eastAsia="Times New Roman"/>
          <w:snapToGrid w:val="0"/>
          <w:szCs w:val="20"/>
        </w:rPr>
        <w:t>successful bidder</w:t>
      </w:r>
      <w:r w:rsidRPr="000049BC">
        <w:rPr>
          <w:rFonts w:eastAsia="Times New Roman"/>
          <w:snapToGrid w:val="0"/>
          <w:szCs w:val="20"/>
        </w:rPr>
        <w:t xml:space="preserve"> to make modifications as directed by the CDE to review and sign-off on the revised submission (</w:t>
      </w:r>
      <w:r w:rsidRPr="000049BC">
        <w:rPr>
          <w:rFonts w:cs="Arial"/>
          <w:szCs w:val="24"/>
        </w:rPr>
        <w:t>See Task 1.</w:t>
      </w:r>
      <w:r w:rsidR="003F2FA9" w:rsidRPr="000049BC">
        <w:rPr>
          <w:rFonts w:cs="Arial"/>
          <w:szCs w:val="24"/>
        </w:rPr>
        <w:t>5</w:t>
      </w:r>
      <w:r w:rsidRPr="000049BC">
        <w:rPr>
          <w:rFonts w:cs="Arial"/>
          <w:szCs w:val="24"/>
        </w:rPr>
        <w:t xml:space="preserve"> </w:t>
      </w:r>
      <w:r w:rsidRPr="000049BC">
        <w:t>– CDE Approval Schedule Requirements)</w:t>
      </w:r>
      <w:r w:rsidRPr="000049BC">
        <w:rPr>
          <w:rFonts w:eastAsia="Times New Roman"/>
          <w:snapToGrid w:val="0"/>
          <w:szCs w:val="20"/>
        </w:rPr>
        <w:t xml:space="preserve">. The Technical Proposal must acknowledge and ensure that the successful bidder is responsible for any costs </w:t>
      </w:r>
      <w:r w:rsidRPr="009715D3">
        <w:rPr>
          <w:rFonts w:eastAsia="Times New Roman"/>
          <w:snapToGrid w:val="0"/>
          <w:szCs w:val="20"/>
        </w:rPr>
        <w:t>associated with making modifications to materials and deliverables necessary to obtain sign-off by the CDE.</w:t>
      </w:r>
    </w:p>
    <w:p w14:paraId="4C676D24" w14:textId="379444F4" w:rsidR="00537458" w:rsidRPr="008A49B6" w:rsidRDefault="00537458" w:rsidP="008A49B6">
      <w:pPr>
        <w:spacing w:before="240" w:after="240"/>
        <w:rPr>
          <w:rFonts w:eastAsia="Times New Roman"/>
          <w:snapToGrid w:val="0"/>
          <w:szCs w:val="20"/>
        </w:rPr>
      </w:pPr>
      <w:r w:rsidRPr="009715D3">
        <w:rPr>
          <w:rFonts w:eastAsia="Times New Roman"/>
          <w:snapToGrid w:val="0"/>
          <w:szCs w:val="20"/>
        </w:rPr>
        <w:t>The Technical Proposal must acknowledge and ensure that the CDE and all authorized state control agencies must have access to all internal and external reports, documents, data and working papers used by the successful bidder and potential subcontractors in the performance and administration of this contract. The Technical Proposal must acknowledge and ensure that the successful bidder shall allow the CDE to monitor all aspects of the successful bidder's performance.</w:t>
      </w:r>
      <w:r>
        <w:br w:type="page"/>
      </w:r>
    </w:p>
    <w:p w14:paraId="36D2E64E" w14:textId="77777777" w:rsidR="00537458" w:rsidRPr="00B76BB1" w:rsidRDefault="00537458" w:rsidP="00F67ED5">
      <w:pPr>
        <w:pStyle w:val="Heading3"/>
        <w:rPr>
          <w:sz w:val="24"/>
        </w:rPr>
      </w:pPr>
      <w:r w:rsidRPr="00507719">
        <w:lastRenderedPageBreak/>
        <w:t xml:space="preserve">TASK 3 – COMPREHENSIVE PLAN AND SCHEDULE FOR </w:t>
      </w:r>
      <w:r w:rsidRPr="00B76BB1">
        <w:t>PROJECT ACTIVITIES AND DELIVERABLES</w:t>
      </w:r>
    </w:p>
    <w:p w14:paraId="53DA0B36" w14:textId="3626F58E" w:rsidR="00537458" w:rsidRPr="000049BC" w:rsidRDefault="00537458" w:rsidP="00537458">
      <w:pPr>
        <w:spacing w:after="240"/>
      </w:pPr>
      <w:r w:rsidRPr="00152C31">
        <w:t xml:space="preserve">This section of the Technical Proposal must acknowledge the bidder’s commitment to completing all the requirements specified below in Task 3 and must provide a description of the approach and methodology by which the bidder will accomplish all the associated subtasks and activities. </w:t>
      </w:r>
      <w:r w:rsidRPr="000049BC">
        <w:t>The Technical Proposal must contain sufficient detail to convey the bidder’s knowledge of the subjects and skills necessary to successfully complete the project as stated in Task 3.</w:t>
      </w:r>
    </w:p>
    <w:p w14:paraId="0FA723C7" w14:textId="1A143EF2" w:rsidR="00B120B0" w:rsidRPr="000049BC" w:rsidRDefault="00B120B0" w:rsidP="00537458">
      <w:pPr>
        <w:spacing w:after="240"/>
      </w:pPr>
      <w:r w:rsidRPr="000049BC">
        <w:t xml:space="preserve">The successful bidder must adhere to the CDE Approval Schedule Requirements as stated in Task 1.5 – </w:t>
      </w:r>
      <w:r w:rsidRPr="000049BC">
        <w:rPr>
          <w:snapToGrid w:val="0"/>
        </w:rPr>
        <w:t xml:space="preserve">CDE Approval Schedule Requirements </w:t>
      </w:r>
      <w:r w:rsidRPr="000049BC">
        <w:t>for generating and delivering required reports/deliverables.</w:t>
      </w:r>
    </w:p>
    <w:p w14:paraId="6EECFE64" w14:textId="77777777" w:rsidR="00537458" w:rsidRPr="000049BC" w:rsidRDefault="00537458" w:rsidP="00537458">
      <w:pPr>
        <w:spacing w:after="240"/>
        <w:rPr>
          <w:rFonts w:cs="Arial"/>
          <w:szCs w:val="24"/>
        </w:rPr>
      </w:pPr>
      <w:r w:rsidRPr="000049BC">
        <w:rPr>
          <w:rFonts w:cs="Arial"/>
          <w:szCs w:val="24"/>
        </w:rPr>
        <w:t>The Technical Proposal must include a narrative schedule and timeline which will be used as a monitoring document to ensure timely completion of tasks as proposed by the successful bidder; the narrative schedules and timeline must include the following information:</w:t>
      </w:r>
    </w:p>
    <w:p w14:paraId="14E83220" w14:textId="77777777" w:rsidR="00537458" w:rsidRPr="000049BC" w:rsidRDefault="00537458" w:rsidP="00537458">
      <w:pPr>
        <w:pStyle w:val="Heading4"/>
      </w:pPr>
      <w:r w:rsidRPr="000049BC">
        <w:t>3.1 Narrative Schedule and Timeline</w:t>
      </w:r>
    </w:p>
    <w:p w14:paraId="2AD7A967" w14:textId="15BF7F7E" w:rsidR="00537458" w:rsidRPr="000049BC" w:rsidRDefault="00537458" w:rsidP="00537458">
      <w:pPr>
        <w:tabs>
          <w:tab w:val="left" w:pos="360"/>
          <w:tab w:val="left" w:pos="720"/>
        </w:tabs>
        <w:spacing w:before="240" w:after="240"/>
        <w:rPr>
          <w:rFonts w:cs="Arial"/>
          <w:szCs w:val="24"/>
        </w:rPr>
      </w:pPr>
      <w:r w:rsidRPr="000049BC">
        <w:rPr>
          <w:rFonts w:cs="Arial"/>
          <w:szCs w:val="24"/>
        </w:rPr>
        <w:t xml:space="preserve">The Technical Proposal must include a comprehensive plan to address all activities described in </w:t>
      </w:r>
      <w:proofErr w:type="gramStart"/>
      <w:r w:rsidRPr="000049BC">
        <w:rPr>
          <w:rFonts w:cs="Arial"/>
          <w:szCs w:val="24"/>
        </w:rPr>
        <w:t>the Section</w:t>
      </w:r>
      <w:proofErr w:type="gramEnd"/>
      <w:r w:rsidRPr="000049BC">
        <w:rPr>
          <w:rFonts w:cs="Arial"/>
          <w:szCs w:val="24"/>
        </w:rPr>
        <w:t xml:space="preserve"> </w:t>
      </w:r>
      <w:r w:rsidR="00DC395C" w:rsidRPr="000049BC">
        <w:rPr>
          <w:rFonts w:cs="Arial"/>
          <w:szCs w:val="24"/>
        </w:rPr>
        <w:t>7</w:t>
      </w:r>
      <w:r w:rsidRPr="000049BC">
        <w:rPr>
          <w:rFonts w:cs="Arial"/>
          <w:szCs w:val="24"/>
        </w:rPr>
        <w:t>, Scope of Project.</w:t>
      </w:r>
    </w:p>
    <w:p w14:paraId="2E8A9B9A" w14:textId="6EA87D96" w:rsidR="00B120B0" w:rsidRDefault="00537458" w:rsidP="00537458">
      <w:pPr>
        <w:rPr>
          <w:b/>
          <w:sz w:val="36"/>
          <w:szCs w:val="36"/>
        </w:rPr>
      </w:pPr>
      <w:r w:rsidRPr="000049BC">
        <w:rPr>
          <w:rFonts w:cs="Arial"/>
          <w:szCs w:val="24"/>
        </w:rPr>
        <w:t xml:space="preserve">This section of the Technical Proposal must include a detailed narrative schedule and timeline that outlines, for all fiscal years and parts thereof, both by task/subtask and chronology for each activity to be performed for the entire contract term. The schedule and timeline must list all tasks, </w:t>
      </w:r>
      <w:proofErr w:type="gramStart"/>
      <w:r w:rsidRPr="000049BC">
        <w:rPr>
          <w:rFonts w:cs="Arial"/>
          <w:szCs w:val="24"/>
        </w:rPr>
        <w:t>subtasks</w:t>
      </w:r>
      <w:proofErr w:type="gramEnd"/>
      <w:r w:rsidRPr="000049BC">
        <w:rPr>
          <w:rFonts w:cs="Arial"/>
          <w:szCs w:val="24"/>
        </w:rPr>
        <w:t xml:space="preserve">, activities, and deliverables to be performed in each fiscal year, or part thereof, as set forth in the Scope of Project in, Section </w:t>
      </w:r>
      <w:r w:rsidR="00DC395C" w:rsidRPr="000049BC">
        <w:rPr>
          <w:rFonts w:cs="Arial"/>
          <w:szCs w:val="24"/>
        </w:rPr>
        <w:t>7</w:t>
      </w:r>
      <w:r w:rsidRPr="000049BC">
        <w:rPr>
          <w:rFonts w:cs="Arial"/>
          <w:szCs w:val="24"/>
        </w:rPr>
        <w:t>. The chronological schedule and timeline must include proposed task/subtask initiation dates, completion dates, effort required, dependencies between deliverables and activities, and person(s) assigned, for each fiscal year covered under the proposed contract, or part thereof. The schedule and timeline will also serve as a monitoring document to ensure timely completion of tasks as proposed by the successful bidder. The Technical Proposal’s comprehensive plan and schedule must conform to the CDE approval schedule and must be updated and maintained throughout the term of the contract. (See Task 1.</w:t>
      </w:r>
      <w:r w:rsidR="000049BC">
        <w:rPr>
          <w:rFonts w:cs="Arial"/>
          <w:szCs w:val="24"/>
        </w:rPr>
        <w:t>5</w:t>
      </w:r>
      <w:r w:rsidRPr="000049BC">
        <w:rPr>
          <w:rFonts w:cs="Arial"/>
          <w:szCs w:val="24"/>
        </w:rPr>
        <w:t xml:space="preserve"> CDE Approval Schedule Requirements</w:t>
      </w:r>
      <w:r w:rsidRPr="00B76BB1">
        <w:rPr>
          <w:rFonts w:cs="Arial"/>
          <w:szCs w:val="24"/>
        </w:rPr>
        <w:t>.)</w:t>
      </w:r>
    </w:p>
    <w:p w14:paraId="172635DB" w14:textId="77777777" w:rsidR="00B120B0" w:rsidRDefault="00B120B0">
      <w:pPr>
        <w:rPr>
          <w:b/>
          <w:sz w:val="36"/>
          <w:szCs w:val="36"/>
        </w:rPr>
      </w:pPr>
      <w:r>
        <w:rPr>
          <w:b/>
          <w:sz w:val="36"/>
          <w:szCs w:val="36"/>
        </w:rPr>
        <w:br w:type="page"/>
      </w:r>
    </w:p>
    <w:p w14:paraId="16802BDA" w14:textId="6ACE33E3" w:rsidR="00537458" w:rsidRPr="00152C31" w:rsidRDefault="00537458" w:rsidP="00F67ED5">
      <w:pPr>
        <w:pStyle w:val="Heading3"/>
      </w:pPr>
      <w:r>
        <w:lastRenderedPageBreak/>
        <w:t>T</w:t>
      </w:r>
      <w:r w:rsidRPr="00152C31">
        <w:t xml:space="preserve">ASK 4 – </w:t>
      </w:r>
      <w:r w:rsidR="000049BC">
        <w:t>CONGRESSIONAL LIAISON</w:t>
      </w:r>
    </w:p>
    <w:p w14:paraId="4337C096" w14:textId="77777777" w:rsidR="005117C7" w:rsidRDefault="00537458" w:rsidP="00E43B4A">
      <w:pPr>
        <w:spacing w:after="240"/>
        <w:rPr>
          <w:rFonts w:cs="Arial"/>
          <w:szCs w:val="24"/>
        </w:rPr>
      </w:pPr>
      <w:r w:rsidRPr="00DA4EC0">
        <w:rPr>
          <w:rFonts w:cs="Arial"/>
          <w:szCs w:val="24"/>
        </w:rPr>
        <w:t>This section of the Technical Proposal must acknowledge the bidder’s commitment to completing all the requirements specified below in Task 4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4.</w:t>
      </w:r>
    </w:p>
    <w:p w14:paraId="51A5BD00" w14:textId="2AC3D6CA" w:rsidR="00897F8D" w:rsidRDefault="00897F8D" w:rsidP="00897F8D">
      <w:pPr>
        <w:spacing w:after="240"/>
      </w:pPr>
      <w:r>
        <w:t xml:space="preserve">The successful bidder must adhere to the CDE Approval Schedule Requirements as stated in </w:t>
      </w:r>
      <w:r w:rsidRPr="000049BC">
        <w:t xml:space="preserve">Task 1.5 – </w:t>
      </w:r>
      <w:r w:rsidRPr="00467E3D">
        <w:rPr>
          <w:snapToGrid w:val="0"/>
        </w:rPr>
        <w:t>CDE Approval Schedule Requirements</w:t>
      </w:r>
      <w:r>
        <w:rPr>
          <w:snapToGrid w:val="0"/>
        </w:rPr>
        <w:t xml:space="preserve"> </w:t>
      </w:r>
      <w:r>
        <w:t>for generating and delivering required reports/deliverables.</w:t>
      </w:r>
    </w:p>
    <w:p w14:paraId="68046D72" w14:textId="42CF0F54" w:rsidR="000049BC" w:rsidRDefault="000049BC" w:rsidP="00E43B4A">
      <w:pPr>
        <w:spacing w:after="240"/>
        <w:rPr>
          <w:rFonts w:cs="Arial"/>
        </w:rPr>
      </w:pPr>
      <w:r>
        <w:rPr>
          <w:rFonts w:cs="Arial"/>
        </w:rPr>
        <w:t>For all meetings outlined in Task 4 and i</w:t>
      </w:r>
      <w:r w:rsidRPr="001D345A">
        <w:rPr>
          <w:rFonts w:cs="Arial"/>
        </w:rPr>
        <w:t>n accordance with any recommendation(s) or order(s) contained in a Governor’s executive order, an advisory or order of the California Department of Public Health, or an advisory or order of a county health department with authority over the area in which this contract is to be performed or an advisory or order of a law enforcement authority, the in-person meetings may be cancelled or changed to a virtual meeting at the discretion of the CDE. Therefore, any announcement for the event must state that the event may be in-person, virtual, or both. The CDE cannot reimburse the Contractor for any cancellation fees, deposit or pre-payments under any circumstances, even if the CDE decides to cancel the event</w:t>
      </w:r>
      <w:r>
        <w:rPr>
          <w:rFonts w:cs="Arial"/>
        </w:rPr>
        <w:t>.</w:t>
      </w:r>
    </w:p>
    <w:p w14:paraId="25971F70" w14:textId="77777777" w:rsidR="000049BC" w:rsidRDefault="000049BC" w:rsidP="000049BC">
      <w:pPr>
        <w:rPr>
          <w:rFonts w:eastAsia="Arial" w:cs="Arial"/>
          <w:color w:val="000000" w:themeColor="text1"/>
          <w:szCs w:val="24"/>
        </w:rPr>
      </w:pPr>
      <w:r w:rsidRPr="7F38F6A5">
        <w:rPr>
          <w:rFonts w:eastAsia="Arial" w:cs="Arial"/>
          <w:color w:val="000000" w:themeColor="text1"/>
          <w:szCs w:val="24"/>
        </w:rPr>
        <w:t xml:space="preserve">The Technical Proposal must include a detailed process for how the successful bidder will carry out the following: </w:t>
      </w:r>
    </w:p>
    <w:p w14:paraId="319DC29C" w14:textId="77777777" w:rsidR="000049BC" w:rsidRDefault="000049BC" w:rsidP="000049BC">
      <w:pPr>
        <w:rPr>
          <w:rFonts w:eastAsia="Arial" w:cs="Arial"/>
          <w:color w:val="000000" w:themeColor="text1"/>
          <w:szCs w:val="24"/>
        </w:rPr>
      </w:pPr>
      <w:r w:rsidRPr="7F38F6A5">
        <w:rPr>
          <w:rFonts w:eastAsia="Arial" w:cs="Arial"/>
          <w:color w:val="000000" w:themeColor="text1"/>
          <w:szCs w:val="24"/>
        </w:rPr>
        <w:t xml:space="preserve"> </w:t>
      </w:r>
    </w:p>
    <w:p w14:paraId="0C3FB9FC" w14:textId="77777777" w:rsidR="000049BC" w:rsidRDefault="000049BC" w:rsidP="00897F8D">
      <w:pPr>
        <w:pStyle w:val="ListParagraph"/>
        <w:numPr>
          <w:ilvl w:val="0"/>
          <w:numId w:val="63"/>
        </w:numPr>
        <w:spacing w:after="240"/>
        <w:contextualSpacing w:val="0"/>
        <w:rPr>
          <w:rFonts w:eastAsia="Arial" w:cs="Arial"/>
          <w:szCs w:val="24"/>
        </w:rPr>
      </w:pPr>
      <w:r w:rsidRPr="7F38F6A5">
        <w:rPr>
          <w:rFonts w:eastAsia="Arial" w:cs="Arial"/>
          <w:szCs w:val="24"/>
        </w:rPr>
        <w:t>Identify and analyze relevant legislation, proposals, competitive grants, appropriations, and draft amendments, as necessary, to achieve the CDE’s and SSPI’s education reforms and affect the introduction and passage of legislation, and appropriations relating to all federal programs, pre-kindergarten, elementary, secondary, special education, adult education, charter schools, child care, child and adult nutrition programs, extended day, and federal funding programs through an active participation in the Congressional process. Technical assistance includes competitive grants, Elementary and Secondary Education Act (ESEA) waivers, the implementation of common core standards and assistance with any monitoring or oversight by federal agencies.</w:t>
      </w:r>
    </w:p>
    <w:p w14:paraId="03CEADD3" w14:textId="77777777" w:rsidR="000049BC" w:rsidRDefault="000049BC" w:rsidP="00897F8D">
      <w:pPr>
        <w:pStyle w:val="ListParagraph"/>
        <w:numPr>
          <w:ilvl w:val="0"/>
          <w:numId w:val="63"/>
        </w:numPr>
        <w:spacing w:after="240"/>
        <w:contextualSpacing w:val="0"/>
        <w:rPr>
          <w:rFonts w:eastAsia="Arial" w:cs="Arial"/>
          <w:szCs w:val="24"/>
        </w:rPr>
      </w:pPr>
      <w:r w:rsidRPr="7F38F6A5">
        <w:rPr>
          <w:rFonts w:eastAsia="Arial" w:cs="Arial"/>
          <w:szCs w:val="24"/>
        </w:rPr>
        <w:t xml:space="preserve">Monitor all policy and fiscal legislation including proposals or initiatives which are not legislative, but affect education. Facilitate, in direct consultation with CDE leadership, policy positions </w:t>
      </w:r>
      <w:proofErr w:type="gramStart"/>
      <w:r w:rsidRPr="7F38F6A5">
        <w:rPr>
          <w:rFonts w:eastAsia="Arial" w:cs="Arial"/>
          <w:szCs w:val="24"/>
        </w:rPr>
        <w:t>with regard to</w:t>
      </w:r>
      <w:proofErr w:type="gramEnd"/>
      <w:r w:rsidRPr="7F38F6A5">
        <w:rPr>
          <w:rFonts w:eastAsia="Arial" w:cs="Arial"/>
          <w:szCs w:val="24"/>
        </w:rPr>
        <w:t xml:space="preserve"> proposals, regulations or legislation, and actively participate in the process on behalf of the SSPI and the CDE in Washington D.C. and California. Provide specific updates and analysis on pertinent action related to the current federal programs, impending programs, and grants specific to the programs mentioned above.</w:t>
      </w:r>
    </w:p>
    <w:p w14:paraId="2AEF30C0" w14:textId="77777777" w:rsidR="000049BC" w:rsidRDefault="000049BC" w:rsidP="00897F8D">
      <w:pPr>
        <w:pStyle w:val="ListParagraph"/>
        <w:numPr>
          <w:ilvl w:val="0"/>
          <w:numId w:val="63"/>
        </w:numPr>
        <w:spacing w:after="240"/>
        <w:contextualSpacing w:val="0"/>
        <w:rPr>
          <w:rFonts w:eastAsia="Arial" w:cs="Arial"/>
          <w:szCs w:val="24"/>
        </w:rPr>
      </w:pPr>
      <w:r w:rsidRPr="7F38F6A5">
        <w:rPr>
          <w:rFonts w:eastAsia="Arial" w:cs="Arial"/>
          <w:szCs w:val="24"/>
        </w:rPr>
        <w:t>Establish an informed level of communication and involvement with the members of the California Congressional Delegation and other key members of Congress to ensure an understanding of how the pending federal legislation would impact California.</w:t>
      </w:r>
    </w:p>
    <w:p w14:paraId="352DF8F6" w14:textId="77777777" w:rsidR="000049BC" w:rsidRDefault="000049BC" w:rsidP="00897F8D">
      <w:pPr>
        <w:pStyle w:val="ListParagraph"/>
        <w:numPr>
          <w:ilvl w:val="0"/>
          <w:numId w:val="63"/>
        </w:numPr>
        <w:spacing w:after="240"/>
        <w:contextualSpacing w:val="0"/>
        <w:rPr>
          <w:rFonts w:eastAsia="Arial" w:cs="Arial"/>
          <w:szCs w:val="24"/>
        </w:rPr>
      </w:pPr>
      <w:r w:rsidRPr="7F38F6A5">
        <w:rPr>
          <w:rFonts w:eastAsia="Arial" w:cs="Arial"/>
          <w:szCs w:val="24"/>
        </w:rPr>
        <w:t xml:space="preserve">Provide weekly updates on pertinent Congressional action, or ED and USDA initiatives relating to federal education programs such as, but not limited to, Title I, II, III and charter schools, early childhood education, child and adult nutrition, and special education. Provide annual updates on pertinent action from the Appropriations Committees including </w:t>
      </w:r>
      <w:r w:rsidRPr="7F38F6A5">
        <w:rPr>
          <w:rFonts w:eastAsia="Arial" w:cs="Arial"/>
          <w:szCs w:val="24"/>
        </w:rPr>
        <w:lastRenderedPageBreak/>
        <w:t>drafting summaries and spreadsheets that clearly outline how proposals, cuts, or increases in funding levels affect California.</w:t>
      </w:r>
    </w:p>
    <w:p w14:paraId="3FB4CC96" w14:textId="77777777" w:rsidR="000049BC" w:rsidRDefault="000049BC" w:rsidP="00897F8D">
      <w:pPr>
        <w:pStyle w:val="ListParagraph"/>
        <w:numPr>
          <w:ilvl w:val="0"/>
          <w:numId w:val="63"/>
        </w:numPr>
        <w:spacing w:after="240"/>
        <w:contextualSpacing w:val="0"/>
        <w:rPr>
          <w:rFonts w:eastAsia="Arial" w:cs="Arial"/>
          <w:szCs w:val="24"/>
        </w:rPr>
      </w:pPr>
      <w:r w:rsidRPr="7F38F6A5">
        <w:rPr>
          <w:rFonts w:eastAsia="Arial" w:cs="Arial"/>
          <w:szCs w:val="24"/>
        </w:rPr>
        <w:t>Facilitate the coordination of the advocacy efforts in coordination with other California stakeholder groups represented in Washington, D.C. and other state school chiefs or departments as directed by the SSPI and CDE leadership.</w:t>
      </w:r>
    </w:p>
    <w:p w14:paraId="37850AE5" w14:textId="77777777" w:rsidR="000049BC" w:rsidRDefault="000049BC" w:rsidP="00897F8D">
      <w:pPr>
        <w:pStyle w:val="ListParagraph"/>
        <w:numPr>
          <w:ilvl w:val="0"/>
          <w:numId w:val="63"/>
        </w:numPr>
        <w:spacing w:after="240"/>
        <w:contextualSpacing w:val="0"/>
        <w:rPr>
          <w:rFonts w:eastAsia="Arial" w:cs="Arial"/>
          <w:szCs w:val="24"/>
        </w:rPr>
      </w:pPr>
      <w:r w:rsidRPr="00972EC8">
        <w:rPr>
          <w:rFonts w:eastAsia="Arial" w:cs="Arial"/>
          <w:szCs w:val="24"/>
        </w:rPr>
        <w:t>Coordinate communications between the CDE and Members of Congress including scheduling delegation briefings, in person meetings with Members of Congress and/or staff, conference and video calls, and webinars as needed by SSPI and CDE leadership</w:t>
      </w:r>
      <w:r w:rsidRPr="000049BC">
        <w:rPr>
          <w:rFonts w:eastAsia="Arial" w:cs="Arial"/>
          <w:szCs w:val="24"/>
        </w:rPr>
        <w:t>.</w:t>
      </w:r>
    </w:p>
    <w:p w14:paraId="46BB1428" w14:textId="77777777" w:rsidR="000049BC" w:rsidRDefault="000049BC" w:rsidP="00897F8D">
      <w:pPr>
        <w:pStyle w:val="ListParagraph"/>
        <w:numPr>
          <w:ilvl w:val="0"/>
          <w:numId w:val="63"/>
        </w:numPr>
        <w:spacing w:after="240"/>
        <w:contextualSpacing w:val="0"/>
        <w:rPr>
          <w:rFonts w:eastAsia="Arial" w:cs="Arial"/>
          <w:szCs w:val="24"/>
        </w:rPr>
      </w:pPr>
      <w:r w:rsidRPr="000049BC">
        <w:rPr>
          <w:rFonts w:eastAsia="Arial" w:cs="Arial"/>
          <w:szCs w:val="24"/>
        </w:rPr>
        <w:t>Work directly with the SSPI and CDE leadership to respond in a timely manner to inquiries from Congressional offices on CDE related matters or requests for information or assistance.</w:t>
      </w:r>
    </w:p>
    <w:p w14:paraId="3CBA2183" w14:textId="77777777" w:rsidR="000049BC" w:rsidRDefault="000049BC">
      <w:pPr>
        <w:rPr>
          <w:rFonts w:eastAsia="Arial" w:cs="Arial"/>
          <w:szCs w:val="24"/>
        </w:rPr>
      </w:pPr>
      <w:r>
        <w:rPr>
          <w:rFonts w:eastAsia="Arial" w:cs="Arial"/>
          <w:szCs w:val="24"/>
        </w:rPr>
        <w:br w:type="page"/>
      </w:r>
    </w:p>
    <w:p w14:paraId="44DCEA9D" w14:textId="54F6A3E4" w:rsidR="000049BC" w:rsidRPr="00152C31" w:rsidRDefault="000049BC" w:rsidP="000049BC">
      <w:pPr>
        <w:pStyle w:val="Heading3"/>
      </w:pPr>
      <w:r>
        <w:lastRenderedPageBreak/>
        <w:t>T</w:t>
      </w:r>
      <w:r w:rsidRPr="00152C31">
        <w:t xml:space="preserve">ASK </w:t>
      </w:r>
      <w:r>
        <w:t>5</w:t>
      </w:r>
      <w:r w:rsidRPr="00152C31">
        <w:t xml:space="preserve"> – </w:t>
      </w:r>
      <w:r>
        <w:t>ADMINISTRATIVE LIAISON</w:t>
      </w:r>
    </w:p>
    <w:p w14:paraId="6A215DB4" w14:textId="160E16A1" w:rsidR="000049BC" w:rsidRDefault="000049BC" w:rsidP="000049BC">
      <w:pPr>
        <w:spacing w:after="240"/>
        <w:rPr>
          <w:rFonts w:cs="Arial"/>
          <w:szCs w:val="24"/>
        </w:rPr>
      </w:pPr>
      <w:r w:rsidRPr="00DA4EC0">
        <w:rPr>
          <w:rFonts w:cs="Arial"/>
          <w:szCs w:val="24"/>
        </w:rPr>
        <w:t xml:space="preserve">This section of the Technical Proposal must acknowledge the bidder’s commitment to completing all the requirements specified below in Task </w:t>
      </w:r>
      <w:r w:rsidR="00897F8D">
        <w:rPr>
          <w:rFonts w:cs="Arial"/>
          <w:szCs w:val="24"/>
        </w:rPr>
        <w:t>5</w:t>
      </w:r>
      <w:r w:rsidR="00897F8D" w:rsidRPr="00DA4EC0">
        <w:rPr>
          <w:rFonts w:cs="Arial"/>
          <w:szCs w:val="24"/>
        </w:rPr>
        <w:t xml:space="preserve"> </w:t>
      </w:r>
      <w:r w:rsidRPr="00DA4EC0">
        <w:rPr>
          <w:rFonts w:cs="Arial"/>
          <w:szCs w:val="24"/>
        </w:rPr>
        <w:t xml:space="preserve">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w:t>
      </w:r>
      <w:r w:rsidR="00897F8D">
        <w:rPr>
          <w:rFonts w:cs="Arial"/>
          <w:szCs w:val="24"/>
        </w:rPr>
        <w:t>5</w:t>
      </w:r>
      <w:r w:rsidRPr="00DA4EC0">
        <w:rPr>
          <w:rFonts w:cs="Arial"/>
          <w:szCs w:val="24"/>
        </w:rPr>
        <w:t>.</w:t>
      </w:r>
    </w:p>
    <w:p w14:paraId="1279D369" w14:textId="4D9BB155" w:rsidR="00897F8D" w:rsidRDefault="00897F8D" w:rsidP="000049BC">
      <w:pPr>
        <w:spacing w:after="240"/>
        <w:rPr>
          <w:rFonts w:cs="Arial"/>
          <w:szCs w:val="24"/>
        </w:rPr>
      </w:pPr>
      <w:r>
        <w:t xml:space="preserve">The successful bidder must adhere to the CDE Approval Schedule Requirements as stated in </w:t>
      </w:r>
      <w:r w:rsidRPr="000049BC">
        <w:t xml:space="preserve">Task 1.5 – </w:t>
      </w:r>
      <w:r w:rsidRPr="00467E3D">
        <w:rPr>
          <w:snapToGrid w:val="0"/>
        </w:rPr>
        <w:t>CDE Approval Schedule Requirements</w:t>
      </w:r>
      <w:r>
        <w:rPr>
          <w:snapToGrid w:val="0"/>
        </w:rPr>
        <w:t xml:space="preserve"> </w:t>
      </w:r>
      <w:r>
        <w:t>for generating and delivering required reports/deliverables.</w:t>
      </w:r>
    </w:p>
    <w:p w14:paraId="3C30044B" w14:textId="54B5535D" w:rsidR="000049BC" w:rsidRDefault="000049BC" w:rsidP="000049BC">
      <w:pPr>
        <w:spacing w:after="240"/>
        <w:rPr>
          <w:rFonts w:cs="Arial"/>
        </w:rPr>
      </w:pPr>
      <w:r>
        <w:rPr>
          <w:rFonts w:cs="Arial"/>
        </w:rPr>
        <w:t xml:space="preserve">For all meetings outlined in Task </w:t>
      </w:r>
      <w:r w:rsidR="00897F8D">
        <w:rPr>
          <w:rFonts w:cs="Arial"/>
        </w:rPr>
        <w:t xml:space="preserve">5 </w:t>
      </w:r>
      <w:r>
        <w:rPr>
          <w:rFonts w:cs="Arial"/>
        </w:rPr>
        <w:t xml:space="preserve">and </w:t>
      </w:r>
      <w:r w:rsidR="00897F8D">
        <w:rPr>
          <w:rFonts w:cs="Arial"/>
        </w:rPr>
        <w:t>I</w:t>
      </w:r>
      <w:r w:rsidRPr="001D345A">
        <w:rPr>
          <w:rFonts w:cs="Arial"/>
        </w:rPr>
        <w:t>n accordance with any recommendation(s) or order(s) contained in a Governor’s executive order, an advisory or order of the California Department of Public Health, or an advisory or order of a county health department with authority over the area in which this contract is to be performed or an advisory or order of a law enforcement authority, the in-person meetings may be cancelled or changed to a virtual meeting at the discretion of the CDE. Therefore, any announcement for the event must state that the event may be in-person, virtual, or both. The CDE cannot reimburse the Contractor for any cancellation fees, deposit or pre-payments under any circumstances, even if the CDE decides to cancel the event</w:t>
      </w:r>
      <w:r>
        <w:rPr>
          <w:rFonts w:cs="Arial"/>
        </w:rPr>
        <w:t>.</w:t>
      </w:r>
    </w:p>
    <w:p w14:paraId="6803F488" w14:textId="77777777" w:rsidR="00897F8D" w:rsidRPr="005117C7" w:rsidRDefault="00897F8D" w:rsidP="00897F8D">
      <w:pPr>
        <w:rPr>
          <w:rFonts w:eastAsia="Arial" w:cs="Arial"/>
          <w:color w:val="000000" w:themeColor="text1"/>
          <w:szCs w:val="24"/>
        </w:rPr>
      </w:pPr>
      <w:r w:rsidRPr="7F38F6A5">
        <w:rPr>
          <w:rFonts w:eastAsia="Arial" w:cs="Arial"/>
          <w:color w:val="000000" w:themeColor="text1"/>
          <w:szCs w:val="24"/>
        </w:rPr>
        <w:t xml:space="preserve">The Technical Proposal must include a detailed process for how the successful bidder will carry out the following: </w:t>
      </w:r>
    </w:p>
    <w:p w14:paraId="7AC8F69F" w14:textId="77777777" w:rsidR="00897F8D" w:rsidRPr="005117C7" w:rsidRDefault="00897F8D" w:rsidP="00897F8D">
      <w:pPr>
        <w:rPr>
          <w:rFonts w:eastAsia="Arial" w:cs="Arial"/>
          <w:color w:val="000000" w:themeColor="text1"/>
          <w:szCs w:val="24"/>
        </w:rPr>
      </w:pPr>
      <w:r w:rsidRPr="7F38F6A5">
        <w:rPr>
          <w:rFonts w:eastAsia="Arial" w:cs="Arial"/>
          <w:color w:val="000000" w:themeColor="text1"/>
          <w:szCs w:val="24"/>
        </w:rPr>
        <w:t xml:space="preserve"> </w:t>
      </w:r>
    </w:p>
    <w:p w14:paraId="0AAA1D36" w14:textId="77777777" w:rsidR="00897F8D" w:rsidRPr="005117C7" w:rsidRDefault="00897F8D" w:rsidP="00897F8D">
      <w:pPr>
        <w:pStyle w:val="ListParagraph"/>
        <w:numPr>
          <w:ilvl w:val="0"/>
          <w:numId w:val="64"/>
        </w:numPr>
        <w:spacing w:after="240"/>
        <w:contextualSpacing w:val="0"/>
        <w:rPr>
          <w:rFonts w:eastAsia="Arial" w:cs="Arial"/>
          <w:szCs w:val="24"/>
        </w:rPr>
      </w:pPr>
      <w:r w:rsidRPr="7F38F6A5">
        <w:rPr>
          <w:rFonts w:eastAsia="Arial" w:cs="Arial"/>
          <w:szCs w:val="24"/>
        </w:rPr>
        <w:t>Provide weekly updates and analysis on pertinent action and guidance from federal agencies relating to such programs as federal COVID-19 relief funding, Title I, child nutrition, special education, and Charter School Programs.</w:t>
      </w:r>
    </w:p>
    <w:p w14:paraId="3B2F6660" w14:textId="77777777" w:rsidR="00897F8D" w:rsidRPr="005117C7" w:rsidRDefault="00897F8D" w:rsidP="00897F8D">
      <w:pPr>
        <w:pStyle w:val="ListParagraph"/>
        <w:numPr>
          <w:ilvl w:val="0"/>
          <w:numId w:val="64"/>
        </w:numPr>
        <w:spacing w:after="240"/>
        <w:contextualSpacing w:val="0"/>
        <w:rPr>
          <w:rFonts w:eastAsia="Arial" w:cs="Arial"/>
          <w:szCs w:val="24"/>
        </w:rPr>
      </w:pPr>
      <w:r w:rsidRPr="7F38F6A5">
        <w:rPr>
          <w:rFonts w:eastAsia="Arial" w:cs="Arial"/>
          <w:szCs w:val="24"/>
        </w:rPr>
        <w:t>Establish a working relationship with the programs and personnel of the federal agencies involved in education to ensure meaningful participation by the CDE and the SSPI in the development and interpretation of policies and regulations, and to identify appropriate solutions to problems as they occur.</w:t>
      </w:r>
    </w:p>
    <w:p w14:paraId="24774ED6" w14:textId="77777777" w:rsidR="00897F8D" w:rsidRPr="005117C7" w:rsidRDefault="00897F8D" w:rsidP="00897F8D">
      <w:pPr>
        <w:pStyle w:val="ListParagraph"/>
        <w:numPr>
          <w:ilvl w:val="0"/>
          <w:numId w:val="64"/>
        </w:numPr>
        <w:spacing w:after="240"/>
        <w:contextualSpacing w:val="0"/>
        <w:rPr>
          <w:rFonts w:eastAsia="Arial" w:cs="Arial"/>
          <w:szCs w:val="24"/>
        </w:rPr>
      </w:pPr>
      <w:r w:rsidRPr="7F38F6A5">
        <w:rPr>
          <w:rFonts w:eastAsia="Arial" w:cs="Arial"/>
          <w:szCs w:val="24"/>
        </w:rPr>
        <w:t>Work with the federal agencies with monitoring responsibilities prior to and at the initial stages of the identification of compliance problems to resolve any issues of noncompliance in an informal manner.</w:t>
      </w:r>
    </w:p>
    <w:p w14:paraId="1018390B" w14:textId="77777777" w:rsidR="00897F8D" w:rsidRPr="005117C7" w:rsidRDefault="00897F8D" w:rsidP="00897F8D">
      <w:pPr>
        <w:pStyle w:val="ListParagraph"/>
        <w:numPr>
          <w:ilvl w:val="0"/>
          <w:numId w:val="64"/>
        </w:numPr>
        <w:spacing w:after="240"/>
        <w:contextualSpacing w:val="0"/>
        <w:rPr>
          <w:rFonts w:eastAsia="Arial" w:cs="Arial"/>
          <w:szCs w:val="24"/>
        </w:rPr>
      </w:pPr>
      <w:r w:rsidRPr="7F38F6A5">
        <w:rPr>
          <w:rFonts w:eastAsia="Arial" w:cs="Arial"/>
          <w:szCs w:val="24"/>
        </w:rPr>
        <w:t>Work with federal agencies with respect to issues arising from federal compliance reviews or audits and facilitate any compliance or audit negotiations on behalf of the CDE.</w:t>
      </w:r>
    </w:p>
    <w:p w14:paraId="0C51118C" w14:textId="77777777" w:rsidR="00897F8D" w:rsidRPr="005117C7" w:rsidRDefault="00897F8D" w:rsidP="00897F8D">
      <w:pPr>
        <w:pStyle w:val="ListParagraph"/>
        <w:numPr>
          <w:ilvl w:val="0"/>
          <w:numId w:val="64"/>
        </w:numPr>
        <w:spacing w:after="240"/>
        <w:contextualSpacing w:val="0"/>
        <w:rPr>
          <w:rFonts w:eastAsia="Arial" w:cs="Arial"/>
          <w:szCs w:val="24"/>
        </w:rPr>
      </w:pPr>
      <w:r w:rsidRPr="7F38F6A5">
        <w:rPr>
          <w:rFonts w:eastAsia="Arial" w:cs="Arial"/>
          <w:szCs w:val="24"/>
        </w:rPr>
        <w:t>Work with federal agencies responsible for the approval of state plans on issues of concern and/or disagreement and negotiate an acceptable solution.</w:t>
      </w:r>
    </w:p>
    <w:p w14:paraId="1D1AE454" w14:textId="77777777" w:rsidR="00897F8D" w:rsidRPr="005117C7" w:rsidRDefault="00897F8D" w:rsidP="00897F8D">
      <w:pPr>
        <w:pStyle w:val="ListParagraph"/>
        <w:numPr>
          <w:ilvl w:val="0"/>
          <w:numId w:val="64"/>
        </w:numPr>
        <w:spacing w:after="240"/>
        <w:contextualSpacing w:val="0"/>
        <w:rPr>
          <w:rFonts w:eastAsia="Arial" w:cs="Arial"/>
          <w:szCs w:val="24"/>
        </w:rPr>
      </w:pPr>
      <w:r w:rsidRPr="7F38F6A5">
        <w:rPr>
          <w:rFonts w:eastAsia="Arial" w:cs="Arial"/>
          <w:szCs w:val="24"/>
        </w:rPr>
        <w:t>Coordinate communications between the CDE and representatives of the federal agencies.</w:t>
      </w:r>
    </w:p>
    <w:p w14:paraId="2BB63466" w14:textId="77777777" w:rsidR="00897F8D" w:rsidRPr="005117C7" w:rsidRDefault="00897F8D" w:rsidP="00897F8D">
      <w:pPr>
        <w:pStyle w:val="ListParagraph"/>
        <w:numPr>
          <w:ilvl w:val="0"/>
          <w:numId w:val="64"/>
        </w:numPr>
        <w:spacing w:after="240"/>
        <w:contextualSpacing w:val="0"/>
        <w:rPr>
          <w:rFonts w:eastAsia="Arial" w:cs="Arial"/>
          <w:szCs w:val="24"/>
        </w:rPr>
      </w:pPr>
      <w:r w:rsidRPr="7F38F6A5">
        <w:rPr>
          <w:rFonts w:eastAsia="Arial" w:cs="Arial"/>
          <w:szCs w:val="24"/>
        </w:rPr>
        <w:t xml:space="preserve">Provide advice to the CDE with respect to federal compliance and monitoring issues, </w:t>
      </w:r>
      <w:proofErr w:type="gramStart"/>
      <w:r w:rsidRPr="7F38F6A5">
        <w:rPr>
          <w:rFonts w:eastAsia="Arial" w:cs="Arial"/>
          <w:szCs w:val="24"/>
        </w:rPr>
        <w:t>as well as,</w:t>
      </w:r>
      <w:proofErr w:type="gramEnd"/>
      <w:r w:rsidRPr="7F38F6A5">
        <w:rPr>
          <w:rFonts w:eastAsia="Arial" w:cs="Arial"/>
          <w:szCs w:val="24"/>
        </w:rPr>
        <w:t xml:space="preserve"> audit issues.</w:t>
      </w:r>
    </w:p>
    <w:p w14:paraId="0804E448" w14:textId="77777777" w:rsidR="00897F8D" w:rsidRPr="00972EC8" w:rsidRDefault="00897F8D" w:rsidP="00897F8D">
      <w:pPr>
        <w:pStyle w:val="ListParagraph"/>
        <w:numPr>
          <w:ilvl w:val="0"/>
          <w:numId w:val="64"/>
        </w:numPr>
        <w:spacing w:after="240"/>
        <w:contextualSpacing w:val="0"/>
        <w:rPr>
          <w:rFonts w:eastAsia="Arial" w:cs="Arial"/>
          <w:szCs w:val="24"/>
        </w:rPr>
      </w:pPr>
      <w:r w:rsidRPr="7F38F6A5">
        <w:rPr>
          <w:rFonts w:eastAsia="Arial" w:cs="Arial"/>
          <w:szCs w:val="24"/>
        </w:rPr>
        <w:lastRenderedPageBreak/>
        <w:t xml:space="preserve">Assist the CDE with organizing meetings and appointments in Washington, D.C. </w:t>
      </w:r>
      <w:r w:rsidRPr="00972EC8">
        <w:rPr>
          <w:rFonts w:eastAsia="Arial" w:cs="Arial"/>
          <w:szCs w:val="24"/>
        </w:rPr>
        <w:t>This would</w:t>
      </w:r>
      <w:r w:rsidRPr="00897F8D">
        <w:rPr>
          <w:rFonts w:eastAsia="Arial" w:cs="Arial"/>
          <w:szCs w:val="24"/>
        </w:rPr>
        <w:t xml:space="preserve"> include</w:t>
      </w:r>
      <w:r w:rsidRPr="00972EC8">
        <w:rPr>
          <w:rFonts w:eastAsia="Arial" w:cs="Arial"/>
          <w:szCs w:val="24"/>
        </w:rPr>
        <w:t xml:space="preserve">, but not be limited to, organizing direct meetings between congressional members and/or heads of federal agencies and </w:t>
      </w:r>
      <w:proofErr w:type="gramStart"/>
      <w:r w:rsidRPr="00972EC8">
        <w:rPr>
          <w:rFonts w:eastAsia="Arial" w:cs="Arial"/>
          <w:szCs w:val="24"/>
        </w:rPr>
        <w:t>the SSPI</w:t>
      </w:r>
      <w:proofErr w:type="gramEnd"/>
      <w:r w:rsidRPr="00972EC8">
        <w:rPr>
          <w:rFonts w:eastAsia="Arial" w:cs="Arial"/>
          <w:szCs w:val="24"/>
        </w:rPr>
        <w:t>.</w:t>
      </w:r>
    </w:p>
    <w:p w14:paraId="3EB64C9D" w14:textId="77777777" w:rsidR="00897F8D" w:rsidRPr="00972EC8" w:rsidRDefault="00897F8D" w:rsidP="00897F8D">
      <w:pPr>
        <w:pStyle w:val="ListParagraph"/>
        <w:numPr>
          <w:ilvl w:val="0"/>
          <w:numId w:val="64"/>
        </w:numPr>
        <w:spacing w:after="240"/>
        <w:contextualSpacing w:val="0"/>
        <w:rPr>
          <w:rFonts w:eastAsia="Arial" w:cs="Arial"/>
          <w:szCs w:val="24"/>
        </w:rPr>
      </w:pPr>
      <w:r w:rsidRPr="00972EC8">
        <w:rPr>
          <w:rFonts w:eastAsia="Arial" w:cs="Arial"/>
          <w:szCs w:val="24"/>
        </w:rPr>
        <w:t xml:space="preserve">Provide direct briefings to the SSPI and any other relevant CDE staff for any issues that the federal policy liaison and GAD Director </w:t>
      </w:r>
      <w:r w:rsidRPr="7F38F6A5">
        <w:rPr>
          <w:rFonts w:eastAsia="Arial" w:cs="Arial"/>
          <w:szCs w:val="24"/>
        </w:rPr>
        <w:t>believe</w:t>
      </w:r>
      <w:r w:rsidRPr="00972EC8">
        <w:rPr>
          <w:rFonts w:eastAsia="Arial" w:cs="Arial"/>
          <w:szCs w:val="24"/>
        </w:rPr>
        <w:t xml:space="preserve"> should be directly communicated to the SSPI.</w:t>
      </w:r>
    </w:p>
    <w:p w14:paraId="6486C051" w14:textId="77777777" w:rsidR="00897F8D" w:rsidRDefault="00897F8D" w:rsidP="000049BC">
      <w:pPr>
        <w:spacing w:after="240"/>
        <w:rPr>
          <w:rFonts w:cs="Arial"/>
        </w:rPr>
      </w:pPr>
    </w:p>
    <w:p w14:paraId="6CA247B3" w14:textId="77777777" w:rsidR="000049BC" w:rsidRDefault="000049BC" w:rsidP="000049BC">
      <w:pPr>
        <w:spacing w:after="240"/>
        <w:rPr>
          <w:rFonts w:cs="Arial"/>
        </w:rPr>
      </w:pPr>
    </w:p>
    <w:p w14:paraId="1A97F3F6" w14:textId="560C9B99" w:rsidR="003D4E25" w:rsidRPr="000049BC" w:rsidRDefault="003D4E25" w:rsidP="000049BC">
      <w:pPr>
        <w:pStyle w:val="ListParagraph"/>
        <w:numPr>
          <w:ilvl w:val="0"/>
          <w:numId w:val="63"/>
        </w:numPr>
        <w:spacing w:after="240"/>
        <w:ind w:left="360"/>
        <w:contextualSpacing w:val="0"/>
        <w:rPr>
          <w:rFonts w:eastAsia="Arial" w:cs="Arial"/>
          <w:szCs w:val="24"/>
        </w:rPr>
      </w:pPr>
      <w:r>
        <w:br w:type="page"/>
      </w:r>
    </w:p>
    <w:p w14:paraId="01219EAD" w14:textId="65561F22" w:rsidR="00537458" w:rsidRDefault="00C426A0" w:rsidP="00E43B4A">
      <w:pPr>
        <w:pStyle w:val="Heading2"/>
      </w:pPr>
      <w:bookmarkStart w:id="13" w:name="_Toc224571227"/>
      <w:r>
        <w:lastRenderedPageBreak/>
        <w:t>8</w:t>
      </w:r>
      <w:r w:rsidR="00537458">
        <w:t xml:space="preserve">. </w:t>
      </w:r>
      <w:r w:rsidR="00537458" w:rsidRPr="007F3BBA">
        <w:t>BUDGET DETAIL AND PAYMENT PROVISIONS</w:t>
      </w:r>
      <w:bookmarkEnd w:id="13"/>
    </w:p>
    <w:p w14:paraId="01D0F398" w14:textId="63033395" w:rsidR="00537458" w:rsidRPr="00C83162" w:rsidRDefault="00C426A0" w:rsidP="00F67ED5">
      <w:pPr>
        <w:pStyle w:val="Heading3"/>
        <w:rPr>
          <w:bCs/>
        </w:rPr>
      </w:pPr>
      <w:bookmarkStart w:id="14" w:name="_Toc500420521"/>
      <w:r>
        <w:t>8</w:t>
      </w:r>
      <w:r w:rsidR="00537458">
        <w:t>.1 Invoicing and Payment</w:t>
      </w:r>
      <w:bookmarkEnd w:id="14"/>
    </w:p>
    <w:p w14:paraId="481DD028" w14:textId="77777777" w:rsidR="00537458" w:rsidRPr="00C83162" w:rsidRDefault="00537458" w:rsidP="00537458">
      <w:pPr>
        <w:pStyle w:val="BodyTextIndent2"/>
        <w:spacing w:before="240" w:after="240"/>
        <w:ind w:left="0"/>
        <w:jc w:val="left"/>
        <w:rPr>
          <w:rFonts w:ascii="Arial" w:hAnsi="Arial" w:cs="Arial"/>
          <w:szCs w:val="24"/>
        </w:rPr>
      </w:pPr>
      <w:r w:rsidRPr="00C83162">
        <w:rPr>
          <w:rFonts w:ascii="Arial" w:hAnsi="Arial" w:cs="Arial"/>
          <w:szCs w:val="24"/>
        </w:rPr>
        <w:t>For services satisfactorily rendered, and upon receipt and approval of the invoices, the State agrees to compensate the Contractor for actual expenditures incurred in accordance with the rates specified herein, which is attached hereto and made a part of this agreement.</w:t>
      </w:r>
    </w:p>
    <w:p w14:paraId="3AC76DE0" w14:textId="61B51318" w:rsidR="00537458" w:rsidRPr="00C83162" w:rsidRDefault="00537458" w:rsidP="00537458">
      <w:pPr>
        <w:spacing w:before="240" w:after="240"/>
        <w:rPr>
          <w:rFonts w:cs="Arial"/>
        </w:rPr>
      </w:pPr>
      <w:r w:rsidRPr="00C83162">
        <w:rPr>
          <w:rFonts w:cs="Arial"/>
        </w:rPr>
        <w:t>Payment of the invoice will not be made until the CDE accepts and approves the invoice</w:t>
      </w:r>
      <w:r w:rsidRPr="00771A39">
        <w:rPr>
          <w:rFonts w:cs="Arial"/>
        </w:rPr>
        <w:t xml:space="preserve">. </w:t>
      </w:r>
      <w:r w:rsidRPr="00C83162">
        <w:rPr>
          <w:rFonts w:cs="Arial"/>
        </w:rPr>
        <w:t>To be approved the invoice must include the level of detail described in the Budget</w:t>
      </w:r>
      <w:r>
        <w:rPr>
          <w:rFonts w:cs="Arial"/>
        </w:rPr>
        <w:t xml:space="preserve"> (Cost Proposal)</w:t>
      </w:r>
      <w:r w:rsidRPr="00C83162">
        <w:rPr>
          <w:rFonts w:cs="Arial"/>
        </w:rPr>
        <w:t xml:space="preserve"> for each task and for the fiscal year in which the expense was incurred. Further, the invoice must be easily comparable by CDE staff to the Budget contained herein. No line item invoiced may exceed the corresponding </w:t>
      </w:r>
      <w:proofErr w:type="gramStart"/>
      <w:r w:rsidRPr="00C83162">
        <w:rPr>
          <w:rFonts w:cs="Arial"/>
        </w:rPr>
        <w:t>line item</w:t>
      </w:r>
      <w:proofErr w:type="gramEnd"/>
      <w:r w:rsidRPr="00C83162">
        <w:rPr>
          <w:rFonts w:cs="Arial"/>
        </w:rPr>
        <w:t xml:space="preserve"> amount stated in the Budget</w:t>
      </w:r>
      <w:r>
        <w:rPr>
          <w:rFonts w:cs="Arial"/>
        </w:rPr>
        <w:t>.</w:t>
      </w:r>
    </w:p>
    <w:p w14:paraId="0FCF05B7" w14:textId="122B363C" w:rsidR="00537458" w:rsidRPr="00B51056" w:rsidRDefault="00537458" w:rsidP="00537458">
      <w:pPr>
        <w:spacing w:before="240" w:after="240"/>
        <w:rPr>
          <w:rFonts w:cs="Arial"/>
          <w:szCs w:val="24"/>
        </w:rPr>
      </w:pPr>
      <w:r w:rsidRPr="00B51056">
        <w:rPr>
          <w:rFonts w:cs="Arial"/>
          <w:szCs w:val="24"/>
        </w:rPr>
        <w:t xml:space="preserve">The </w:t>
      </w:r>
      <w:r w:rsidR="00B120B0">
        <w:rPr>
          <w:rFonts w:cs="Arial"/>
          <w:szCs w:val="24"/>
        </w:rPr>
        <w:t>C</w:t>
      </w:r>
      <w:r w:rsidRPr="00B51056">
        <w:rPr>
          <w:rFonts w:cs="Arial"/>
          <w:szCs w:val="24"/>
        </w:rPr>
        <w:t xml:space="preserve">ontractor must retain and update records and accounts </w:t>
      </w:r>
      <w:proofErr w:type="gramStart"/>
      <w:r w:rsidRPr="00B51056">
        <w:rPr>
          <w:rFonts w:cs="Arial"/>
          <w:szCs w:val="24"/>
        </w:rPr>
        <w:t>on a monthly basis</w:t>
      </w:r>
      <w:proofErr w:type="gramEnd"/>
      <w:r w:rsidRPr="00B51056">
        <w:rPr>
          <w:rFonts w:cs="Arial"/>
          <w:szCs w:val="24"/>
        </w:rPr>
        <w:t xml:space="preserve"> and must be able to prepare and submit statistical, narrative, and/or financial and program reports and summaries related to this contract as requested by </w:t>
      </w:r>
      <w:r>
        <w:rPr>
          <w:rFonts w:cs="Arial"/>
          <w:szCs w:val="24"/>
        </w:rPr>
        <w:t xml:space="preserve">the </w:t>
      </w:r>
      <w:r w:rsidRPr="00B51056">
        <w:rPr>
          <w:rFonts w:cs="Arial"/>
          <w:szCs w:val="24"/>
        </w:rPr>
        <w:t>CDE.</w:t>
      </w:r>
    </w:p>
    <w:p w14:paraId="141B0112" w14:textId="77777777" w:rsidR="00537458" w:rsidRDefault="00537458" w:rsidP="00537458">
      <w:pPr>
        <w:pStyle w:val="BodyTextIndent2"/>
        <w:spacing w:before="240" w:after="240"/>
        <w:ind w:left="0"/>
        <w:jc w:val="left"/>
        <w:rPr>
          <w:rFonts w:ascii="Arial" w:hAnsi="Arial" w:cs="Arial"/>
          <w:szCs w:val="24"/>
        </w:rPr>
      </w:pPr>
      <w:r w:rsidRPr="00B51056">
        <w:rPr>
          <w:rFonts w:ascii="Arial" w:hAnsi="Arial" w:cs="Arial"/>
          <w:szCs w:val="24"/>
        </w:rPr>
        <w:t xml:space="preserve">Invoices shall be itemized per </w:t>
      </w:r>
      <w:r>
        <w:rPr>
          <w:rFonts w:ascii="Arial" w:hAnsi="Arial" w:cs="Arial"/>
          <w:szCs w:val="24"/>
        </w:rPr>
        <w:t>the</w:t>
      </w:r>
      <w:r w:rsidRPr="00B51056">
        <w:rPr>
          <w:rFonts w:ascii="Arial" w:hAnsi="Arial" w:cs="Arial"/>
          <w:szCs w:val="24"/>
        </w:rPr>
        <w:t xml:space="preserve"> Cost Proposal and shall include the </w:t>
      </w:r>
      <w:r w:rsidRPr="001D2E4E">
        <w:rPr>
          <w:rFonts w:ascii="Arial" w:hAnsi="Arial" w:cs="Arial"/>
          <w:bCs/>
          <w:szCs w:val="24"/>
        </w:rPr>
        <w:t>Agreement Number</w:t>
      </w:r>
      <w:r w:rsidRPr="00B51056">
        <w:rPr>
          <w:rFonts w:ascii="Arial" w:hAnsi="Arial" w:cs="Arial"/>
          <w:szCs w:val="24"/>
        </w:rPr>
        <w:t xml:space="preserve">, dates of services, number of hours by job position, other direct expenses as applicable </w:t>
      </w:r>
      <w:r>
        <w:rPr>
          <w:rFonts w:ascii="Arial" w:hAnsi="Arial" w:cs="Arial"/>
          <w:szCs w:val="24"/>
        </w:rPr>
        <w:t>from the Cost Proposal</w:t>
      </w:r>
      <w:r w:rsidRPr="00B51056">
        <w:rPr>
          <w:rFonts w:ascii="Arial" w:hAnsi="Arial" w:cs="Arial"/>
          <w:szCs w:val="24"/>
        </w:rPr>
        <w:t xml:space="preserve">, and shall be submitted in arrears, along with a progress </w:t>
      </w:r>
      <w:r w:rsidRPr="00A83658">
        <w:rPr>
          <w:rFonts w:ascii="Arial" w:hAnsi="Arial" w:cs="Arial"/>
          <w:szCs w:val="24"/>
        </w:rPr>
        <w:t>report (See Task 2.1, Monthly Written Progress Reports), not m</w:t>
      </w:r>
      <w:r w:rsidRPr="00B51056">
        <w:rPr>
          <w:rFonts w:ascii="Arial" w:hAnsi="Arial" w:cs="Arial"/>
          <w:szCs w:val="24"/>
        </w:rPr>
        <w:t>ore frequently than monthly in duplicate to:</w:t>
      </w:r>
    </w:p>
    <w:p w14:paraId="6B04BCDE" w14:textId="02B88A30" w:rsidR="00537458" w:rsidRPr="000259C6" w:rsidRDefault="00537458" w:rsidP="00537458">
      <w:pPr>
        <w:jc w:val="center"/>
      </w:pPr>
      <w:r w:rsidRPr="00FD29F1">
        <w:t>C</w:t>
      </w:r>
      <w:r w:rsidRPr="000259C6">
        <w:t>alifornia Department of Education</w:t>
      </w:r>
    </w:p>
    <w:p w14:paraId="2FCE8CBB" w14:textId="5D5F4596" w:rsidR="00537458" w:rsidRPr="004A656F" w:rsidRDefault="000259C6" w:rsidP="00537458">
      <w:pPr>
        <w:jc w:val="center"/>
      </w:pPr>
      <w:r w:rsidRPr="004A656F">
        <w:t xml:space="preserve">Government Affairs </w:t>
      </w:r>
      <w:r w:rsidR="00537458" w:rsidRPr="004A656F">
        <w:t>Division</w:t>
      </w:r>
    </w:p>
    <w:p w14:paraId="21F9B3FB" w14:textId="290936B6" w:rsidR="00537458" w:rsidRPr="004A656F" w:rsidRDefault="00537458" w:rsidP="00537458">
      <w:pPr>
        <w:jc w:val="center"/>
      </w:pPr>
      <w:r w:rsidRPr="004A656F">
        <w:t xml:space="preserve">1430 N Street, Suite </w:t>
      </w:r>
      <w:r w:rsidR="00B931E4">
        <w:t>5602</w:t>
      </w:r>
    </w:p>
    <w:p w14:paraId="037A7A0E" w14:textId="77777777" w:rsidR="00537458" w:rsidRPr="004A656F" w:rsidRDefault="00537458" w:rsidP="00537458">
      <w:pPr>
        <w:jc w:val="center"/>
      </w:pPr>
      <w:r w:rsidRPr="004A656F">
        <w:t>Sacramento, CA 95814</w:t>
      </w:r>
    </w:p>
    <w:p w14:paraId="094CBFFC" w14:textId="77777777" w:rsidR="000259C6" w:rsidRPr="000259C6" w:rsidRDefault="00537458" w:rsidP="000259C6">
      <w:pPr>
        <w:jc w:val="center"/>
      </w:pPr>
      <w:r w:rsidRPr="004A656F">
        <w:t xml:space="preserve">Attention: </w:t>
      </w:r>
      <w:r w:rsidR="000259C6" w:rsidRPr="000259C6">
        <w:t>Natasha Middleton, Federal Policy Liaison</w:t>
      </w:r>
    </w:p>
    <w:p w14:paraId="5CD9CD02" w14:textId="4AF46BD1" w:rsidR="001E7DBA" w:rsidRPr="001E7DBA" w:rsidRDefault="001E7DBA" w:rsidP="00537458">
      <w:pPr>
        <w:jc w:val="center"/>
        <w:rPr>
          <w:color w:val="FF0000"/>
        </w:rPr>
      </w:pPr>
      <w:r w:rsidRPr="004A656F">
        <w:t>Email:</w:t>
      </w:r>
      <w:r w:rsidRPr="001E7DBA">
        <w:rPr>
          <w:color w:val="FF0000"/>
        </w:rPr>
        <w:t xml:space="preserve"> </w:t>
      </w:r>
      <w:hyperlink r:id="rId38" w:history="1">
        <w:r w:rsidR="000259C6" w:rsidRPr="00710E17">
          <w:rPr>
            <w:rStyle w:val="Hyperlink"/>
          </w:rPr>
          <w:t>nmiddleton@cde.ca.gov</w:t>
        </w:r>
      </w:hyperlink>
      <w:r w:rsidR="000259C6">
        <w:rPr>
          <w:color w:val="FF0000"/>
        </w:rPr>
        <w:t xml:space="preserve"> </w:t>
      </w:r>
    </w:p>
    <w:p w14:paraId="4FF20161" w14:textId="77777777" w:rsidR="00537458" w:rsidRPr="00C83162" w:rsidRDefault="00537458" w:rsidP="00537458">
      <w:pPr>
        <w:pStyle w:val="BodyTextIndent2"/>
        <w:spacing w:before="240" w:after="240"/>
        <w:ind w:left="0"/>
        <w:jc w:val="left"/>
        <w:rPr>
          <w:rFonts w:ascii="Arial" w:hAnsi="Arial" w:cs="Arial"/>
          <w:szCs w:val="24"/>
        </w:rPr>
      </w:pPr>
      <w:r w:rsidRPr="00863501">
        <w:rPr>
          <w:rFonts w:ascii="Arial" w:hAnsi="Arial" w:cs="Arial"/>
          <w:szCs w:val="24"/>
        </w:rPr>
        <w:t xml:space="preserve">Any subcontracts entered into </w:t>
      </w:r>
      <w:proofErr w:type="gramStart"/>
      <w:r w:rsidRPr="00863501">
        <w:rPr>
          <w:rFonts w:ascii="Arial" w:hAnsi="Arial" w:cs="Arial"/>
          <w:szCs w:val="24"/>
        </w:rPr>
        <w:t>as a result of</w:t>
      </w:r>
      <w:proofErr w:type="gramEnd"/>
      <w:r w:rsidRPr="00863501">
        <w:rPr>
          <w:rFonts w:ascii="Arial" w:hAnsi="Arial" w:cs="Arial"/>
          <w:szCs w:val="24"/>
        </w:rPr>
        <w:t xml:space="preserve"> this Agreement shall </w:t>
      </w:r>
      <w:r>
        <w:rPr>
          <w:rFonts w:ascii="Arial" w:hAnsi="Arial" w:cs="Arial"/>
          <w:szCs w:val="24"/>
        </w:rPr>
        <w:t>meet</w:t>
      </w:r>
      <w:r w:rsidRPr="00863501">
        <w:rPr>
          <w:rFonts w:ascii="Arial" w:hAnsi="Arial" w:cs="Arial"/>
          <w:szCs w:val="24"/>
        </w:rPr>
        <w:t xml:space="preserve"> </w:t>
      </w:r>
      <w:proofErr w:type="gramStart"/>
      <w:r w:rsidRPr="00863501">
        <w:rPr>
          <w:rFonts w:ascii="Arial" w:hAnsi="Arial" w:cs="Arial"/>
          <w:szCs w:val="24"/>
        </w:rPr>
        <w:t>all of</w:t>
      </w:r>
      <w:proofErr w:type="gramEnd"/>
      <w:r w:rsidRPr="00863501">
        <w:rPr>
          <w:rFonts w:ascii="Arial" w:hAnsi="Arial" w:cs="Arial"/>
          <w:szCs w:val="24"/>
        </w:rPr>
        <w:t xml:space="preserve"> the provisions of this article.</w:t>
      </w:r>
    </w:p>
    <w:p w14:paraId="122BC6F9" w14:textId="56AC0172" w:rsidR="00537458" w:rsidRPr="00C83162" w:rsidRDefault="00C426A0" w:rsidP="00F67ED5">
      <w:pPr>
        <w:pStyle w:val="Heading3"/>
      </w:pPr>
      <w:r>
        <w:t>8</w:t>
      </w:r>
      <w:r w:rsidR="00537458">
        <w:t>.2</w:t>
      </w:r>
      <w:r w:rsidR="00537458" w:rsidRPr="00C83162">
        <w:t xml:space="preserve"> Payment</w:t>
      </w:r>
    </w:p>
    <w:p w14:paraId="347D050A" w14:textId="77777777" w:rsidR="00537458" w:rsidRDefault="00537458" w:rsidP="00537458">
      <w:pPr>
        <w:pStyle w:val="BodyTextIndent3"/>
        <w:spacing w:before="240" w:after="240"/>
        <w:ind w:left="0" w:firstLine="0"/>
        <w:jc w:val="left"/>
        <w:rPr>
          <w:rFonts w:ascii="Arial" w:hAnsi="Arial" w:cs="Arial"/>
          <w:szCs w:val="24"/>
        </w:rPr>
      </w:pPr>
      <w:r w:rsidRPr="00C83162">
        <w:rPr>
          <w:rFonts w:ascii="Arial" w:hAnsi="Arial" w:cs="Arial"/>
          <w:szCs w:val="24"/>
        </w:rPr>
        <w:t xml:space="preserve">Payment will be made in accordance with, and within the time specified in, </w:t>
      </w:r>
      <w:r w:rsidRPr="00CB1BA1">
        <w:rPr>
          <w:rFonts w:ascii="Arial" w:hAnsi="Arial" w:cs="Arial"/>
          <w:i/>
          <w:szCs w:val="24"/>
        </w:rPr>
        <w:t>Government Code</w:t>
      </w:r>
      <w:r w:rsidRPr="00C83162">
        <w:rPr>
          <w:rFonts w:ascii="Arial" w:hAnsi="Arial" w:cs="Arial"/>
          <w:szCs w:val="24"/>
        </w:rPr>
        <w:t xml:space="preserve"> Chapter 4.5, commencing with Section 927.</w:t>
      </w:r>
    </w:p>
    <w:p w14:paraId="7015FB0A" w14:textId="504C7620" w:rsidR="00AA6376" w:rsidRPr="00826B11" w:rsidRDefault="00AA6376" w:rsidP="00F67ED5">
      <w:pPr>
        <w:pStyle w:val="Heading3"/>
        <w:rPr>
          <w:rFonts w:cs="Arial"/>
          <w:bCs/>
          <w:szCs w:val="28"/>
        </w:rPr>
      </w:pPr>
      <w:bookmarkStart w:id="15" w:name="_Toc500420523"/>
      <w:r>
        <w:t xml:space="preserve">8.3 </w:t>
      </w:r>
      <w:r w:rsidRPr="007F05F9">
        <w:t>B</w:t>
      </w:r>
      <w:r>
        <w:t xml:space="preserve">udget </w:t>
      </w:r>
      <w:r w:rsidRPr="007F05F9">
        <w:t>C</w:t>
      </w:r>
      <w:r>
        <w:t xml:space="preserve">ontingency </w:t>
      </w:r>
      <w:r w:rsidRPr="007F05F9">
        <w:t>C</w:t>
      </w:r>
      <w:r>
        <w:t>lause</w:t>
      </w:r>
      <w:r w:rsidR="00E45035">
        <w:t xml:space="preserve"> (Rev. 04/2025)</w:t>
      </w:r>
    </w:p>
    <w:p w14:paraId="696E0544" w14:textId="77777777" w:rsidR="00E45035" w:rsidRPr="00E45035" w:rsidRDefault="00E45035" w:rsidP="00E45035">
      <w:pPr>
        <w:tabs>
          <w:tab w:val="left" w:pos="720"/>
        </w:tabs>
        <w:autoSpaceDE w:val="0"/>
        <w:autoSpaceDN w:val="0"/>
        <w:adjustRightInd w:val="0"/>
        <w:spacing w:before="240" w:after="240"/>
        <w:ind w:left="360" w:hanging="360"/>
        <w:rPr>
          <w:rFonts w:cs="Arial"/>
        </w:rPr>
      </w:pPr>
      <w:r w:rsidRPr="00E45035">
        <w:rPr>
          <w:rFonts w:cs="Arial"/>
        </w:rPr>
        <w:t>A.</w:t>
      </w:r>
      <w:r w:rsidRPr="00E45035">
        <w:rPr>
          <w:rFonts w:cs="Arial"/>
        </w:rPr>
        <w:tab/>
        <w:t xml:space="preserve">It is mutually understood between the parties that this Agreement may have been written before ascertaining the availability of federal and/or state funds, for the mutual benefit of both parties </w:t>
      </w:r>
      <w:proofErr w:type="gramStart"/>
      <w:r w:rsidRPr="00E45035">
        <w:rPr>
          <w:rFonts w:cs="Arial"/>
        </w:rPr>
        <w:t>in order to</w:t>
      </w:r>
      <w:proofErr w:type="gramEnd"/>
      <w:r w:rsidRPr="00E45035">
        <w:rPr>
          <w:rFonts w:cs="Arial"/>
        </w:rPr>
        <w:t xml:space="preserve"> avoid program and fiscal delays that would occur if the Agreement were executed after that determination was made.</w:t>
      </w:r>
    </w:p>
    <w:p w14:paraId="1CF4D3CE" w14:textId="77777777" w:rsidR="00E45035" w:rsidRPr="00E45035" w:rsidRDefault="00E45035" w:rsidP="00E45035">
      <w:pPr>
        <w:tabs>
          <w:tab w:val="left" w:pos="720"/>
        </w:tabs>
        <w:autoSpaceDE w:val="0"/>
        <w:autoSpaceDN w:val="0"/>
        <w:adjustRightInd w:val="0"/>
        <w:spacing w:before="240" w:after="240"/>
        <w:ind w:left="360" w:hanging="360"/>
        <w:rPr>
          <w:rFonts w:cs="Arial"/>
        </w:rPr>
      </w:pPr>
      <w:r w:rsidRPr="00E45035">
        <w:rPr>
          <w:rFonts w:cs="Arial"/>
        </w:rPr>
        <w:t>B.</w:t>
      </w:r>
      <w:r w:rsidRPr="00E45035">
        <w:rPr>
          <w:rFonts w:cs="Arial"/>
        </w:rPr>
        <w:tab/>
        <w:t xml:space="preserve">This Agreement is valid and enforceable only if sufficient funds are made available to the State by the United States and/or California Government for the purpose of this program. In addition, this Agreement is subject to any additional restrictions, limitations, or conditions, </w:t>
      </w:r>
      <w:r w:rsidRPr="00E45035">
        <w:rPr>
          <w:rFonts w:cs="Arial"/>
        </w:rPr>
        <w:lastRenderedPageBreak/>
        <w:t>imposed by the federal or California government that may affect the provisions, terms or funding of this Agreement in any manner.</w:t>
      </w:r>
    </w:p>
    <w:p w14:paraId="5C2BF1A1" w14:textId="77777777" w:rsidR="00E45035" w:rsidRPr="00E45035" w:rsidRDefault="00E45035" w:rsidP="00E45035">
      <w:pPr>
        <w:tabs>
          <w:tab w:val="left" w:pos="720"/>
        </w:tabs>
        <w:autoSpaceDE w:val="0"/>
        <w:autoSpaceDN w:val="0"/>
        <w:adjustRightInd w:val="0"/>
        <w:spacing w:before="240" w:after="240"/>
        <w:ind w:left="360" w:hanging="360"/>
        <w:rPr>
          <w:rFonts w:cs="Arial"/>
        </w:rPr>
      </w:pPr>
      <w:r w:rsidRPr="00E45035">
        <w:rPr>
          <w:rFonts w:cs="Arial"/>
        </w:rPr>
        <w:t>C.</w:t>
      </w:r>
      <w:r w:rsidRPr="00E45035">
        <w:rPr>
          <w:rFonts w:cs="Arial"/>
        </w:rPr>
        <w:tab/>
        <w:t xml:space="preserve">It is mutually agreed that if the Congress or the State Legislature does not appropriate sufficient funds for the program or the federal or state executive branch does not disburse sufficient funds, this Agreement shall be amended to reflect any reduction in funds </w:t>
      </w:r>
      <w:proofErr w:type="gramStart"/>
      <w:r w:rsidRPr="00E45035">
        <w:rPr>
          <w:rFonts w:cs="Arial"/>
        </w:rPr>
        <w:t>actually received</w:t>
      </w:r>
      <w:proofErr w:type="gramEnd"/>
      <w:r w:rsidRPr="00E45035">
        <w:rPr>
          <w:rFonts w:cs="Arial"/>
        </w:rPr>
        <w:t xml:space="preserve"> by CDE.</w:t>
      </w:r>
    </w:p>
    <w:p w14:paraId="12CC764B" w14:textId="77777777" w:rsidR="00E45035" w:rsidRPr="00E45035" w:rsidRDefault="00E45035" w:rsidP="00E45035">
      <w:pPr>
        <w:tabs>
          <w:tab w:val="left" w:pos="720"/>
        </w:tabs>
        <w:autoSpaceDE w:val="0"/>
        <w:autoSpaceDN w:val="0"/>
        <w:adjustRightInd w:val="0"/>
        <w:spacing w:before="240" w:after="240"/>
        <w:ind w:left="360" w:hanging="360"/>
        <w:rPr>
          <w:rFonts w:cs="Arial"/>
        </w:rPr>
      </w:pPr>
      <w:r w:rsidRPr="00E45035">
        <w:rPr>
          <w:rFonts w:cs="Arial"/>
        </w:rPr>
        <w:t>D.</w:t>
      </w:r>
      <w:r w:rsidRPr="00E45035">
        <w:rPr>
          <w:rFonts w:cs="Arial"/>
        </w:rPr>
        <w:tab/>
        <w:t xml:space="preserve">Pursuant to GC, Section 927.13, no late payment penalty shall accrue during any </w:t>
      </w:r>
      <w:proofErr w:type="gramStart"/>
      <w:r w:rsidRPr="00E45035">
        <w:rPr>
          <w:rFonts w:cs="Arial"/>
        </w:rPr>
        <w:t>time period</w:t>
      </w:r>
      <w:proofErr w:type="gramEnd"/>
      <w:r w:rsidRPr="00E45035">
        <w:rPr>
          <w:rFonts w:cs="Arial"/>
        </w:rPr>
        <w:t xml:space="preserve"> for which there is no Budget Act in effect, nor on any payment or refund that is the result of a federally mandated program or that is directly dependent upon the receipt of funds by a state agency.</w:t>
      </w:r>
    </w:p>
    <w:p w14:paraId="693F44C1" w14:textId="205C9A52" w:rsidR="00AA6376" w:rsidRPr="00C83162" w:rsidRDefault="00E45035" w:rsidP="00E45035">
      <w:pPr>
        <w:tabs>
          <w:tab w:val="left" w:pos="720"/>
        </w:tabs>
        <w:autoSpaceDE w:val="0"/>
        <w:autoSpaceDN w:val="0"/>
        <w:adjustRightInd w:val="0"/>
        <w:spacing w:before="240" w:after="240"/>
        <w:ind w:left="360" w:hanging="360"/>
      </w:pPr>
      <w:r w:rsidRPr="00E45035">
        <w:rPr>
          <w:rFonts w:cs="Arial"/>
        </w:rPr>
        <w:t>E.</w:t>
      </w:r>
      <w:r w:rsidRPr="00E45035">
        <w:rPr>
          <w:rFonts w:cs="Arial"/>
        </w:rPr>
        <w:tab/>
        <w:t xml:space="preserve">CDE has the option to terminate the Agreement under the 30-day termination clause or to amend the Agreement to reflect any reduction in funds that the CDE </w:t>
      </w:r>
      <w:proofErr w:type="gramStart"/>
      <w:r w:rsidRPr="00E45035">
        <w:rPr>
          <w:rFonts w:cs="Arial"/>
        </w:rPr>
        <w:t>actually receives</w:t>
      </w:r>
      <w:proofErr w:type="gramEnd"/>
      <w:r>
        <w:rPr>
          <w:rFonts w:cs="Arial"/>
        </w:rPr>
        <w:t>.</w:t>
      </w:r>
    </w:p>
    <w:p w14:paraId="3B372E85" w14:textId="3A5B91BA" w:rsidR="00537458" w:rsidRPr="00C83162" w:rsidRDefault="00C426A0" w:rsidP="00F67ED5">
      <w:pPr>
        <w:pStyle w:val="Heading3"/>
      </w:pPr>
      <w:r>
        <w:t>8</w:t>
      </w:r>
      <w:r w:rsidR="00537458">
        <w:t>.</w:t>
      </w:r>
      <w:r w:rsidR="00AA6376">
        <w:t xml:space="preserve">4 </w:t>
      </w:r>
      <w:r w:rsidR="00537458" w:rsidRPr="007F05F9">
        <w:t>T</w:t>
      </w:r>
      <w:r w:rsidR="00537458">
        <w:t>ravel</w:t>
      </w:r>
      <w:bookmarkEnd w:id="15"/>
    </w:p>
    <w:p w14:paraId="4F006EA5" w14:textId="56F9F244" w:rsidR="00537458" w:rsidRDefault="00537458" w:rsidP="00537458">
      <w:pPr>
        <w:pStyle w:val="BodyTextIndent3"/>
        <w:widowControl/>
        <w:spacing w:before="240" w:after="240"/>
        <w:ind w:left="0" w:firstLine="0"/>
        <w:jc w:val="left"/>
        <w:rPr>
          <w:rFonts w:ascii="Arial" w:hAnsi="Arial" w:cs="Arial"/>
          <w:szCs w:val="24"/>
        </w:rPr>
      </w:pPr>
      <w:r w:rsidRPr="00C83162">
        <w:rPr>
          <w:rFonts w:ascii="Arial" w:hAnsi="Arial" w:cs="Arial"/>
          <w:szCs w:val="24"/>
        </w:rPr>
        <w:t>All travel costs shall be reimbursed at rates not to exceed those established for CDE’s</w:t>
      </w:r>
      <w:r>
        <w:rPr>
          <w:rFonts w:ascii="Arial" w:hAnsi="Arial" w:cs="Arial"/>
          <w:szCs w:val="24"/>
        </w:rPr>
        <w:t xml:space="preserve"> </w:t>
      </w:r>
      <w:r w:rsidRPr="00C83162">
        <w:rPr>
          <w:rFonts w:ascii="Arial" w:hAnsi="Arial" w:cs="Arial"/>
          <w:szCs w:val="24"/>
        </w:rPr>
        <w:t>non</w:t>
      </w:r>
      <w:r>
        <w:rPr>
          <w:rFonts w:ascii="Arial" w:hAnsi="Arial" w:cs="Arial"/>
          <w:szCs w:val="24"/>
        </w:rPr>
        <w:t>-</w:t>
      </w:r>
      <w:r w:rsidRPr="00C83162">
        <w:rPr>
          <w:rFonts w:ascii="Arial" w:hAnsi="Arial" w:cs="Arial"/>
          <w:szCs w:val="24"/>
        </w:rPr>
        <w:t>represented employees, computed in accordance with and allowable pursuant to applicable California Department of Human Resources regulations.</w:t>
      </w:r>
    </w:p>
    <w:p w14:paraId="415AA256" w14:textId="03C6AF7A" w:rsidR="008D60E8" w:rsidRPr="001C416E" w:rsidRDefault="00AA6376" w:rsidP="00F67ED5">
      <w:pPr>
        <w:pStyle w:val="Heading3"/>
      </w:pPr>
      <w:r>
        <w:t>8</w:t>
      </w:r>
      <w:r w:rsidR="008D60E8">
        <w:t>.5</w:t>
      </w:r>
      <w:r w:rsidR="008D60E8" w:rsidRPr="001C416E">
        <w:tab/>
        <w:t>Prior Approval of Out-of-State Travel</w:t>
      </w:r>
    </w:p>
    <w:p w14:paraId="4D129356" w14:textId="6017F864" w:rsidR="008D60E8" w:rsidRDefault="008D60E8" w:rsidP="008D60E8">
      <w:pPr>
        <w:spacing w:before="240" w:after="240"/>
        <w:rPr>
          <w:rFonts w:cs="Arial"/>
          <w:szCs w:val="24"/>
        </w:rPr>
      </w:pPr>
      <w:r w:rsidRPr="001C416E">
        <w:rPr>
          <w:rFonts w:cs="Arial"/>
          <w:szCs w:val="24"/>
        </w:rPr>
        <w:t xml:space="preserve">All out-of-state travel by the </w:t>
      </w:r>
      <w:r w:rsidR="00EE5ED2">
        <w:rPr>
          <w:rFonts w:cs="Arial"/>
          <w:szCs w:val="24"/>
        </w:rPr>
        <w:t>C</w:t>
      </w:r>
      <w:r w:rsidRPr="001C416E">
        <w:rPr>
          <w:rFonts w:cs="Arial"/>
          <w:szCs w:val="24"/>
        </w:rPr>
        <w:t xml:space="preserve">ontractor or subcontractor(s) for purposes of this contract is subject to prior written approval by the CDE </w:t>
      </w:r>
      <w:r w:rsidR="00EE5ED2">
        <w:rPr>
          <w:rFonts w:cs="Arial"/>
          <w:szCs w:val="24"/>
        </w:rPr>
        <w:t>contract</w:t>
      </w:r>
      <w:r w:rsidRPr="001C416E">
        <w:rPr>
          <w:rFonts w:cs="Arial"/>
          <w:szCs w:val="24"/>
        </w:rPr>
        <w:t xml:space="preserve"> monitor specified in this contract.</w:t>
      </w:r>
    </w:p>
    <w:p w14:paraId="37CEC5B3" w14:textId="6F8D20AF" w:rsidR="00537458" w:rsidRPr="00C83162" w:rsidRDefault="00C426A0" w:rsidP="00F67ED5">
      <w:pPr>
        <w:pStyle w:val="Heading3"/>
        <w:rPr>
          <w:u w:val="single"/>
        </w:rPr>
      </w:pPr>
      <w:r>
        <w:t>8</w:t>
      </w:r>
      <w:r w:rsidR="00537458">
        <w:t>.</w:t>
      </w:r>
      <w:r w:rsidR="00AA6376">
        <w:t>6</w:t>
      </w:r>
      <w:r w:rsidR="00537458">
        <w:t xml:space="preserve"> </w:t>
      </w:r>
      <w:r w:rsidR="00537458" w:rsidRPr="007F05F9">
        <w:t>P</w:t>
      </w:r>
      <w:r w:rsidR="00537458">
        <w:t xml:space="preserve">ayment </w:t>
      </w:r>
      <w:r w:rsidR="00537458" w:rsidRPr="007F05F9">
        <w:t>W</w:t>
      </w:r>
      <w:r w:rsidR="00537458">
        <w:t>ithhold</w:t>
      </w:r>
      <w:r w:rsidR="00537458" w:rsidRPr="007F05F9">
        <w:t xml:space="preserve"> </w:t>
      </w:r>
      <w:r w:rsidR="00537458">
        <w:t>for</w:t>
      </w:r>
      <w:r w:rsidR="00537458" w:rsidRPr="007F05F9">
        <w:t xml:space="preserve"> S</w:t>
      </w:r>
      <w:r w:rsidR="00537458">
        <w:t>eparate and</w:t>
      </w:r>
      <w:r w:rsidR="00537458" w:rsidRPr="007F05F9">
        <w:t xml:space="preserve"> D</w:t>
      </w:r>
      <w:r w:rsidR="00537458">
        <w:t xml:space="preserve">istinct </w:t>
      </w:r>
      <w:r w:rsidR="00537458" w:rsidRPr="007F05F9">
        <w:t>T</w:t>
      </w:r>
      <w:r w:rsidR="00537458">
        <w:t>asks</w:t>
      </w:r>
    </w:p>
    <w:p w14:paraId="12833301" w14:textId="77777777" w:rsidR="00537458" w:rsidRPr="00C83162" w:rsidRDefault="00537458" w:rsidP="00537458">
      <w:pPr>
        <w:tabs>
          <w:tab w:val="left" w:pos="720"/>
        </w:tabs>
        <w:spacing w:before="240" w:after="240"/>
        <w:rPr>
          <w:rFonts w:cs="Arial"/>
          <w:color w:val="000000"/>
          <w:szCs w:val="28"/>
        </w:rPr>
      </w:pPr>
      <w:r w:rsidRPr="00C83162">
        <w:rPr>
          <w:rFonts w:cs="Arial"/>
          <w:iCs/>
          <w:szCs w:val="28"/>
        </w:rPr>
        <w:t>In accordance with Public Contract Code section 10346, the State shall withhold ten percent (10</w:t>
      </w:r>
      <w:r>
        <w:rPr>
          <w:rFonts w:cs="Arial"/>
          <w:iCs/>
          <w:szCs w:val="28"/>
        </w:rPr>
        <w:t xml:space="preserve"> percent</w:t>
      </w:r>
      <w:r w:rsidRPr="00C83162">
        <w:rPr>
          <w:rFonts w:cs="Arial"/>
          <w:iCs/>
          <w:szCs w:val="28"/>
        </w:rPr>
        <w:t xml:space="preserve">) of </w:t>
      </w:r>
      <w:r w:rsidRPr="00C83162">
        <w:rPr>
          <w:rFonts w:cs="Arial"/>
          <w:iCs/>
          <w:color w:val="000000"/>
          <w:szCs w:val="28"/>
        </w:rPr>
        <w:t>each progress</w:t>
      </w:r>
      <w:r w:rsidRPr="00C83162">
        <w:rPr>
          <w:rFonts w:cs="Arial"/>
          <w:iCs/>
          <w:color w:val="FF0000"/>
          <w:szCs w:val="28"/>
        </w:rPr>
        <w:t xml:space="preserve"> </w:t>
      </w:r>
      <w:r w:rsidRPr="00C83162">
        <w:rPr>
          <w:rFonts w:cs="Arial"/>
          <w:iCs/>
          <w:szCs w:val="28"/>
        </w:rPr>
        <w:t xml:space="preserve">payment for each separate and distinct Task. Funds withheld for </w:t>
      </w:r>
      <w:r w:rsidRPr="00C83162">
        <w:rPr>
          <w:rFonts w:cs="Arial"/>
          <w:iCs/>
          <w:color w:val="000000"/>
          <w:szCs w:val="28"/>
        </w:rPr>
        <w:t>each separate and distinct Task will be paid upon satisfactory completion of that Task, as determined by the State. A Task is deemed satisfactorily completed upon acceptance and written approval by the State for all deliverables or services for that Task, including submission of monthly progress reports. The progress reports shall include</w:t>
      </w:r>
      <w:r>
        <w:rPr>
          <w:rFonts w:cs="Arial"/>
          <w:iCs/>
          <w:color w:val="000000"/>
          <w:szCs w:val="28"/>
        </w:rPr>
        <w:t>,</w:t>
      </w:r>
      <w:r w:rsidRPr="00C83162">
        <w:rPr>
          <w:rFonts w:cs="Arial"/>
          <w:iCs/>
          <w:color w:val="000000"/>
          <w:szCs w:val="28"/>
        </w:rPr>
        <w:t xml:space="preserve"> at a minimum: Task number and title; </w:t>
      </w:r>
      <w:proofErr w:type="gramStart"/>
      <w:r w:rsidRPr="00C83162">
        <w:rPr>
          <w:rFonts w:cs="Arial"/>
          <w:iCs/>
          <w:color w:val="000000"/>
          <w:szCs w:val="28"/>
        </w:rPr>
        <w:t>deliverables</w:t>
      </w:r>
      <w:proofErr w:type="gramEnd"/>
      <w:r w:rsidRPr="00C83162">
        <w:rPr>
          <w:rFonts w:cs="Arial"/>
          <w:iCs/>
          <w:color w:val="000000"/>
          <w:szCs w:val="28"/>
        </w:rPr>
        <w:t xml:space="preserve"> or services performed; dates of performance and completion; and the results and progress of the project/work. Those a</w:t>
      </w:r>
      <w:r w:rsidRPr="00C83162">
        <w:rPr>
          <w:rFonts w:cs="Arial"/>
          <w:color w:val="000000"/>
          <w:szCs w:val="28"/>
        </w:rPr>
        <w:t xml:space="preserve">nnual activities that are completed and repeated in their entirety each year shall be considered separate and distinct tasks that are to be </w:t>
      </w:r>
      <w:proofErr w:type="gramStart"/>
      <w:r w:rsidRPr="00C83162">
        <w:rPr>
          <w:rFonts w:cs="Arial"/>
          <w:color w:val="000000"/>
          <w:szCs w:val="28"/>
        </w:rPr>
        <w:t>paid</w:t>
      </w:r>
      <w:proofErr w:type="gramEnd"/>
      <w:r w:rsidRPr="00C83162">
        <w:rPr>
          <w:rFonts w:cs="Arial"/>
          <w:color w:val="000000"/>
          <w:szCs w:val="28"/>
        </w:rPr>
        <w:t xml:space="preserve"> in full following satisfactory completio</w:t>
      </w:r>
      <w:r>
        <w:rPr>
          <w:rFonts w:cs="Arial"/>
          <w:color w:val="000000"/>
          <w:szCs w:val="28"/>
        </w:rPr>
        <w:t>n in each year of the contract.</w:t>
      </w:r>
    </w:p>
    <w:p w14:paraId="4E487212" w14:textId="0DE2BC92" w:rsidR="00537458" w:rsidRDefault="00537458" w:rsidP="00537458">
      <w:pPr>
        <w:tabs>
          <w:tab w:val="left" w:pos="720"/>
        </w:tabs>
        <w:spacing w:before="240" w:after="240"/>
        <w:rPr>
          <w:rFonts w:cs="Arial"/>
          <w:color w:val="000000"/>
          <w:szCs w:val="28"/>
        </w:rPr>
      </w:pPr>
      <w:r w:rsidRPr="00C83162">
        <w:rPr>
          <w:rFonts w:cs="Arial"/>
          <w:color w:val="000000"/>
          <w:szCs w:val="28"/>
        </w:rPr>
        <w:t>Final Payment is not a progress payment and is not subject to the 10</w:t>
      </w:r>
      <w:r>
        <w:rPr>
          <w:rFonts w:cs="Arial"/>
          <w:color w:val="000000"/>
          <w:szCs w:val="28"/>
        </w:rPr>
        <w:t xml:space="preserve"> percent</w:t>
      </w:r>
      <w:r w:rsidRPr="00C83162">
        <w:rPr>
          <w:rFonts w:cs="Arial"/>
          <w:color w:val="000000"/>
          <w:szCs w:val="28"/>
        </w:rPr>
        <w:t xml:space="preserve"> withholding.</w:t>
      </w:r>
    </w:p>
    <w:p w14:paraId="4E68F2A6" w14:textId="3EF5F2E2" w:rsidR="00075567" w:rsidRDefault="00075567" w:rsidP="00537458">
      <w:pPr>
        <w:tabs>
          <w:tab w:val="left" w:pos="720"/>
        </w:tabs>
        <w:spacing w:before="240" w:after="240"/>
        <w:rPr>
          <w:rFonts w:cs="Arial"/>
          <w:color w:val="000000"/>
          <w:szCs w:val="28"/>
        </w:rPr>
      </w:pPr>
      <w:r>
        <w:rPr>
          <w:rFonts w:cs="Arial"/>
          <w:color w:val="000000"/>
          <w:szCs w:val="28"/>
        </w:rPr>
        <w:t>Final invoice will be submitted with the Contract/Contractor Evaluation (STD. 4) form by the CDE Contract Monitor. (See RFP Section 11.1 Contractor Evaluation)</w:t>
      </w:r>
    </w:p>
    <w:p w14:paraId="2C1931B7" w14:textId="38457641" w:rsidR="00CA472D" w:rsidRPr="00F130CD" w:rsidRDefault="00CA472D" w:rsidP="00F67ED5">
      <w:pPr>
        <w:pStyle w:val="Heading3"/>
      </w:pPr>
      <w:r>
        <w:rPr>
          <w:rFonts w:cs="Arial"/>
          <w:color w:val="000000"/>
          <w:szCs w:val="28"/>
        </w:rPr>
        <w:t xml:space="preserve">8.7 </w:t>
      </w:r>
      <w:r>
        <w:t>DVBE</w:t>
      </w:r>
      <w:r w:rsidRPr="00F130CD">
        <w:t xml:space="preserve"> Participation Withhold</w:t>
      </w:r>
    </w:p>
    <w:p w14:paraId="5D94FAF7" w14:textId="5538CC4D" w:rsidR="00CA472D" w:rsidRDefault="00CA472D" w:rsidP="00CA472D">
      <w:pPr>
        <w:pStyle w:val="ListParagraph"/>
        <w:spacing w:after="240"/>
        <w:ind w:left="0"/>
        <w:contextualSpacing w:val="0"/>
        <w:rPr>
          <w:rFonts w:cs="Arial"/>
        </w:rPr>
      </w:pPr>
      <w:bookmarkStart w:id="16" w:name="_Hlk90642265"/>
      <w:r w:rsidRPr="00C83162">
        <w:rPr>
          <w:rFonts w:cs="Arial"/>
        </w:rPr>
        <w:lastRenderedPageBreak/>
        <w:t xml:space="preserve">In accordance with the requirements set forth in the </w:t>
      </w:r>
      <w:r>
        <w:rPr>
          <w:rFonts w:cs="Arial"/>
        </w:rPr>
        <w:t>Military and Veterans</w:t>
      </w:r>
      <w:r w:rsidRPr="00C83162">
        <w:rPr>
          <w:rFonts w:cs="Arial"/>
        </w:rPr>
        <w:t xml:space="preserve"> Code</w:t>
      </w:r>
      <w:r>
        <w:rPr>
          <w:rFonts w:cs="Arial"/>
        </w:rPr>
        <w:t xml:space="preserve"> (MVC)</w:t>
      </w:r>
      <w:r w:rsidRPr="00C83162">
        <w:rPr>
          <w:rFonts w:cs="Arial"/>
        </w:rPr>
        <w:t xml:space="preserve">, Section </w:t>
      </w:r>
      <w:r>
        <w:rPr>
          <w:rFonts w:cs="Arial"/>
        </w:rPr>
        <w:t>999.7</w:t>
      </w:r>
      <w:r w:rsidRPr="00C83162">
        <w:rPr>
          <w:rFonts w:cs="Arial"/>
        </w:rPr>
        <w:t xml:space="preserve">, the State shall withhold from the </w:t>
      </w:r>
      <w:r>
        <w:rPr>
          <w:rFonts w:cs="Arial"/>
        </w:rPr>
        <w:t>final</w:t>
      </w:r>
      <w:r w:rsidRPr="00C83162">
        <w:rPr>
          <w:rFonts w:cs="Arial"/>
        </w:rPr>
        <w:t xml:space="preserve"> payment amount to the Contractor, </w:t>
      </w:r>
      <w:r>
        <w:rPr>
          <w:rFonts w:cs="Arial"/>
        </w:rPr>
        <w:t xml:space="preserve">$10,000.00, or the full final payment if less than $10,000.00, until the prime Contractor complies with the certification requirements of MVC 999.5(d) by submitting to the State a completed </w:t>
      </w:r>
      <w:r>
        <w:t xml:space="preserve">an accurate Prime Contractor’s Certification – DVBE Subcontracting Report (STD. 817) form and proof of payment to DVBE(s). </w:t>
      </w:r>
      <w:r w:rsidRPr="00C83162">
        <w:rPr>
          <w:rFonts w:cs="Arial"/>
        </w:rPr>
        <w:t xml:space="preserve">Such retained amount shall be held by the State and shall be released pending </w:t>
      </w:r>
      <w:r>
        <w:t>receipt of a complete and accurate STD. 817 and proof of payment to the DVBE(s).</w:t>
      </w:r>
      <w:r w:rsidRPr="00E46A34">
        <w:rPr>
          <w:rFonts w:cs="Arial"/>
          <w:szCs w:val="24"/>
        </w:rPr>
        <w:t xml:space="preserve"> </w:t>
      </w:r>
      <w:r>
        <w:rPr>
          <w:rFonts w:cs="Arial"/>
          <w:szCs w:val="24"/>
        </w:rPr>
        <w:t>If the S</w:t>
      </w:r>
      <w:r w:rsidR="002D2C28">
        <w:rPr>
          <w:rFonts w:cs="Arial"/>
          <w:szCs w:val="24"/>
        </w:rPr>
        <w:t>TD</w:t>
      </w:r>
      <w:r>
        <w:rPr>
          <w:rFonts w:cs="Arial"/>
          <w:szCs w:val="24"/>
        </w:rPr>
        <w:t xml:space="preserve">. 817 form is late or incomplete, the State will allow the Contractor to cure within 30 days to meet the certification requirements. If the Contractor does not comply by the given deadline, the withheld amount will be permanently deducted. </w:t>
      </w:r>
      <w:r w:rsidRPr="00C83162">
        <w:rPr>
          <w:rFonts w:cs="Arial"/>
        </w:rPr>
        <w:t xml:space="preserve">(See </w:t>
      </w:r>
      <w:r w:rsidR="002D2C28">
        <w:rPr>
          <w:rFonts w:cs="Arial"/>
        </w:rPr>
        <w:t>RFP Section 11.10</w:t>
      </w:r>
      <w:r>
        <w:rPr>
          <w:rFonts w:cs="Arial"/>
        </w:rPr>
        <w:t xml:space="preserve"> </w:t>
      </w:r>
      <w:r w:rsidRPr="002D2C28">
        <w:t>Contract Requirements Related to DVBE Participation Compliance</w:t>
      </w:r>
      <w:r w:rsidRPr="00C83162">
        <w:rPr>
          <w:rFonts w:cs="Arial"/>
        </w:rPr>
        <w:t>)</w:t>
      </w:r>
    </w:p>
    <w:bookmarkEnd w:id="16"/>
    <w:p w14:paraId="4C4D0C08" w14:textId="37838D3A" w:rsidR="00537458" w:rsidRPr="00B51056" w:rsidRDefault="00C426A0" w:rsidP="00F67ED5">
      <w:pPr>
        <w:pStyle w:val="Heading3"/>
      </w:pPr>
      <w:r>
        <w:t>8</w:t>
      </w:r>
      <w:r w:rsidR="00537458">
        <w:t>.</w:t>
      </w:r>
      <w:r w:rsidR="00CA472D">
        <w:t xml:space="preserve">8 </w:t>
      </w:r>
      <w:r w:rsidR="00537458" w:rsidRPr="00B51056">
        <w:t>Excise Tax</w:t>
      </w:r>
    </w:p>
    <w:p w14:paraId="42D37389" w14:textId="77777777" w:rsidR="00537458" w:rsidRDefault="00537458" w:rsidP="00537458">
      <w:pPr>
        <w:spacing w:before="240" w:after="240"/>
        <w:rPr>
          <w:rFonts w:cs="Arial"/>
          <w:szCs w:val="24"/>
        </w:rPr>
      </w:pPr>
      <w:r w:rsidRPr="00B51056">
        <w:rPr>
          <w:rFonts w:cs="Arial"/>
          <w:szCs w:val="24"/>
        </w:rPr>
        <w:t>The State of California is exempt from federal excise taxes, and no payment will be made for any taxes levied on employees’ wages. California may pay any applicable sales and use tax imposed by another state.</w:t>
      </w:r>
    </w:p>
    <w:p w14:paraId="45042670" w14:textId="4CCDC9AE" w:rsidR="00537458" w:rsidRDefault="00C426A0" w:rsidP="00F67ED5">
      <w:pPr>
        <w:pStyle w:val="Heading3"/>
      </w:pPr>
      <w:r>
        <w:rPr>
          <w:rFonts w:cs="Arial"/>
          <w:szCs w:val="24"/>
        </w:rPr>
        <w:t>8</w:t>
      </w:r>
      <w:r w:rsidR="00537458">
        <w:rPr>
          <w:rFonts w:cs="Arial"/>
          <w:szCs w:val="24"/>
        </w:rPr>
        <w:t>.</w:t>
      </w:r>
      <w:r w:rsidR="00CA472D">
        <w:rPr>
          <w:rFonts w:cs="Arial"/>
          <w:szCs w:val="24"/>
        </w:rPr>
        <w:t xml:space="preserve">9 </w:t>
      </w:r>
      <w:r w:rsidR="00537458">
        <w:t>Option to Renew</w:t>
      </w:r>
    </w:p>
    <w:p w14:paraId="4B435E18" w14:textId="6CD75C18" w:rsidR="00537458" w:rsidRDefault="00537458" w:rsidP="00537458">
      <w:pPr>
        <w:spacing w:after="240"/>
      </w:pPr>
      <w:r w:rsidRPr="00117BF5">
        <w:t>At the sole discre</w:t>
      </w:r>
      <w:r w:rsidRPr="000259C6">
        <w:t xml:space="preserve">tion of the CDE, the contract may be extended by written agreement and formal amendment between the parties, </w:t>
      </w:r>
      <w:r w:rsidRPr="004A656F">
        <w:t xml:space="preserve">for an additional year beginning </w:t>
      </w:r>
      <w:r w:rsidR="000259C6" w:rsidRPr="004A656F">
        <w:t>January</w:t>
      </w:r>
      <w:r w:rsidRPr="004A656F">
        <w:t xml:space="preserve"> 1, </w:t>
      </w:r>
      <w:proofErr w:type="gramStart"/>
      <w:r w:rsidRPr="004A656F">
        <w:t>202</w:t>
      </w:r>
      <w:r w:rsidR="000259C6" w:rsidRPr="004A656F">
        <w:t>9</w:t>
      </w:r>
      <w:proofErr w:type="gramEnd"/>
      <w:r w:rsidRPr="004A656F">
        <w:t xml:space="preserve"> through </w:t>
      </w:r>
      <w:r w:rsidR="000259C6" w:rsidRPr="004A656F">
        <w:t>December</w:t>
      </w:r>
      <w:r w:rsidRPr="004A656F">
        <w:t xml:space="preserve"> 31, 20</w:t>
      </w:r>
      <w:r w:rsidR="000259C6" w:rsidRPr="004A656F">
        <w:t>29</w:t>
      </w:r>
      <w:r w:rsidRPr="004A656F">
        <w:t>, covering portions of 202</w:t>
      </w:r>
      <w:r w:rsidR="000259C6" w:rsidRPr="004A656F">
        <w:t>8</w:t>
      </w:r>
      <w:r w:rsidRPr="004A656F">
        <w:t>-2</w:t>
      </w:r>
      <w:r w:rsidR="000259C6" w:rsidRPr="004A656F">
        <w:t>9</w:t>
      </w:r>
      <w:r w:rsidRPr="004A656F">
        <w:t xml:space="preserve"> and 202</w:t>
      </w:r>
      <w:r w:rsidR="000259C6" w:rsidRPr="004A656F">
        <w:t>9</w:t>
      </w:r>
      <w:r w:rsidRPr="004A656F">
        <w:t>-</w:t>
      </w:r>
      <w:r w:rsidR="000259C6" w:rsidRPr="004A656F">
        <w:t>30</w:t>
      </w:r>
      <w:r w:rsidRPr="004A656F">
        <w:t xml:space="preserve"> fiscal years</w:t>
      </w:r>
      <w:r w:rsidRPr="000259C6">
        <w:t>, at the same or lower rates, under the same terms.</w:t>
      </w:r>
    </w:p>
    <w:p w14:paraId="696626CD" w14:textId="79365393" w:rsidR="0036147F" w:rsidRPr="00117BF5" w:rsidRDefault="0036147F" w:rsidP="0036147F">
      <w:pPr>
        <w:spacing w:after="240"/>
      </w:pPr>
      <w:r>
        <w:t>Additionally, a</w:t>
      </w:r>
      <w:r w:rsidRPr="00A0158A">
        <w:t xml:space="preserve">t the sole discretion of the CDE, the contract may be extended by written agreement and formal amendment between the parties, for </w:t>
      </w:r>
      <w:r>
        <w:t>a second</w:t>
      </w:r>
      <w:r w:rsidRPr="00A0158A">
        <w:t xml:space="preserve"> additional year beginning January 1, </w:t>
      </w:r>
      <w:proofErr w:type="gramStart"/>
      <w:r w:rsidRPr="00A0158A">
        <w:t>20</w:t>
      </w:r>
      <w:r>
        <w:t>30</w:t>
      </w:r>
      <w:proofErr w:type="gramEnd"/>
      <w:r w:rsidRPr="00A0158A">
        <w:t xml:space="preserve"> through December 31, 20</w:t>
      </w:r>
      <w:r>
        <w:t>30</w:t>
      </w:r>
      <w:r w:rsidRPr="00A0158A">
        <w:t>, covering portions of 202</w:t>
      </w:r>
      <w:r>
        <w:t>9</w:t>
      </w:r>
      <w:r w:rsidRPr="00A0158A">
        <w:t>-</w:t>
      </w:r>
      <w:r>
        <w:t>30</w:t>
      </w:r>
      <w:r w:rsidRPr="00A0158A">
        <w:t xml:space="preserve"> and 2030</w:t>
      </w:r>
      <w:r>
        <w:t>-31</w:t>
      </w:r>
      <w:r w:rsidRPr="00A0158A">
        <w:t xml:space="preserve"> fiscal years, at the same or lower rates, under the same terms.</w:t>
      </w:r>
    </w:p>
    <w:p w14:paraId="5135887D" w14:textId="77777777" w:rsidR="00AA6376" w:rsidRDefault="00AA6376">
      <w:pPr>
        <w:rPr>
          <w:rFonts w:eastAsia="Times New Roman" w:cs="Arial"/>
          <w:b/>
          <w:bCs/>
          <w:iCs/>
          <w:sz w:val="40"/>
          <w:szCs w:val="40"/>
        </w:rPr>
      </w:pPr>
      <w:r>
        <w:br w:type="page"/>
      </w:r>
    </w:p>
    <w:p w14:paraId="4D156997" w14:textId="1456638B" w:rsidR="00537458" w:rsidRPr="00A000C1" w:rsidRDefault="00C426A0" w:rsidP="00E43B4A">
      <w:pPr>
        <w:pStyle w:val="Heading2"/>
      </w:pPr>
      <w:bookmarkStart w:id="17" w:name="_Toc224571228"/>
      <w:r>
        <w:lastRenderedPageBreak/>
        <w:t>9</w:t>
      </w:r>
      <w:r w:rsidR="00537458">
        <w:t>.</w:t>
      </w:r>
      <w:r w:rsidR="00537458" w:rsidRPr="00A000C1">
        <w:t xml:space="preserve"> GENERAL TERMS AND CONDITIONS</w:t>
      </w:r>
      <w:bookmarkEnd w:id="17"/>
    </w:p>
    <w:p w14:paraId="4980B1D4" w14:textId="0F2D862D" w:rsidR="00537458" w:rsidRPr="003616B1" w:rsidRDefault="00537458" w:rsidP="00537458">
      <w:pPr>
        <w:tabs>
          <w:tab w:val="left" w:pos="0"/>
        </w:tabs>
        <w:spacing w:before="240" w:after="240"/>
        <w:rPr>
          <w:rFonts w:cs="Arial"/>
          <w:b/>
        </w:rPr>
      </w:pPr>
      <w:r>
        <w:t xml:space="preserve">The </w:t>
      </w:r>
      <w:r w:rsidRPr="007B4B86">
        <w:rPr>
          <w:rFonts w:cs="Arial"/>
          <w:bCs/>
          <w:szCs w:val="24"/>
        </w:rPr>
        <w:t xml:space="preserve">General Terms and Conditions, GTC </w:t>
      </w:r>
      <w:r>
        <w:rPr>
          <w:rFonts w:cs="Arial"/>
          <w:bCs/>
          <w:szCs w:val="24"/>
        </w:rPr>
        <w:t>0</w:t>
      </w:r>
      <w:r w:rsidR="00803079">
        <w:rPr>
          <w:rFonts w:cs="Arial"/>
          <w:bCs/>
          <w:szCs w:val="24"/>
        </w:rPr>
        <w:t>2</w:t>
      </w:r>
      <w:r>
        <w:rPr>
          <w:rFonts w:cs="Arial"/>
          <w:bCs/>
          <w:szCs w:val="24"/>
        </w:rPr>
        <w:t>/</w:t>
      </w:r>
      <w:r w:rsidR="00803079">
        <w:rPr>
          <w:rFonts w:cs="Arial"/>
          <w:bCs/>
          <w:szCs w:val="24"/>
        </w:rPr>
        <w:t>2025</w:t>
      </w:r>
      <w:r w:rsidRPr="007B4B86">
        <w:rPr>
          <w:rFonts w:cs="Arial"/>
          <w:bCs/>
          <w:szCs w:val="24"/>
        </w:rPr>
        <w:t xml:space="preserve"> </w:t>
      </w:r>
      <w:r w:rsidRPr="007A62D7">
        <w:rPr>
          <w:rFonts w:cs="Arial"/>
          <w:bCs/>
          <w:szCs w:val="24"/>
        </w:rPr>
        <w:t>will be incorporated b</w:t>
      </w:r>
      <w:r>
        <w:rPr>
          <w:rFonts w:cs="Arial"/>
          <w:bCs/>
          <w:szCs w:val="24"/>
        </w:rPr>
        <w:t xml:space="preserve">y reference and made part of the contract and also found at </w:t>
      </w:r>
      <w:hyperlink r:id="rId39" w:tooltip="Standard Contract Language page on the DGS website" w:history="1">
        <w:r w:rsidRPr="008328D9">
          <w:rPr>
            <w:rStyle w:val="Hyperlink"/>
            <w:rFonts w:cs="Arial"/>
            <w:bCs/>
            <w:szCs w:val="24"/>
          </w:rPr>
          <w:t>https://www.dgs.ca.gov/OLS/Resources/Page-Content/Office-of-Legal-Services-Resources-List-Folder/Standard-Contract-Language</w:t>
        </w:r>
      </w:hyperlink>
    </w:p>
    <w:p w14:paraId="5EB1F87E" w14:textId="77777777" w:rsidR="00537458" w:rsidRDefault="00537458">
      <w:pPr>
        <w:rPr>
          <w:b/>
          <w:snapToGrid w:val="0"/>
          <w:sz w:val="36"/>
          <w:szCs w:val="36"/>
        </w:rPr>
      </w:pPr>
      <w:r>
        <w:br w:type="page"/>
      </w:r>
    </w:p>
    <w:p w14:paraId="7837E3A7" w14:textId="347F898F" w:rsidR="004564C9" w:rsidRDefault="004564C9" w:rsidP="00E43B4A">
      <w:pPr>
        <w:pStyle w:val="Heading2"/>
      </w:pPr>
      <w:bookmarkStart w:id="18" w:name="_Toc224571229"/>
      <w:r>
        <w:lastRenderedPageBreak/>
        <w:t>1</w:t>
      </w:r>
      <w:r w:rsidR="00C426A0">
        <w:t>0</w:t>
      </w:r>
      <w:r>
        <w:t>. SPECIAL TERMS AND CONDITIONS</w:t>
      </w:r>
      <w:bookmarkEnd w:id="18"/>
      <w:r>
        <w:t xml:space="preserve"> </w:t>
      </w:r>
    </w:p>
    <w:p w14:paraId="3D8AD2D0" w14:textId="25310A64" w:rsidR="002150FE" w:rsidRPr="00743AE7" w:rsidRDefault="00C16DB8" w:rsidP="00F67ED5">
      <w:pPr>
        <w:pStyle w:val="Heading3"/>
      </w:pPr>
      <w:r w:rsidRPr="00743AE7">
        <w:t>1</w:t>
      </w:r>
      <w:r w:rsidR="00C426A0">
        <w:t>0</w:t>
      </w:r>
      <w:r w:rsidRPr="00743AE7">
        <w:t>.</w:t>
      </w:r>
      <w:r w:rsidR="00503146" w:rsidRPr="00743AE7">
        <w:t>1</w:t>
      </w:r>
      <w:r w:rsidRPr="00743AE7">
        <w:t xml:space="preserve"> Information</w:t>
      </w:r>
      <w:r w:rsidR="002150FE" w:rsidRPr="00743AE7">
        <w:t xml:space="preserve"> Technology Requirements </w:t>
      </w:r>
      <w:r w:rsidR="00C770BD" w:rsidRPr="00743AE7">
        <w:t>(4/10)</w:t>
      </w:r>
    </w:p>
    <w:p w14:paraId="3D8AD2D1" w14:textId="04CEB854" w:rsidR="00C770BD" w:rsidRPr="006D0715" w:rsidRDefault="00C770BD" w:rsidP="00152C31">
      <w:pPr>
        <w:spacing w:after="240"/>
      </w:pPr>
      <w:r w:rsidRPr="006D0715">
        <w:t xml:space="preserve">For contracts that require the Contractor to develop, modify or maintain any type of Web product (which includes but is not limited to a </w:t>
      </w:r>
      <w:r w:rsidR="00A0171A">
        <w:t>web page, w</w:t>
      </w:r>
      <w:r w:rsidRPr="006D0715">
        <w:t xml:space="preserve">eb document, </w:t>
      </w:r>
      <w:r w:rsidR="00A0171A">
        <w:t>w</w:t>
      </w:r>
      <w:r w:rsidRPr="006D0715">
        <w:t xml:space="preserve">ebsite, </w:t>
      </w:r>
      <w:r w:rsidR="00A0171A">
        <w:t>w</w:t>
      </w:r>
      <w:r w:rsidRPr="006D0715">
        <w:t xml:space="preserve">eb application, or other </w:t>
      </w:r>
      <w:r w:rsidR="00A0171A">
        <w:t>w</w:t>
      </w:r>
      <w:r w:rsidRPr="006D0715">
        <w:t>eb service</w:t>
      </w:r>
      <w:r w:rsidR="00A0171A">
        <w:t>), or contracts that include a w</w:t>
      </w:r>
      <w:r w:rsidRPr="006D0715">
        <w:t>eb product as a deliverable or result, Contractor hereby agrees to adhere to the following California Department of Education (CDE) standards:</w:t>
      </w:r>
    </w:p>
    <w:p w14:paraId="3D8AD2D2" w14:textId="3865BB92" w:rsidR="00C770BD" w:rsidRPr="002E265E" w:rsidRDefault="00A0171A" w:rsidP="00743AE7">
      <w:pPr>
        <w:pStyle w:val="ListParagraph"/>
        <w:numPr>
          <w:ilvl w:val="0"/>
          <w:numId w:val="8"/>
        </w:numPr>
        <w:spacing w:before="240" w:after="240"/>
        <w:ind w:left="360"/>
        <w:contextualSpacing w:val="0"/>
      </w:pPr>
      <w:r>
        <w:t>All w</w:t>
      </w:r>
      <w:r w:rsidR="00C770BD" w:rsidRPr="006D0715">
        <w:t>ebsite and application pages/documents that can be seen by users must be reviewed and approved as required by the CDE’s DEAM 3900 process. Contractor agrees to work through the CDE Contract Monitor for this agreement to ensure the DE</w:t>
      </w:r>
      <w:r w:rsidR="00AA27F1" w:rsidRPr="005420EF">
        <w:t>AM 3900 process is implemented.</w:t>
      </w:r>
    </w:p>
    <w:p w14:paraId="3D8AD2D3" w14:textId="04D89F9D" w:rsidR="00C770BD" w:rsidRPr="00743AE7" w:rsidRDefault="005F6B60" w:rsidP="00743AE7">
      <w:pPr>
        <w:pStyle w:val="ListParagraph"/>
        <w:numPr>
          <w:ilvl w:val="0"/>
          <w:numId w:val="8"/>
        </w:numPr>
        <w:tabs>
          <w:tab w:val="left" w:pos="1980"/>
        </w:tabs>
        <w:spacing w:before="240" w:after="240"/>
        <w:ind w:left="360"/>
        <w:contextualSpacing w:val="0"/>
      </w:pPr>
      <w:r>
        <w:t>W</w:t>
      </w:r>
      <w:r w:rsidR="00C770BD" w:rsidRPr="00743AE7">
        <w:t xml:space="preserve">ebsites and </w:t>
      </w:r>
      <w:r w:rsidR="00A0171A">
        <w:t>w</w:t>
      </w:r>
      <w:r w:rsidR="00C770BD" w:rsidRPr="00743AE7">
        <w:t>eb applications must adhere to the appropriate</w:t>
      </w:r>
      <w:r w:rsidR="007B4B86" w:rsidRPr="00743AE7">
        <w:t xml:space="preserve"> CDE </w:t>
      </w:r>
      <w:r w:rsidR="00A0171A">
        <w:t>w</w:t>
      </w:r>
      <w:r w:rsidR="007B4B86" w:rsidRPr="00743AE7">
        <w:t xml:space="preserve">eb </w:t>
      </w:r>
      <w:r w:rsidR="00A0171A">
        <w:t>s</w:t>
      </w:r>
      <w:r w:rsidR="007B4B86" w:rsidRPr="00743AE7">
        <w:t>tandards, found at</w:t>
      </w:r>
      <w:r w:rsidR="00C770BD" w:rsidRPr="00743AE7">
        <w:t xml:space="preserve"> </w:t>
      </w:r>
      <w:hyperlink r:id="rId40" w:tooltip="CDE Web Standards" w:history="1">
        <w:r w:rsidR="007B4B86" w:rsidRPr="00743AE7">
          <w:rPr>
            <w:rStyle w:val="Hyperlink"/>
            <w:rFonts w:cs="Arial"/>
            <w:szCs w:val="36"/>
          </w:rPr>
          <w:t>https://www.cde.ca.gov/re/di/ws/webstandards.asp</w:t>
        </w:r>
      </w:hyperlink>
      <w:r w:rsidR="00AA27F1" w:rsidRPr="00743AE7">
        <w:t>.</w:t>
      </w:r>
    </w:p>
    <w:p w14:paraId="3D8AD2D4" w14:textId="09821748" w:rsidR="00C770BD" w:rsidRPr="00743AE7" w:rsidRDefault="00C770BD" w:rsidP="00743AE7">
      <w:pPr>
        <w:pStyle w:val="ListParagraph"/>
        <w:numPr>
          <w:ilvl w:val="0"/>
          <w:numId w:val="8"/>
        </w:numPr>
        <w:spacing w:before="240" w:after="240"/>
        <w:ind w:left="360"/>
        <w:contextualSpacing w:val="0"/>
      </w:pPr>
      <w:r w:rsidRPr="00743AE7">
        <w:t xml:space="preserve">Contractor must provide the application and/or </w:t>
      </w:r>
      <w:r w:rsidR="00A0171A">
        <w:t>website</w:t>
      </w:r>
      <w:r w:rsidRPr="00743AE7">
        <w:t xml:space="preserve"> source code, collected data, and project documentation in a form to be specified by the CDE accordi</w:t>
      </w:r>
      <w:r w:rsidR="0042374C" w:rsidRPr="00743AE7">
        <w:t>ng to the following time frame:</w:t>
      </w:r>
    </w:p>
    <w:p w14:paraId="3D8AD2D5" w14:textId="47020DA3" w:rsidR="00C770BD" w:rsidRPr="00743AE7" w:rsidRDefault="00C770BD" w:rsidP="00743AE7">
      <w:pPr>
        <w:pStyle w:val="ListParagraph"/>
        <w:numPr>
          <w:ilvl w:val="1"/>
          <w:numId w:val="8"/>
        </w:numPr>
        <w:spacing w:before="240" w:after="240"/>
        <w:ind w:left="720"/>
        <w:contextualSpacing w:val="0"/>
      </w:pPr>
      <w:r w:rsidRPr="00743AE7">
        <w:t>For new sites/applications: Within 30 days of implementation. For multi-year agreements, material must also be provided annually on the contract date annivers</w:t>
      </w:r>
      <w:r w:rsidR="0042374C" w:rsidRPr="00743AE7">
        <w:t>ary during the contract period.</w:t>
      </w:r>
    </w:p>
    <w:p w14:paraId="3D8AD2D6" w14:textId="3C1374E8" w:rsidR="00C770BD" w:rsidRPr="00743AE7" w:rsidRDefault="00C770BD" w:rsidP="00743AE7">
      <w:pPr>
        <w:pStyle w:val="ListParagraph"/>
        <w:numPr>
          <w:ilvl w:val="1"/>
          <w:numId w:val="8"/>
        </w:numPr>
        <w:spacing w:before="240" w:after="240"/>
        <w:ind w:left="720"/>
        <w:contextualSpacing w:val="0"/>
      </w:pPr>
      <w:r w:rsidRPr="00743AE7">
        <w:t>For existing sites/applications: Within 90 days of the contract renewal or amendment execution. For multi-year agreements, material must also be provided annually on the contract date annivers</w:t>
      </w:r>
      <w:r w:rsidR="0042374C" w:rsidRPr="00743AE7">
        <w:t>ary during the contract period.</w:t>
      </w:r>
    </w:p>
    <w:p w14:paraId="3D8AD2D7" w14:textId="44FF8891" w:rsidR="00C770BD" w:rsidRPr="00743AE7" w:rsidRDefault="00C770BD" w:rsidP="00743AE7">
      <w:pPr>
        <w:pStyle w:val="ListParagraph"/>
        <w:numPr>
          <w:ilvl w:val="0"/>
          <w:numId w:val="8"/>
        </w:numPr>
        <w:spacing w:before="240" w:after="240"/>
        <w:ind w:left="360"/>
        <w:contextualSpacing w:val="0"/>
      </w:pPr>
      <w:r w:rsidRPr="00743AE7">
        <w:t xml:space="preserve">Contractor shall monitor the </w:t>
      </w:r>
      <w:r w:rsidR="00A0171A">
        <w:t>web</w:t>
      </w:r>
      <w:r w:rsidRPr="00743AE7">
        <w:t xml:space="preserve">site/application </w:t>
      </w:r>
      <w:proofErr w:type="gramStart"/>
      <w:r w:rsidRPr="00743AE7">
        <w:t>on a monthly basis</w:t>
      </w:r>
      <w:proofErr w:type="gramEnd"/>
      <w:r w:rsidRPr="00743AE7">
        <w:t xml:space="preserve"> (or more frequently if necessary) to identify an</w:t>
      </w:r>
      <w:r w:rsidR="0042374C" w:rsidRPr="00743AE7">
        <w:t>d correct the following issues:</w:t>
      </w:r>
    </w:p>
    <w:p w14:paraId="3D8AD2D8" w14:textId="184EC3B4" w:rsidR="00C770BD" w:rsidRPr="00743AE7" w:rsidRDefault="0042374C" w:rsidP="00743AE7">
      <w:pPr>
        <w:pStyle w:val="ListParagraph"/>
        <w:numPr>
          <w:ilvl w:val="1"/>
          <w:numId w:val="8"/>
        </w:numPr>
        <w:spacing w:before="240" w:after="240"/>
        <w:ind w:left="720"/>
        <w:contextualSpacing w:val="0"/>
      </w:pPr>
      <w:r w:rsidRPr="00743AE7">
        <w:t>Broken links</w:t>
      </w:r>
    </w:p>
    <w:p w14:paraId="3D8AD2D9" w14:textId="1835078F" w:rsidR="00C770BD" w:rsidRPr="00743AE7" w:rsidRDefault="0042374C" w:rsidP="00743AE7">
      <w:pPr>
        <w:pStyle w:val="ListParagraph"/>
        <w:numPr>
          <w:ilvl w:val="1"/>
          <w:numId w:val="8"/>
        </w:numPr>
        <w:spacing w:before="240" w:after="240"/>
        <w:ind w:left="720"/>
        <w:contextualSpacing w:val="0"/>
      </w:pPr>
      <w:r w:rsidRPr="00743AE7">
        <w:t>Dated content</w:t>
      </w:r>
    </w:p>
    <w:p w14:paraId="3D8AD2DA" w14:textId="6BC8BA24" w:rsidR="00C770BD" w:rsidRPr="00743AE7" w:rsidRDefault="0042374C" w:rsidP="00743AE7">
      <w:pPr>
        <w:pStyle w:val="ListParagraph"/>
        <w:numPr>
          <w:ilvl w:val="1"/>
          <w:numId w:val="8"/>
        </w:numPr>
        <w:spacing w:before="240" w:after="240"/>
        <w:ind w:left="720"/>
        <w:contextualSpacing w:val="0"/>
      </w:pPr>
      <w:r w:rsidRPr="00743AE7">
        <w:t>Usability issues</w:t>
      </w:r>
    </w:p>
    <w:p w14:paraId="3D8AD2DB" w14:textId="76CE55E5" w:rsidR="00C770BD" w:rsidRPr="00743AE7" w:rsidRDefault="00C770BD" w:rsidP="00743AE7">
      <w:pPr>
        <w:pStyle w:val="ListParagraph"/>
        <w:numPr>
          <w:ilvl w:val="1"/>
          <w:numId w:val="8"/>
        </w:numPr>
        <w:spacing w:before="240" w:after="240"/>
        <w:ind w:left="720"/>
        <w:contextualSpacing w:val="0"/>
      </w:pPr>
      <w:r w:rsidRPr="00743AE7">
        <w:t>Circumstances where the contra</w:t>
      </w:r>
      <w:r w:rsidR="0042374C" w:rsidRPr="00743AE7">
        <w:t>ctual agreement is not followed</w:t>
      </w:r>
    </w:p>
    <w:p w14:paraId="3D8AD2DC" w14:textId="6CDE4D82" w:rsidR="00F62E0E" w:rsidRPr="00743AE7" w:rsidRDefault="00C770BD" w:rsidP="00743AE7">
      <w:pPr>
        <w:pStyle w:val="ListParagraph"/>
        <w:numPr>
          <w:ilvl w:val="0"/>
          <w:numId w:val="8"/>
        </w:numPr>
        <w:spacing w:before="240" w:after="240"/>
        <w:ind w:left="360"/>
        <w:contextualSpacing w:val="0"/>
      </w:pPr>
      <w:proofErr w:type="gramStart"/>
      <w:r w:rsidRPr="00743AE7">
        <w:t>Contractor agrees</w:t>
      </w:r>
      <w:proofErr w:type="gramEnd"/>
      <w:r w:rsidRPr="00743AE7">
        <w:t xml:space="preserve"> to not violate any proprietary rights or laws (i.e., privacy, confidentiality, copyright, commercial use, hate speech, pornography, software/media downloading, etc.). Also, the Contractor agrees to make all reasonable efforts to protect the copyright of CDE content and to obtain permission from the CDE Press to use any potentially copyrighted CDE material, or before allowing any other entity to p</w:t>
      </w:r>
      <w:r w:rsidR="0042374C" w:rsidRPr="00743AE7">
        <w:t>ublish copyrighted CDE content.</w:t>
      </w:r>
    </w:p>
    <w:p w14:paraId="3D8AD2DD" w14:textId="2CFA1814" w:rsidR="00C770BD" w:rsidRPr="00743AE7" w:rsidRDefault="00A0171A" w:rsidP="00743AE7">
      <w:pPr>
        <w:pStyle w:val="ListParagraph"/>
        <w:numPr>
          <w:ilvl w:val="0"/>
          <w:numId w:val="8"/>
        </w:numPr>
        <w:spacing w:before="240" w:after="240"/>
        <w:ind w:left="360"/>
        <w:contextualSpacing w:val="0"/>
      </w:pPr>
      <w:r>
        <w:t>Contractor agrees that any w</w:t>
      </w:r>
      <w:r w:rsidR="00C770BD" w:rsidRPr="00743AE7">
        <w:t xml:space="preserve">eb applications, </w:t>
      </w:r>
      <w:r>
        <w:t>web</w:t>
      </w:r>
      <w:r w:rsidR="00C770BD" w:rsidRPr="00743AE7">
        <w:t>sites, data or other files which may be needed to restore the system in the event of disaster are backed up redundantly, and that a detailed, tested plan</w:t>
      </w:r>
      <w:r w:rsidR="0042374C" w:rsidRPr="00743AE7">
        <w:t xml:space="preserve"> exists for such a restoration.</w:t>
      </w:r>
    </w:p>
    <w:p w14:paraId="3D8AD2DE" w14:textId="7F26C2A6" w:rsidR="00C770BD" w:rsidRPr="00743AE7" w:rsidRDefault="00C770BD" w:rsidP="00743AE7">
      <w:pPr>
        <w:pStyle w:val="ListParagraph"/>
        <w:numPr>
          <w:ilvl w:val="0"/>
          <w:numId w:val="8"/>
        </w:numPr>
        <w:spacing w:before="240" w:after="240"/>
        <w:ind w:left="360"/>
        <w:contextualSpacing w:val="0"/>
      </w:pPr>
      <w:r w:rsidRPr="00743AE7">
        <w:lastRenderedPageBreak/>
        <w:t xml:space="preserve">Contractor shall provide the CDE with </w:t>
      </w:r>
      <w:r w:rsidR="00A0171A">
        <w:t>web</w:t>
      </w:r>
      <w:r w:rsidRPr="00743AE7">
        <w:t xml:space="preserve">site usage reports </w:t>
      </w:r>
      <w:proofErr w:type="gramStart"/>
      <w:r w:rsidRPr="00743AE7">
        <w:t>on a monthly basis</w:t>
      </w:r>
      <w:proofErr w:type="gramEnd"/>
      <w:r w:rsidRPr="00743AE7">
        <w:t xml:space="preserve"> durin</w:t>
      </w:r>
      <w:r w:rsidR="00A0171A">
        <w:t>g the contract period for each w</w:t>
      </w:r>
      <w:r w:rsidRPr="00743AE7">
        <w:t>eb page, document or file which can be viewed by users. Additionally, Contractor shall provide an easy mechanism for users to provide feedback on the site/appli</w:t>
      </w:r>
      <w:r w:rsidR="0042374C" w:rsidRPr="00743AE7">
        <w:t>cation, such as a feedback form.</w:t>
      </w:r>
    </w:p>
    <w:p w14:paraId="3D8AD2DF" w14:textId="56A008D2" w:rsidR="002150FE" w:rsidRPr="00743AE7" w:rsidRDefault="002150FE" w:rsidP="00F67ED5">
      <w:pPr>
        <w:pStyle w:val="Heading3"/>
      </w:pPr>
      <w:r w:rsidRPr="00743AE7">
        <w:t>1</w:t>
      </w:r>
      <w:r w:rsidR="00C426A0">
        <w:t>0</w:t>
      </w:r>
      <w:r w:rsidRPr="00743AE7">
        <w:t>.</w:t>
      </w:r>
      <w:r w:rsidR="00503146" w:rsidRPr="00743AE7">
        <w:t>2</w:t>
      </w:r>
      <w:r w:rsidR="000E76B3" w:rsidRPr="00743AE7">
        <w:t xml:space="preserve"> </w:t>
      </w:r>
      <w:r w:rsidRPr="00743AE7">
        <w:t xml:space="preserve">Data Management Requirements </w:t>
      </w:r>
      <w:r w:rsidR="00AB26E3" w:rsidRPr="00743AE7">
        <w:t>(</w:t>
      </w:r>
      <w:r w:rsidR="007A7AE3">
        <w:t>7/22</w:t>
      </w:r>
      <w:r w:rsidR="00AB26E3" w:rsidRPr="00743AE7">
        <w:t>)</w:t>
      </w:r>
    </w:p>
    <w:p w14:paraId="6C699DA9" w14:textId="086039AA" w:rsidR="007813DC" w:rsidRPr="00ED501F" w:rsidRDefault="007813DC" w:rsidP="00ED501F">
      <w:pPr>
        <w:pStyle w:val="ListParagraph"/>
        <w:numPr>
          <w:ilvl w:val="1"/>
          <w:numId w:val="55"/>
        </w:numPr>
        <w:ind w:left="360"/>
        <w:rPr>
          <w:rFonts w:cs="Arial"/>
          <w:u w:val="single"/>
        </w:rPr>
      </w:pPr>
      <w:r w:rsidRPr="00ED501F">
        <w:rPr>
          <w:rFonts w:cs="Arial"/>
          <w:u w:val="single"/>
        </w:rPr>
        <w:t>Definitions:</w:t>
      </w:r>
      <w:r w:rsidRPr="00ED501F">
        <w:rPr>
          <w:rFonts w:cs="Arial"/>
        </w:rPr>
        <w:t xml:space="preserve"> The following definitions apply for the purposes of this Agreement:</w:t>
      </w:r>
    </w:p>
    <w:p w14:paraId="2AD256AE" w14:textId="77777777" w:rsidR="007813DC" w:rsidRPr="007813DC" w:rsidRDefault="007813DC" w:rsidP="007813DC">
      <w:pPr>
        <w:pStyle w:val="Default"/>
        <w:ind w:left="360" w:hanging="360"/>
        <w:rPr>
          <w:rFonts w:ascii="Arial" w:hAnsi="Arial" w:cs="Arial"/>
        </w:rPr>
      </w:pPr>
    </w:p>
    <w:p w14:paraId="4EC888A4" w14:textId="3E7E4F04" w:rsidR="007813DC" w:rsidRPr="007813DC" w:rsidRDefault="007813DC" w:rsidP="007813DC">
      <w:pPr>
        <w:spacing w:after="240"/>
        <w:ind w:left="360"/>
        <w:rPr>
          <w:rFonts w:cs="Arial"/>
          <w:lang w:val="en"/>
        </w:rPr>
      </w:pPr>
      <w:r w:rsidRPr="007813DC">
        <w:rPr>
          <w:rFonts w:cs="Arial"/>
        </w:rPr>
        <w:t xml:space="preserve">“Aggregated Data” means </w:t>
      </w:r>
      <w:r w:rsidRPr="007813DC">
        <w:rPr>
          <w:rFonts w:cs="Arial"/>
          <w:lang w:val="en"/>
        </w:rPr>
        <w:t>any data expressed in a summary form, for purposes such as statistical analysis to de-identify the Data and prevent unlawful or unauthorized disclosure of PII and/or Student or Individual-Level Data.</w:t>
      </w:r>
    </w:p>
    <w:p w14:paraId="65510075" w14:textId="0EAA1417" w:rsidR="007813DC" w:rsidRPr="007813DC" w:rsidRDefault="007813DC" w:rsidP="007813DC">
      <w:pPr>
        <w:spacing w:after="240"/>
        <w:ind w:left="360"/>
        <w:rPr>
          <w:rFonts w:cs="Arial"/>
        </w:rPr>
      </w:pPr>
      <w:r w:rsidRPr="007813DC">
        <w:rPr>
          <w:rFonts w:cs="Arial"/>
        </w:rPr>
        <w:t>“Confidential Information” means Proprietary Information, Personally Identifiable Information (PII), and Student or Individual-Level Data, as each are defined below.</w:t>
      </w:r>
    </w:p>
    <w:p w14:paraId="51B016FC" w14:textId="2DD15C58" w:rsidR="007813DC" w:rsidRPr="007813DC" w:rsidRDefault="007813DC" w:rsidP="007813DC">
      <w:pPr>
        <w:spacing w:after="240"/>
        <w:ind w:left="360"/>
        <w:rPr>
          <w:rFonts w:cs="Arial"/>
        </w:rPr>
      </w:pPr>
      <w:r w:rsidRPr="007813DC">
        <w:rPr>
          <w:rFonts w:cs="Arial"/>
        </w:rPr>
        <w:t>“Data” means any digital or hard copy records or information, whether Confidential or publicly available.</w:t>
      </w:r>
    </w:p>
    <w:p w14:paraId="6B6EA02E" w14:textId="34D79198" w:rsidR="007813DC" w:rsidRPr="007813DC" w:rsidRDefault="007813DC" w:rsidP="007813DC">
      <w:pPr>
        <w:spacing w:after="240"/>
        <w:ind w:left="360"/>
        <w:rPr>
          <w:rFonts w:cs="Arial"/>
        </w:rPr>
      </w:pPr>
      <w:r w:rsidRPr="007813DC">
        <w:rPr>
          <w:rFonts w:cs="Arial"/>
        </w:rPr>
        <w:t>“Personally Identifiable Information (PII)” means information about an individual, and includes but is not limited to information that, alone or in combination, is linked or linkable to a specific student or individual in a manner that would allow a reasonable person in the community, who does not have personal knowledge of the relevant circumstances, to identify the student or individual with reasonable certainty. PII includes, but is not limited to name, address, personal identifier (e.g., Social Security number, student number, biometric record), other indirect identifiers (e.g., date or place of birth, mother’s maiden name). “Biometric record” includes a fingerprint, retina or iris pattern, voiceprint, DNA sequence, handwriting sample, facial geometry or other biological or behavioral characteristic used to identify an individual.</w:t>
      </w:r>
    </w:p>
    <w:p w14:paraId="47DC1DC2" w14:textId="5B0A4A77" w:rsidR="007813DC" w:rsidRPr="007813DC" w:rsidRDefault="007813DC" w:rsidP="007813DC">
      <w:pPr>
        <w:spacing w:after="240"/>
        <w:ind w:left="360"/>
        <w:rPr>
          <w:rFonts w:cs="Arial"/>
          <w:u w:val="single"/>
        </w:rPr>
      </w:pPr>
      <w:r w:rsidRPr="007813DC">
        <w:rPr>
          <w:rFonts w:cs="Arial"/>
          <w:szCs w:val="16"/>
        </w:rPr>
        <w:t xml:space="preserve">“Preferred Variation” means the </w:t>
      </w:r>
      <w:proofErr w:type="gramStart"/>
      <w:r w:rsidRPr="007813DC">
        <w:rPr>
          <w:rFonts w:cs="Arial"/>
          <w:szCs w:val="16"/>
        </w:rPr>
        <w:t>particular variation</w:t>
      </w:r>
      <w:proofErr w:type="gramEnd"/>
      <w:r w:rsidRPr="007813DC">
        <w:rPr>
          <w:rFonts w:cs="Arial"/>
          <w:szCs w:val="16"/>
        </w:rPr>
        <w:t xml:space="preserve"> of the name, definition, and format for a Data element or code set that is used by CDE to maintain order and consistency in its Data. To date, hundreds of common Data elements have been specified by the CDE (contact the Data Management Division for the most recent published list of Preferred Variations).</w:t>
      </w:r>
    </w:p>
    <w:p w14:paraId="40C8AAEB" w14:textId="2D7B50BE" w:rsidR="007813DC" w:rsidRPr="007813DC" w:rsidRDefault="007813DC" w:rsidP="007813DC">
      <w:pPr>
        <w:spacing w:after="240"/>
        <w:ind w:left="360"/>
        <w:rPr>
          <w:rFonts w:cs="Arial"/>
        </w:rPr>
      </w:pPr>
      <w:r w:rsidRPr="007813DC">
        <w:rPr>
          <w:rFonts w:cs="Arial"/>
        </w:rPr>
        <w:t>“Proprietary Information” means information contained in materials marked “confidential,” trade secrets, know-how, data and other information, in tangible and intangible form possessed by a party and having value by virtue of not being generally known or due to being obtained at significant effort or expense. Each party acknowledges that information supplied by a third-party to the other party under provisions of confidentiality shall be considered, for the purposes of this Agreement, to be the other party’s Proprietary Information.</w:t>
      </w:r>
    </w:p>
    <w:p w14:paraId="78C15D89" w14:textId="6F596441" w:rsidR="007813DC" w:rsidRPr="00CD55CD" w:rsidRDefault="007813DC" w:rsidP="007813DC">
      <w:pPr>
        <w:spacing w:after="240"/>
        <w:ind w:left="360"/>
        <w:rPr>
          <w:rFonts w:cs="Arial"/>
        </w:rPr>
      </w:pPr>
      <w:r w:rsidRPr="007813DC">
        <w:rPr>
          <w:rFonts w:cs="Arial"/>
        </w:rPr>
        <w:t>“Student or Individual-Level Data” means demographic</w:t>
      </w:r>
      <w:r w:rsidRPr="007813DC">
        <w:rPr>
          <w:rFonts w:cs="Arial"/>
          <w:color w:val="030A13"/>
          <w:lang w:val="en"/>
        </w:rPr>
        <w:t>, performance, and other information that pertains to a single student</w:t>
      </w:r>
      <w:r>
        <w:rPr>
          <w:rFonts w:cs="Arial"/>
          <w:color w:val="030A13"/>
          <w:lang w:val="en"/>
        </w:rPr>
        <w:t xml:space="preserve"> or individual</w:t>
      </w:r>
      <w:r w:rsidRPr="00CD55CD">
        <w:rPr>
          <w:rFonts w:cs="Arial"/>
          <w:color w:val="030A13"/>
          <w:lang w:val="en"/>
        </w:rPr>
        <w:t xml:space="preserve"> but cannot be attributed to a specific student</w:t>
      </w:r>
      <w:r>
        <w:rPr>
          <w:rFonts w:cs="Arial"/>
          <w:color w:val="030A13"/>
          <w:lang w:val="en"/>
        </w:rPr>
        <w:t xml:space="preserve"> or individual</w:t>
      </w:r>
      <w:r w:rsidRPr="00CD55CD">
        <w:rPr>
          <w:rFonts w:cs="Arial"/>
          <w:color w:val="030A13"/>
          <w:lang w:val="en"/>
        </w:rPr>
        <w:t>.</w:t>
      </w:r>
      <w:r w:rsidRPr="00CD55CD">
        <w:rPr>
          <w:rFonts w:cs="Arial"/>
        </w:rPr>
        <w:t xml:space="preserve"> Such Data is subject to compliance with </w:t>
      </w:r>
      <w:r>
        <w:rPr>
          <w:rFonts w:cs="Arial"/>
        </w:rPr>
        <w:t xml:space="preserve">applicable </w:t>
      </w:r>
      <w:r w:rsidRPr="00CD55CD">
        <w:rPr>
          <w:rFonts w:cs="Arial"/>
        </w:rPr>
        <w:t>laws such as</w:t>
      </w:r>
      <w:r>
        <w:rPr>
          <w:rFonts w:cs="Arial"/>
        </w:rPr>
        <w:t>, but not limited to,</w:t>
      </w:r>
      <w:r w:rsidRPr="00CD55CD">
        <w:rPr>
          <w:rFonts w:cs="Arial"/>
        </w:rPr>
        <w:t xml:space="preserve"> the Family Educational Rights and Privacy Act (FERPA), the Pupil Protection Rights Amendment (PPRA), the Children’s Online </w:t>
      </w:r>
      <w:proofErr w:type="gramStart"/>
      <w:r w:rsidRPr="00CD55CD">
        <w:rPr>
          <w:rFonts w:cs="Arial"/>
        </w:rPr>
        <w:t>Privacy Protection</w:t>
      </w:r>
      <w:proofErr w:type="gramEnd"/>
      <w:r w:rsidRPr="00CD55CD">
        <w:rPr>
          <w:rFonts w:cs="Arial"/>
        </w:rPr>
        <w:t xml:space="preserve"> Act (COPPA), and the California Education Code (EC).</w:t>
      </w:r>
    </w:p>
    <w:p w14:paraId="4B3D24D7" w14:textId="7AE7B511" w:rsidR="00ED501F" w:rsidRDefault="007813DC" w:rsidP="00ED501F">
      <w:pPr>
        <w:pStyle w:val="ListParagraph"/>
        <w:numPr>
          <w:ilvl w:val="1"/>
          <w:numId w:val="55"/>
        </w:numPr>
        <w:spacing w:after="240"/>
        <w:ind w:left="360"/>
        <w:contextualSpacing w:val="0"/>
        <w:rPr>
          <w:rFonts w:cs="Arial"/>
        </w:rPr>
      </w:pPr>
      <w:r w:rsidRPr="00ED501F">
        <w:rPr>
          <w:rFonts w:cs="Arial"/>
          <w:u w:val="single"/>
        </w:rPr>
        <w:lastRenderedPageBreak/>
        <w:t>Confidentiality Conflicts and Public Record Act Requests</w:t>
      </w:r>
      <w:r w:rsidRPr="00ED501F">
        <w:rPr>
          <w:rFonts w:cs="Arial"/>
        </w:rPr>
        <w:t xml:space="preserve">: Notwithstanding any obligation of confidentiality or non-disclosure between the parties or any “confidential,” “proprietary,” or “privileged,” marking on documents provided by Contractor, any writing, regardless of form, containing information related to the conduct of the public’s business prepared, owned, used or retained by the CDE is subject to disclosure pursuant to the Public Records Act (PRA) (Govt. Code </w:t>
      </w:r>
      <w:r w:rsidR="00EF3B33">
        <w:rPr>
          <w:rFonts w:cs="Arial"/>
        </w:rPr>
        <w:t>7920.000</w:t>
      </w:r>
      <w:r w:rsidRPr="00ED501F">
        <w:rPr>
          <w:rFonts w:cs="Arial"/>
        </w:rPr>
        <w:t xml:space="preserve"> </w:t>
      </w:r>
      <w:r w:rsidRPr="00ED501F">
        <w:rPr>
          <w:rFonts w:cs="Arial"/>
          <w:i/>
        </w:rPr>
        <w:t>et. seq</w:t>
      </w:r>
      <w:r w:rsidRPr="00ED501F">
        <w:rPr>
          <w:rFonts w:cs="Arial"/>
        </w:rPr>
        <w:t xml:space="preserve">.) and other applicable </w:t>
      </w:r>
      <w:proofErr w:type="gramStart"/>
      <w:r w:rsidRPr="00ED501F">
        <w:rPr>
          <w:rFonts w:cs="Arial"/>
        </w:rPr>
        <w:t>law</w:t>
      </w:r>
      <w:proofErr w:type="gramEnd"/>
      <w:r w:rsidRPr="00ED501F">
        <w:rPr>
          <w:rFonts w:cs="Arial"/>
        </w:rPr>
        <w:t>, unless an exemption from disclosure applies. Contractor shall immediately notify CDE of any request for documents and/or Data that it receives and shall further work cooperatively with CDE to allow CDE to respond correctly to Public Records Act requests in a timely manner.</w:t>
      </w:r>
    </w:p>
    <w:p w14:paraId="7C2226B2" w14:textId="7A219B74" w:rsidR="00ED501F" w:rsidRDefault="007813DC" w:rsidP="00ED501F">
      <w:pPr>
        <w:pStyle w:val="ListParagraph"/>
        <w:numPr>
          <w:ilvl w:val="1"/>
          <w:numId w:val="55"/>
        </w:numPr>
        <w:spacing w:after="240"/>
        <w:ind w:left="360"/>
        <w:contextualSpacing w:val="0"/>
        <w:rPr>
          <w:rFonts w:cs="Arial"/>
        </w:rPr>
      </w:pPr>
      <w:r w:rsidRPr="00ED501F">
        <w:rPr>
          <w:rFonts w:cs="Arial"/>
          <w:bCs/>
          <w:u w:val="single"/>
        </w:rPr>
        <w:t>Compliance with Statutory and Contractual Requirements</w:t>
      </w:r>
      <w:r w:rsidRPr="00ED501F">
        <w:rPr>
          <w:rFonts w:cs="Arial"/>
          <w:bCs/>
        </w:rPr>
        <w:t xml:space="preserve">: </w:t>
      </w:r>
      <w:proofErr w:type="gramStart"/>
      <w:r w:rsidRPr="00ED501F">
        <w:rPr>
          <w:rFonts w:cs="Arial"/>
        </w:rPr>
        <w:t>In the course of</w:t>
      </w:r>
      <w:proofErr w:type="gramEnd"/>
      <w:r w:rsidRPr="00ED501F">
        <w:rPr>
          <w:rFonts w:cs="Arial"/>
        </w:rPr>
        <w:t xml:space="preserve"> performing this Agreement, each of the Parties may gather or process or otherwise be intentionally or inadvertently exposed to Confidential Information belonging to the other party. Each party agrees to use, disclose, manage and protect the other Party’s Confidential Information in accordance with any terms of the Agreement, the contractual provisions set forth below, as well as all applicable federal and California law. Applicable laws may include, but are not limited to: the Family Educational Rights and Privacy Act of 1984 (FERPA; 20 U.S.C. Sec. 1232g), the Protection of Pupil Rights Amendment (PPRA), the Information Practices Act (California Civil Code Sec. 1798, et seq.),</w:t>
      </w:r>
      <w:r w:rsidRPr="00ED501F">
        <w:rPr>
          <w:rFonts w:cs="Arial"/>
          <w:color w:val="000000"/>
          <w:sz w:val="15"/>
          <w:szCs w:val="15"/>
        </w:rPr>
        <w:t xml:space="preserve"> </w:t>
      </w:r>
      <w:r w:rsidRPr="00ED501F">
        <w:rPr>
          <w:rFonts w:cs="Arial"/>
        </w:rPr>
        <w:t xml:space="preserve">the Children’s Online Privacy Protection Act (COPPA), the California </w:t>
      </w:r>
      <w:r w:rsidRPr="00ED501F">
        <w:rPr>
          <w:rFonts w:cs="Arial"/>
          <w:i/>
        </w:rPr>
        <w:t>Education Code</w:t>
      </w:r>
      <w:r w:rsidRPr="00ED501F">
        <w:rPr>
          <w:rFonts w:cs="Arial"/>
        </w:rPr>
        <w:t xml:space="preserve"> sections 49069 to 49079, and California State Administrative Manual (SAM) sections </w:t>
      </w:r>
      <w:r w:rsidR="007E5A30">
        <w:rPr>
          <w:rFonts w:cs="Arial"/>
        </w:rPr>
        <w:t>5300-5365.3</w:t>
      </w:r>
      <w:r w:rsidRPr="00ED501F">
        <w:rPr>
          <w:rFonts w:cs="Arial"/>
        </w:rPr>
        <w:t>. These obligations continue even after expiration of this Agreement.</w:t>
      </w:r>
    </w:p>
    <w:p w14:paraId="595AFCE2" w14:textId="77777777" w:rsidR="00ED501F" w:rsidRDefault="007813DC" w:rsidP="00ED501F">
      <w:pPr>
        <w:pStyle w:val="ListParagraph"/>
        <w:numPr>
          <w:ilvl w:val="1"/>
          <w:numId w:val="55"/>
        </w:numPr>
        <w:spacing w:after="240"/>
        <w:ind w:left="360"/>
        <w:contextualSpacing w:val="0"/>
        <w:rPr>
          <w:rFonts w:cs="Arial"/>
        </w:rPr>
      </w:pPr>
      <w:r w:rsidRPr="00ED501F">
        <w:rPr>
          <w:rFonts w:cs="Arial"/>
          <w:u w:val="single"/>
        </w:rPr>
        <w:t>Contractor as CDE Authorized Representative</w:t>
      </w:r>
      <w:r w:rsidRPr="00ED501F">
        <w:rPr>
          <w:rFonts w:cs="Arial"/>
        </w:rPr>
        <w:t>: Contractor agrees to serve as the CDE’s authorized representative in the event the Agreement provides for the Contractor to be exposed to, or provided with, personally identifiable information pertaining to students or individuals in order to carry out an audit or evaluation of Federal- or state-supported education programs, or for the enforcement of or compliance with Federal legal requirements related to these programs.</w:t>
      </w:r>
    </w:p>
    <w:p w14:paraId="44D31DFE" w14:textId="77777777" w:rsidR="00ED501F" w:rsidRPr="00ED501F" w:rsidRDefault="007813DC" w:rsidP="00ED501F">
      <w:pPr>
        <w:pStyle w:val="ListParagraph"/>
        <w:numPr>
          <w:ilvl w:val="1"/>
          <w:numId w:val="55"/>
        </w:numPr>
        <w:spacing w:after="240"/>
        <w:ind w:left="360"/>
        <w:contextualSpacing w:val="0"/>
        <w:rPr>
          <w:rFonts w:cs="Arial"/>
          <w:color w:val="000000"/>
        </w:rPr>
      </w:pPr>
      <w:r w:rsidRPr="00ED501F">
        <w:rPr>
          <w:rFonts w:cs="Arial"/>
          <w:u w:val="single"/>
        </w:rPr>
        <w:t>Subcontractors:</w:t>
      </w:r>
      <w:r w:rsidRPr="00ED501F">
        <w:rPr>
          <w:rFonts w:cs="Arial"/>
        </w:rPr>
        <w:t xml:space="preserve"> CDE must, at its discretion, approve in writing each of Contractor’s proposed subcontractors who may be exposed to CDE Confidential Information.  Contractor shall request any such approval in advance and provide CDE </w:t>
      </w:r>
      <w:proofErr w:type="gramStart"/>
      <w:r w:rsidRPr="00ED501F">
        <w:rPr>
          <w:rFonts w:cs="Arial"/>
        </w:rPr>
        <w:t>with:</w:t>
      </w:r>
      <w:proofErr w:type="gramEnd"/>
      <w:r w:rsidRPr="00ED501F">
        <w:rPr>
          <w:rFonts w:cs="Arial"/>
        </w:rPr>
        <w:t xml:space="preserve"> i) a copy of the proposed subcontract; ii) background information about the subcontractor and its executives; and iii) any other information reasonably requested by the CDE.</w:t>
      </w:r>
    </w:p>
    <w:p w14:paraId="22065AAD" w14:textId="754AB62C" w:rsidR="007813DC" w:rsidRPr="00ED501F" w:rsidRDefault="007813DC" w:rsidP="00ED501F">
      <w:pPr>
        <w:pStyle w:val="ListParagraph"/>
        <w:numPr>
          <w:ilvl w:val="1"/>
          <w:numId w:val="55"/>
        </w:numPr>
        <w:spacing w:after="240"/>
        <w:ind w:left="360"/>
        <w:contextualSpacing w:val="0"/>
        <w:rPr>
          <w:rFonts w:cs="Arial"/>
          <w:color w:val="000000"/>
        </w:rPr>
      </w:pPr>
      <w:r w:rsidRPr="00ED501F">
        <w:rPr>
          <w:rFonts w:cs="Arial"/>
          <w:u w:val="single"/>
        </w:rPr>
        <w:t>Use and Disclosure/ Data Security:</w:t>
      </w:r>
      <w:r w:rsidRPr="00ED501F">
        <w:rPr>
          <w:rFonts w:cs="Arial"/>
        </w:rPr>
        <w:t xml:space="preserve"> Each Party shall use the </w:t>
      </w:r>
      <w:proofErr w:type="gramStart"/>
      <w:r w:rsidRPr="00ED501F">
        <w:rPr>
          <w:rFonts w:cs="Arial"/>
        </w:rPr>
        <w:t>disclosing Party’s</w:t>
      </w:r>
      <w:proofErr w:type="gramEnd"/>
      <w:r w:rsidRPr="00ED501F">
        <w:rPr>
          <w:rFonts w:cs="Arial"/>
        </w:rPr>
        <w:t xml:space="preserve"> Confidential Information only as necessary to perform its obligations hereunder. Each Party shall disclose Confidential Information only to its own employees and employees of its approved contractors or subcontractors who: i) have a need to know such information for the purposes of performing obligations hereunder, ii) </w:t>
      </w:r>
      <w:r w:rsidRPr="00ED501F">
        <w:rPr>
          <w:rFonts w:cs="Arial"/>
          <w:color w:val="000000"/>
        </w:rPr>
        <w:t>are under legal obligations to maintain the confidentiality and restrict the use of Confidential Information which obligations name the disclosing party as a third-party beneficiary or otherwise give the disclosing party the legal right to enforce such legal obligations, and iii) have completed training approved by the CDE on data security and privacy within the past 12 months.</w:t>
      </w:r>
    </w:p>
    <w:p w14:paraId="4360F407" w14:textId="77777777" w:rsidR="007813DC" w:rsidRDefault="007813DC" w:rsidP="007813DC">
      <w:pPr>
        <w:spacing w:after="240"/>
        <w:ind w:left="360"/>
        <w:rPr>
          <w:rFonts w:cs="Arial"/>
        </w:rPr>
      </w:pPr>
      <w:r w:rsidRPr="00CD55CD">
        <w:rPr>
          <w:rFonts w:cs="Arial"/>
          <w:color w:val="000000"/>
        </w:rPr>
        <w:t xml:space="preserve">Contractor and its subcontractors shall exercise </w:t>
      </w:r>
      <w:r>
        <w:rPr>
          <w:rFonts w:cs="Arial"/>
          <w:color w:val="000000"/>
        </w:rPr>
        <w:t>all reasonable security measures, including any additional</w:t>
      </w:r>
      <w:r w:rsidRPr="00CD55CD">
        <w:rPr>
          <w:rFonts w:cs="Arial"/>
          <w:color w:val="000000"/>
        </w:rPr>
        <w:t xml:space="preserve"> security precautions that have been approved by the CDE’s Educational Data Management Division (EDMD) and Technology Services Division (TSD) to prevent </w:t>
      </w:r>
      <w:r w:rsidRPr="00CD55CD">
        <w:rPr>
          <w:rFonts w:cs="Arial"/>
          <w:color w:val="000000"/>
        </w:rPr>
        <w:lastRenderedPageBreak/>
        <w:t>unauthorized use, access, modification or disclosure/re-disclosure of any Confidential Information. Such security precautions</w:t>
      </w:r>
      <w:r>
        <w:rPr>
          <w:rFonts w:cs="Arial"/>
          <w:color w:val="000000"/>
        </w:rPr>
        <w:t xml:space="preserve"> </w:t>
      </w:r>
      <w:r w:rsidRPr="00CD55CD">
        <w:rPr>
          <w:rFonts w:cs="Arial"/>
          <w:color w:val="000000"/>
        </w:rPr>
        <w:t>shall include, at a minimum (</w:t>
      </w:r>
      <w:r w:rsidRPr="00CD55CD">
        <w:rPr>
          <w:rFonts w:cs="Arial"/>
        </w:rPr>
        <w:t>and without limiting the generality of the use and disclosure restrictions set forth above):</w:t>
      </w:r>
    </w:p>
    <w:p w14:paraId="07D75489" w14:textId="7EB7814A" w:rsidR="007813DC" w:rsidRPr="007813DC" w:rsidRDefault="007813DC" w:rsidP="007813DC">
      <w:pPr>
        <w:pStyle w:val="ListParagraph"/>
        <w:numPr>
          <w:ilvl w:val="0"/>
          <w:numId w:val="53"/>
        </w:numPr>
        <w:tabs>
          <w:tab w:val="num" w:pos="1620"/>
          <w:tab w:val="num" w:pos="2160"/>
        </w:tabs>
        <w:spacing w:after="240"/>
        <w:rPr>
          <w:rFonts w:cs="Arial"/>
        </w:rPr>
      </w:pPr>
      <w:r w:rsidRPr="007813DC">
        <w:rPr>
          <w:rFonts w:cs="Arial"/>
        </w:rPr>
        <w:t xml:space="preserve">Securely encrypting and otherwise complying with best practices </w:t>
      </w:r>
      <w:proofErr w:type="gramStart"/>
      <w:r w:rsidRPr="007813DC">
        <w:rPr>
          <w:rFonts w:cs="Arial"/>
        </w:rPr>
        <w:t>in order to</w:t>
      </w:r>
      <w:proofErr w:type="gramEnd"/>
      <w:r w:rsidRPr="007813DC">
        <w:rPr>
          <w:rFonts w:cs="Arial"/>
        </w:rPr>
        <w:t xml:space="preserve"> securely protect Confidential Information that is transmitted electronically or stored on portable electronic devices;</w:t>
      </w:r>
    </w:p>
    <w:p w14:paraId="6AD2B55A" w14:textId="77777777" w:rsidR="007813DC" w:rsidRPr="007813DC" w:rsidRDefault="007813DC" w:rsidP="007813DC">
      <w:pPr>
        <w:pStyle w:val="ListParagraph"/>
        <w:widowControl w:val="0"/>
        <w:numPr>
          <w:ilvl w:val="0"/>
          <w:numId w:val="53"/>
        </w:numPr>
        <w:tabs>
          <w:tab w:val="num" w:pos="2160"/>
        </w:tabs>
        <w:rPr>
          <w:rFonts w:cs="Arial"/>
        </w:rPr>
      </w:pPr>
      <w:r w:rsidRPr="007813DC">
        <w:rPr>
          <w:rFonts w:cs="Arial"/>
        </w:rPr>
        <w:t>Securely locking any repository for Confidential Information;</w:t>
      </w:r>
    </w:p>
    <w:p w14:paraId="308436A1" w14:textId="4937AA10" w:rsidR="007813DC" w:rsidRPr="007813DC" w:rsidRDefault="007813DC" w:rsidP="007813DC">
      <w:pPr>
        <w:pStyle w:val="ListParagraph"/>
        <w:widowControl w:val="0"/>
        <w:numPr>
          <w:ilvl w:val="0"/>
          <w:numId w:val="53"/>
        </w:numPr>
        <w:tabs>
          <w:tab w:val="num" w:pos="2160"/>
        </w:tabs>
        <w:rPr>
          <w:rFonts w:cs="Arial"/>
        </w:rPr>
      </w:pPr>
      <w:r w:rsidRPr="007813DC">
        <w:rPr>
          <w:rFonts w:cs="Arial"/>
        </w:rPr>
        <w:t>Provide appropriate levels of security (confidentiality, integrity, and availability) for the data based on data categorization and classification and FIPS Publication 199 protection levels</w:t>
      </w:r>
      <w:r>
        <w:rPr>
          <w:rFonts w:cs="Arial"/>
        </w:rPr>
        <w:t>;</w:t>
      </w:r>
    </w:p>
    <w:p w14:paraId="5B309EEB" w14:textId="77777777" w:rsidR="007813DC" w:rsidRPr="007813DC" w:rsidRDefault="007813DC" w:rsidP="007813DC">
      <w:pPr>
        <w:pStyle w:val="ListParagraph"/>
        <w:widowControl w:val="0"/>
        <w:numPr>
          <w:ilvl w:val="0"/>
          <w:numId w:val="53"/>
        </w:numPr>
        <w:tabs>
          <w:tab w:val="num" w:pos="2160"/>
        </w:tabs>
        <w:rPr>
          <w:rFonts w:cs="Arial"/>
          <w:i/>
          <w:color w:val="000000"/>
        </w:rPr>
      </w:pPr>
      <w:r w:rsidRPr="007813DC">
        <w:rPr>
          <w:rFonts w:cs="Arial"/>
          <w:color w:val="000000"/>
        </w:rPr>
        <w:t xml:space="preserve">Properly maintaining security of </w:t>
      </w:r>
      <w:proofErr w:type="gramStart"/>
      <w:r w:rsidRPr="007813DC">
        <w:rPr>
          <w:rFonts w:cs="Arial"/>
          <w:color w:val="000000"/>
        </w:rPr>
        <w:t>any and all</w:t>
      </w:r>
      <w:proofErr w:type="gramEnd"/>
      <w:r w:rsidRPr="007813DC">
        <w:rPr>
          <w:rFonts w:cs="Arial"/>
          <w:color w:val="000000"/>
        </w:rPr>
        <w:t xml:space="preserve"> computer systems (hardware and software applications) used to store or process Confidential Information, including installing all security patches, upgrades, and anti-virus updates;</w:t>
      </w:r>
    </w:p>
    <w:p w14:paraId="734D94CE" w14:textId="77777777" w:rsidR="007813DC" w:rsidRPr="007813DC" w:rsidRDefault="007813DC" w:rsidP="007813DC">
      <w:pPr>
        <w:pStyle w:val="ListParagraph"/>
        <w:widowControl w:val="0"/>
        <w:numPr>
          <w:ilvl w:val="0"/>
          <w:numId w:val="53"/>
        </w:numPr>
        <w:tabs>
          <w:tab w:val="num" w:pos="2160"/>
        </w:tabs>
        <w:rPr>
          <w:rFonts w:cs="Arial"/>
          <w:i/>
          <w:color w:val="000000"/>
        </w:rPr>
      </w:pPr>
      <w:r w:rsidRPr="007813DC">
        <w:rPr>
          <w:rFonts w:cs="Arial"/>
          <w:color w:val="000000"/>
        </w:rPr>
        <w:t>Designating a Security Officer to oversee such Party’s Data security program, carry out privacy programs and to act as the principal point of contact responsible for communicating on security matters with the CDE;</w:t>
      </w:r>
    </w:p>
    <w:p w14:paraId="02529136" w14:textId="77777777" w:rsidR="007813DC" w:rsidRPr="007813DC" w:rsidRDefault="007813DC" w:rsidP="007813DC">
      <w:pPr>
        <w:pStyle w:val="ListParagraph"/>
        <w:widowControl w:val="0"/>
        <w:numPr>
          <w:ilvl w:val="0"/>
          <w:numId w:val="53"/>
        </w:numPr>
        <w:tabs>
          <w:tab w:val="num" w:pos="2160"/>
        </w:tabs>
        <w:rPr>
          <w:rFonts w:cs="Arial"/>
        </w:rPr>
      </w:pPr>
      <w:r w:rsidRPr="007813DC">
        <w:rPr>
          <w:rFonts w:cs="Arial"/>
        </w:rPr>
        <w:t>Immediately reporting (within two hours of discovery) to the CDE any breach of security, as that phrase is used in California Civil Code section 1798.29(d), to:</w:t>
      </w:r>
    </w:p>
    <w:p w14:paraId="34996729" w14:textId="2816416E" w:rsidR="007813DC" w:rsidRPr="00CD55CD" w:rsidRDefault="007813DC" w:rsidP="007813DC">
      <w:pPr>
        <w:spacing w:before="5"/>
        <w:ind w:left="1440" w:hanging="360"/>
        <w:rPr>
          <w:rFonts w:cs="Arial"/>
          <w:color w:val="000000"/>
        </w:rPr>
      </w:pPr>
      <w:r w:rsidRPr="00CD55CD">
        <w:rPr>
          <w:rFonts w:cs="Arial"/>
          <w:b/>
          <w:color w:val="000000"/>
        </w:rPr>
        <w:t>Information Security Officer</w:t>
      </w:r>
    </w:p>
    <w:p w14:paraId="7C175F9E" w14:textId="77777777" w:rsidR="007813DC" w:rsidRPr="00CD55CD" w:rsidRDefault="007813DC" w:rsidP="007813DC">
      <w:pPr>
        <w:spacing w:before="5"/>
        <w:ind w:left="1440" w:hanging="360"/>
        <w:rPr>
          <w:rFonts w:cs="Arial"/>
          <w:color w:val="000000"/>
        </w:rPr>
      </w:pPr>
      <w:r w:rsidRPr="00CD55CD">
        <w:rPr>
          <w:rFonts w:cs="Arial"/>
          <w:color w:val="000000"/>
        </w:rPr>
        <w:t>California Department of Education</w:t>
      </w:r>
    </w:p>
    <w:p w14:paraId="27BC2B6F" w14:textId="77777777" w:rsidR="007813DC" w:rsidRPr="00CD55CD" w:rsidRDefault="007813DC" w:rsidP="007813DC">
      <w:pPr>
        <w:spacing w:before="5"/>
        <w:ind w:left="1440" w:hanging="360"/>
        <w:rPr>
          <w:rFonts w:cs="Arial"/>
          <w:color w:val="000000"/>
        </w:rPr>
      </w:pPr>
      <w:r>
        <w:rPr>
          <w:rFonts w:cs="Arial"/>
          <w:color w:val="000000"/>
        </w:rPr>
        <w:t>Technology</w:t>
      </w:r>
      <w:r w:rsidRPr="00CD55CD">
        <w:rPr>
          <w:rFonts w:cs="Arial"/>
          <w:color w:val="000000"/>
        </w:rPr>
        <w:t xml:space="preserve"> Services Division – Information Security Office</w:t>
      </w:r>
    </w:p>
    <w:p w14:paraId="78DAFEB0" w14:textId="77777777" w:rsidR="007813DC" w:rsidRPr="00CD55CD" w:rsidRDefault="007813DC" w:rsidP="007813DC">
      <w:pPr>
        <w:spacing w:before="5"/>
        <w:ind w:left="1440" w:hanging="360"/>
        <w:rPr>
          <w:rFonts w:cs="Arial"/>
          <w:color w:val="000000"/>
        </w:rPr>
      </w:pPr>
      <w:r w:rsidRPr="00CD55CD">
        <w:rPr>
          <w:rFonts w:cs="Arial"/>
          <w:color w:val="000000"/>
        </w:rPr>
        <w:t xml:space="preserve">1430 N Street, </w:t>
      </w:r>
      <w:smartTag w:uri="urn:schemas-microsoft-com:office:smarttags" w:element="address">
        <w:smartTag w:uri="urn:schemas-microsoft-com:office:smarttags" w:element="Street">
          <w:r w:rsidRPr="00CD55CD">
            <w:rPr>
              <w:rFonts w:cs="Arial"/>
              <w:color w:val="000000"/>
            </w:rPr>
            <w:t>Suite</w:t>
          </w:r>
        </w:smartTag>
        <w:r w:rsidRPr="00CD55CD">
          <w:rPr>
            <w:rFonts w:cs="Arial"/>
            <w:color w:val="000000"/>
          </w:rPr>
          <w:t xml:space="preserve"> 3712</w:t>
        </w:r>
      </w:smartTag>
    </w:p>
    <w:p w14:paraId="04699D14" w14:textId="77777777" w:rsidR="007813DC" w:rsidRPr="00CD55CD" w:rsidRDefault="007813DC" w:rsidP="007813DC">
      <w:pPr>
        <w:spacing w:before="5"/>
        <w:ind w:left="1440" w:hanging="360"/>
        <w:rPr>
          <w:rFonts w:cs="Arial"/>
          <w:color w:val="000000"/>
        </w:rPr>
      </w:pPr>
      <w:smartTag w:uri="urn:schemas-microsoft-com:office:smarttags" w:element="place">
        <w:smartTag w:uri="urn:schemas-microsoft-com:office:smarttags" w:element="City">
          <w:r w:rsidRPr="00CD55CD">
            <w:rPr>
              <w:rFonts w:cs="Arial"/>
              <w:color w:val="000000"/>
            </w:rPr>
            <w:t>Sacramento</w:t>
          </w:r>
        </w:smartTag>
        <w:r w:rsidRPr="00CD55CD">
          <w:rPr>
            <w:rFonts w:cs="Arial"/>
            <w:color w:val="000000"/>
          </w:rPr>
          <w:t xml:space="preserve">, </w:t>
        </w:r>
        <w:smartTag w:uri="urn:schemas-microsoft-com:office:smarttags" w:element="State">
          <w:r w:rsidRPr="00CD55CD">
            <w:rPr>
              <w:rFonts w:cs="Arial"/>
              <w:color w:val="000000"/>
            </w:rPr>
            <w:t>CA</w:t>
          </w:r>
        </w:smartTag>
        <w:r w:rsidRPr="00CD55CD">
          <w:rPr>
            <w:rFonts w:cs="Arial"/>
            <w:color w:val="000000"/>
          </w:rPr>
          <w:t xml:space="preserve"> </w:t>
        </w:r>
        <w:smartTag w:uri="urn:schemas-microsoft-com:office:smarttags" w:element="PostalCode">
          <w:r w:rsidRPr="00CD55CD">
            <w:rPr>
              <w:rFonts w:cs="Arial"/>
              <w:color w:val="000000"/>
            </w:rPr>
            <w:t>95814-5901</w:t>
          </w:r>
        </w:smartTag>
      </w:smartTag>
    </w:p>
    <w:p w14:paraId="62BBB48C" w14:textId="75B0733A" w:rsidR="007813DC" w:rsidRDefault="007813DC" w:rsidP="007813DC">
      <w:pPr>
        <w:spacing w:before="5"/>
        <w:ind w:left="1440" w:hanging="360"/>
        <w:rPr>
          <w:rFonts w:cs="Arial"/>
          <w:color w:val="000000"/>
        </w:rPr>
      </w:pPr>
      <w:r w:rsidRPr="00CD55CD">
        <w:rPr>
          <w:rFonts w:cs="Arial"/>
          <w:color w:val="000000"/>
        </w:rPr>
        <w:t>Office phone: 916-32</w:t>
      </w:r>
      <w:r w:rsidR="00EF3B33">
        <w:rPr>
          <w:rFonts w:cs="Arial"/>
          <w:color w:val="000000"/>
        </w:rPr>
        <w:t>7-3852</w:t>
      </w:r>
    </w:p>
    <w:p w14:paraId="560A461C" w14:textId="64C577C5" w:rsidR="007813DC" w:rsidRPr="00CD55CD" w:rsidRDefault="007813DC" w:rsidP="007813DC">
      <w:pPr>
        <w:spacing w:before="5" w:after="240"/>
        <w:ind w:left="1440" w:hanging="360"/>
        <w:rPr>
          <w:rFonts w:cs="Arial"/>
          <w:color w:val="000000"/>
        </w:rPr>
      </w:pPr>
      <w:r>
        <w:rPr>
          <w:rFonts w:cs="Arial"/>
          <w:color w:val="000000"/>
        </w:rPr>
        <w:t xml:space="preserve">Email: </w:t>
      </w:r>
      <w:hyperlink r:id="rId41" w:history="1">
        <w:r w:rsidRPr="00DF604B">
          <w:rPr>
            <w:rStyle w:val="Hyperlink"/>
            <w:rFonts w:cs="Arial"/>
          </w:rPr>
          <w:t>ISO@cde.ca.gov</w:t>
        </w:r>
      </w:hyperlink>
    </w:p>
    <w:p w14:paraId="6330858C" w14:textId="50E4D5CF" w:rsidR="007813DC" w:rsidRPr="007813DC" w:rsidRDefault="007813DC" w:rsidP="007813DC">
      <w:pPr>
        <w:pStyle w:val="ListParagraph"/>
        <w:widowControl w:val="0"/>
        <w:numPr>
          <w:ilvl w:val="0"/>
          <w:numId w:val="54"/>
        </w:numPr>
        <w:tabs>
          <w:tab w:val="num" w:pos="2160"/>
        </w:tabs>
        <w:spacing w:after="240"/>
        <w:ind w:left="1080"/>
        <w:rPr>
          <w:rFonts w:cs="Arial"/>
        </w:rPr>
      </w:pPr>
      <w:r w:rsidRPr="007813DC">
        <w:rPr>
          <w:rFonts w:cs="Arial"/>
          <w:color w:val="000000"/>
        </w:rPr>
        <w:t xml:space="preserve">Promptly taking corrective action to cure any breach of security, including immediately notifying the other parties and </w:t>
      </w:r>
      <w:proofErr w:type="gramStart"/>
      <w:r w:rsidRPr="007813DC">
        <w:rPr>
          <w:rFonts w:cs="Arial"/>
          <w:color w:val="000000"/>
        </w:rPr>
        <w:t>conducting an investigation</w:t>
      </w:r>
      <w:proofErr w:type="gramEnd"/>
      <w:r w:rsidRPr="007813DC">
        <w:rPr>
          <w:rFonts w:cs="Arial"/>
          <w:color w:val="000000"/>
        </w:rPr>
        <w:t xml:space="preserve"> of each breach and providing the other party with a written report of the investigation within thirty (30) working days of the discovery of the breach. All parties may be participants in the security breach investigation, or parties may conduct their own independent investigations, in which all parties shall fully cooperate. The party who experienced the security incident </w:t>
      </w:r>
      <w:proofErr w:type="gramStart"/>
      <w:r w:rsidRPr="007813DC">
        <w:rPr>
          <w:rFonts w:cs="Arial"/>
          <w:color w:val="000000"/>
        </w:rPr>
        <w:t>as a result of</w:t>
      </w:r>
      <w:proofErr w:type="gramEnd"/>
      <w:r w:rsidRPr="007813DC">
        <w:rPr>
          <w:rFonts w:cs="Arial"/>
          <w:color w:val="000000"/>
        </w:rPr>
        <w:t xml:space="preserve"> their failure to perform or negligent acts of its personnel, which resulted in a data breach shall be responsible for all costs incurred, including the costs to provide notice to the individuals whose data has been lost or breached.</w:t>
      </w:r>
    </w:p>
    <w:p w14:paraId="578042D8" w14:textId="75EB55FD" w:rsidR="007813DC" w:rsidRPr="007813DC" w:rsidRDefault="007813DC" w:rsidP="007813DC">
      <w:pPr>
        <w:pStyle w:val="ListParagraph"/>
        <w:widowControl w:val="0"/>
        <w:numPr>
          <w:ilvl w:val="0"/>
          <w:numId w:val="54"/>
        </w:numPr>
        <w:tabs>
          <w:tab w:val="num" w:pos="2160"/>
        </w:tabs>
        <w:spacing w:after="240"/>
        <w:ind w:left="1080"/>
        <w:rPr>
          <w:rFonts w:cs="Arial"/>
        </w:rPr>
      </w:pPr>
      <w:r w:rsidRPr="007813DC">
        <w:rPr>
          <w:rFonts w:cs="Arial"/>
        </w:rPr>
        <w:t>Implementing any other reasonable security protocols for PII or Student or Individual-Level Data that may be prescribed by the CDE’s Technology Service Division in a written notice to Contractor.</w:t>
      </w:r>
    </w:p>
    <w:p w14:paraId="6E914364" w14:textId="77777777" w:rsidR="007813DC" w:rsidRPr="007813DC" w:rsidRDefault="007813DC" w:rsidP="007813DC">
      <w:pPr>
        <w:pStyle w:val="ListParagraph"/>
        <w:widowControl w:val="0"/>
        <w:numPr>
          <w:ilvl w:val="0"/>
          <w:numId w:val="54"/>
        </w:numPr>
        <w:tabs>
          <w:tab w:val="num" w:pos="2160"/>
        </w:tabs>
        <w:spacing w:after="240"/>
        <w:ind w:left="1080"/>
        <w:rPr>
          <w:rFonts w:cs="Arial"/>
        </w:rPr>
      </w:pPr>
      <w:r w:rsidRPr="007813DC">
        <w:rPr>
          <w:rFonts w:cs="Arial"/>
        </w:rPr>
        <w:t>Making and distributing copies of Data only as necessary to perform the obligations hereunder in full compliance with the other terms hereof, keeping accurate records of any such copies (including any back-ups), and legally and physically controlling such copies in a manner that prevents unauthorized duplication, use or disclosure.</w:t>
      </w:r>
    </w:p>
    <w:p w14:paraId="22A0AF20" w14:textId="72ADB4A3" w:rsidR="007813DC" w:rsidRPr="007813DC" w:rsidRDefault="007813DC" w:rsidP="007813DC">
      <w:pPr>
        <w:spacing w:after="240"/>
        <w:ind w:left="360"/>
        <w:rPr>
          <w:rFonts w:cs="Arial"/>
          <w:color w:val="000000"/>
        </w:rPr>
      </w:pPr>
      <w:r w:rsidRPr="007813DC">
        <w:rPr>
          <w:rFonts w:cs="Arial"/>
          <w:color w:val="000000"/>
        </w:rPr>
        <w:t>The Contractor shall retain copies of the compliance agreements, which include signed confidentiality statements, training certifications, and other documentation necessary to demonstrate compliance with the above provisions and provide copies to the CDE upon CDE’s written request.</w:t>
      </w:r>
    </w:p>
    <w:p w14:paraId="6D48CE1B" w14:textId="0992E30F" w:rsidR="007813DC" w:rsidRPr="00ED501F" w:rsidRDefault="007813DC" w:rsidP="00ED501F">
      <w:pPr>
        <w:pStyle w:val="ListParagraph"/>
        <w:numPr>
          <w:ilvl w:val="1"/>
          <w:numId w:val="55"/>
        </w:numPr>
        <w:spacing w:after="240"/>
        <w:ind w:left="360"/>
        <w:rPr>
          <w:rFonts w:cs="Arial"/>
        </w:rPr>
      </w:pPr>
      <w:r w:rsidRPr="00ED501F">
        <w:rPr>
          <w:rFonts w:cs="Arial"/>
          <w:u w:val="single"/>
        </w:rPr>
        <w:lastRenderedPageBreak/>
        <w:t>Data Formatting and Delivery:</w:t>
      </w:r>
      <w:r w:rsidRPr="00ED501F">
        <w:rPr>
          <w:rFonts w:cs="Arial"/>
        </w:rPr>
        <w:t xml:space="preserve"> All PII or Student or Individual-Level Data to be delivered from one party to the other hereunder shall i) be in a format, ii) use nomenclature, iii) be delivered in compliance with security protocols, and iv) meet any other specifications, all as set forth in Data delivery and file layout specifications approved by the CDE Education Data Management Division. As early as reasonably possible in the Data delivery process, but in no event less than 12 weeks prior to Data delivery to CDE or 6 weeks prior to Data delivery to Contractor, Contractor shall submit for CDE approval its proposed Data delivery and file layout specifications, including the proposed secure file transfer protocols, formatting, nomenclature and other specifications to be used.  The scope of work may specify additional requirements for the proposed data delivery and file layout specifications, such as additional time between the proposed Data Delivery and file layout specification and Data delivery for those cases where a data reporting structure needs to be built, where special provisions are needed for working with other CDE Contractors, etc.</w:t>
      </w:r>
    </w:p>
    <w:p w14:paraId="33A8F3EA" w14:textId="1A5E449F" w:rsidR="007813DC" w:rsidRPr="007813DC" w:rsidRDefault="007813DC" w:rsidP="007813DC">
      <w:pPr>
        <w:widowControl w:val="0"/>
        <w:numPr>
          <w:ilvl w:val="0"/>
          <w:numId w:val="51"/>
        </w:numPr>
        <w:spacing w:after="240"/>
        <w:ind w:left="720"/>
        <w:rPr>
          <w:rFonts w:cs="Arial"/>
        </w:rPr>
      </w:pPr>
      <w:r w:rsidRPr="007813DC">
        <w:rPr>
          <w:rFonts w:cs="Arial"/>
          <w:u w:val="single"/>
        </w:rPr>
        <w:t xml:space="preserve">Data Delivered to CDE: </w:t>
      </w:r>
      <w:r w:rsidRPr="007813DC">
        <w:rPr>
          <w:rFonts w:cs="Arial"/>
        </w:rPr>
        <w:t xml:space="preserve">Unless otherwise agreed by the CDE in writing, Contractor shall use CDE’s Preferred Variation of each data element in the proposed file layout specification for data delivery to the CDE. </w:t>
      </w:r>
      <w:proofErr w:type="gramStart"/>
      <w:r w:rsidRPr="007813DC">
        <w:rPr>
          <w:rFonts w:cs="Arial"/>
        </w:rPr>
        <w:t>In the event that</w:t>
      </w:r>
      <w:proofErr w:type="gramEnd"/>
      <w:r w:rsidRPr="007813DC">
        <w:rPr>
          <w:rFonts w:cs="Arial"/>
        </w:rPr>
        <w:t xml:space="preserve"> CDE has not yet formulated a Preferred Variation for </w:t>
      </w:r>
      <w:r w:rsidRPr="007813DC">
        <w:rPr>
          <w:rFonts w:cs="Arial"/>
          <w:szCs w:val="16"/>
        </w:rPr>
        <w:t xml:space="preserve">a particular Data element, Contractor shall consult with CDE to reach a resolution. </w:t>
      </w:r>
      <w:r w:rsidRPr="007813DC">
        <w:rPr>
          <w:rFonts w:cs="Arial"/>
        </w:rPr>
        <w:t xml:space="preserve">Contractor shall cooperate with CDE and shall </w:t>
      </w:r>
      <w:proofErr w:type="gramStart"/>
      <w:r w:rsidRPr="007813DC">
        <w:rPr>
          <w:rFonts w:cs="Arial"/>
        </w:rPr>
        <w:t>make each change</w:t>
      </w:r>
      <w:proofErr w:type="gramEnd"/>
      <w:r w:rsidRPr="007813DC">
        <w:rPr>
          <w:rFonts w:cs="Arial"/>
        </w:rPr>
        <w:t xml:space="preserve"> to the proposed Data delivery and file layout specification that is requested by the CDE </w:t>
      </w:r>
      <w:proofErr w:type="gramStart"/>
      <w:r w:rsidRPr="007813DC">
        <w:rPr>
          <w:rFonts w:cs="Arial"/>
        </w:rPr>
        <w:t>in order to</w:t>
      </w:r>
      <w:proofErr w:type="gramEnd"/>
      <w:r w:rsidRPr="007813DC">
        <w:rPr>
          <w:rFonts w:cs="Arial"/>
        </w:rPr>
        <w:t xml:space="preserve"> gain written approval. Thereafter, all PII and Student or Individual-Level Data shall be delivered in a file conforming to the approved Data delivery and file layout specifications, as they may be revised from time-to-time.</w:t>
      </w:r>
      <w:r w:rsidRPr="007813DC">
        <w:rPr>
          <w:rFonts w:cs="Arial"/>
          <w:szCs w:val="16"/>
        </w:rPr>
        <w:t xml:space="preserve"> </w:t>
      </w:r>
      <w:r w:rsidRPr="007813DC">
        <w:rPr>
          <w:rFonts w:cs="Arial"/>
        </w:rPr>
        <w:t xml:space="preserve">In addition, all PII and Student-Level Data deliveries to the CDE shall be accompanied by a complete </w:t>
      </w:r>
      <w:r w:rsidRPr="007813DC">
        <w:rPr>
          <w:rFonts w:cs="Arial"/>
          <w:szCs w:val="16"/>
        </w:rPr>
        <w:t>Data Dictionary that describes and defines in detail the meaning of all symbols, abbreviations, codes and other descriptors contained in the file provided by Contractor to the CDE.</w:t>
      </w:r>
    </w:p>
    <w:p w14:paraId="312B3A53" w14:textId="51A93EF2" w:rsidR="007813DC" w:rsidRPr="007813DC" w:rsidRDefault="007813DC" w:rsidP="007813DC">
      <w:pPr>
        <w:pStyle w:val="ListParagraph"/>
        <w:numPr>
          <w:ilvl w:val="0"/>
          <w:numId w:val="51"/>
        </w:numPr>
        <w:spacing w:after="240"/>
        <w:ind w:left="720"/>
        <w:rPr>
          <w:rFonts w:cs="Arial"/>
        </w:rPr>
      </w:pPr>
      <w:r w:rsidRPr="007813DC">
        <w:rPr>
          <w:rFonts w:cs="Arial"/>
          <w:u w:val="single"/>
        </w:rPr>
        <w:t>Data Delivered to Contractor:</w:t>
      </w:r>
      <w:r w:rsidRPr="007813DC">
        <w:rPr>
          <w:rFonts w:cs="Arial"/>
        </w:rPr>
        <w:t xml:space="preserve"> If a scope of work specifies the delivery of PII or Student or Individual-Level Data from CDE to Contractor, Contractor shall specify its requested Data delivery and file layout specifications by submitting a proposal to the CDE for approval.  The CDE will review the requested specifications for inconsistencies, data definitions that do not align with CDE’s preferred variations and for data elements that do not yet exist or need extraction, redaction, compilation, aggregation or the like. The CDE will indicate to Contractor whether the request can be met and CDE’s estimated costs to meet such requirements.  The parties shall revise the Data delivery and file layout specifications until mutually acceptable.  Unless otherwise agreed in writing in advance, CDE may charge Contractor for its reasonable costs, including staff time, computing time and materials, </w:t>
      </w:r>
      <w:proofErr w:type="gramStart"/>
      <w:r w:rsidRPr="007813DC">
        <w:rPr>
          <w:rFonts w:cs="Arial"/>
        </w:rPr>
        <w:t>in order to</w:t>
      </w:r>
      <w:proofErr w:type="gramEnd"/>
      <w:r w:rsidRPr="007813DC">
        <w:rPr>
          <w:rFonts w:cs="Arial"/>
        </w:rPr>
        <w:t xml:space="preserve"> meet Contractor’s requested specifications.</w:t>
      </w:r>
    </w:p>
    <w:p w14:paraId="0E4F74F3" w14:textId="1B2C2A52" w:rsidR="007813DC" w:rsidRPr="007813DC" w:rsidRDefault="007813DC" w:rsidP="007813DC">
      <w:pPr>
        <w:spacing w:after="240"/>
        <w:ind w:left="360"/>
        <w:rPr>
          <w:rFonts w:cs="Arial"/>
        </w:rPr>
      </w:pPr>
      <w:r w:rsidRPr="007813DC">
        <w:rPr>
          <w:rFonts w:cs="Arial"/>
          <w:szCs w:val="16"/>
        </w:rPr>
        <w:t>Contractor acknowledges that CDE maintains and uses Data collected from a variety of diverse sources and that compliance with these Data formatting and delivery provisions is necessary to maintain Data order and for the consistent and effective use of Data by the CDE, regardless of the source of the Data and</w:t>
      </w:r>
      <w:r>
        <w:rPr>
          <w:rFonts w:cs="Arial"/>
          <w:szCs w:val="16"/>
        </w:rPr>
        <w:t xml:space="preserve"> </w:t>
      </w:r>
      <w:r w:rsidRPr="007813DC">
        <w:rPr>
          <w:rFonts w:cs="Arial"/>
          <w:szCs w:val="16"/>
        </w:rPr>
        <w:t>regardless of how the Data has</w:t>
      </w:r>
      <w:r w:rsidRPr="007813DC">
        <w:rPr>
          <w:rFonts w:cs="Arial"/>
        </w:rPr>
        <w:t xml:space="preserve"> been collected, developed, matched, aggregated, linked, connected or otherwise generated for use by CDE.</w:t>
      </w:r>
    </w:p>
    <w:p w14:paraId="5CB101E6" w14:textId="5B6C6DEA" w:rsidR="007813DC" w:rsidRPr="00ED501F" w:rsidRDefault="007813DC" w:rsidP="00ED501F">
      <w:pPr>
        <w:pStyle w:val="ListParagraph"/>
        <w:numPr>
          <w:ilvl w:val="1"/>
          <w:numId w:val="55"/>
        </w:numPr>
        <w:spacing w:after="240"/>
        <w:ind w:left="360"/>
        <w:contextualSpacing w:val="0"/>
        <w:rPr>
          <w:rFonts w:cs="Arial"/>
        </w:rPr>
      </w:pPr>
      <w:r w:rsidRPr="00ED501F">
        <w:rPr>
          <w:rFonts w:cs="Arial"/>
          <w:u w:val="single"/>
        </w:rPr>
        <w:t>De-Identification of PII:</w:t>
      </w:r>
      <w:r w:rsidRPr="00ED501F">
        <w:rPr>
          <w:rFonts w:cs="Arial"/>
        </w:rPr>
        <w:t xml:space="preserve"> Contractor may not attempt to create, use or disclose Aggregated Data or other forms of de-identified Data, except as CDE may expressly authorized in writing in the Scope of Work. Any Aggregated Data that is authorized by CDE shall be created in compliance with best practices to minimize</w:t>
      </w:r>
      <w:r w:rsidR="00243D04" w:rsidRPr="00ED501F">
        <w:rPr>
          <w:rFonts w:cs="Arial"/>
        </w:rPr>
        <w:t xml:space="preserve"> </w:t>
      </w:r>
      <w:r w:rsidRPr="00ED501F">
        <w:rPr>
          <w:rFonts w:cs="Arial"/>
        </w:rPr>
        <w:t xml:space="preserve">disclosure risk (e.g., those outlined in the NCES </w:t>
      </w:r>
      <w:r w:rsidRPr="00ED501F">
        <w:rPr>
          <w:rFonts w:cs="Arial"/>
        </w:rPr>
        <w:lastRenderedPageBreak/>
        <w:t>SLDS Technical Brief “</w:t>
      </w:r>
      <w:hyperlink r:id="rId42" w:history="1">
        <w:r w:rsidRPr="00ED501F">
          <w:rPr>
            <w:rStyle w:val="Hyperlink"/>
            <w:rFonts w:cs="Arial"/>
          </w:rPr>
          <w:t>Statistical Methods for Protecting Personally Identifiable Information in Aggregate Reporting</w:t>
        </w:r>
      </w:hyperlink>
      <w:r w:rsidRPr="00ED501F">
        <w:rPr>
          <w:rFonts w:cs="Arial"/>
        </w:rPr>
        <w:t>”) and shall be aggregated using a methodology approved in writing in advance by the CDE.</w:t>
      </w:r>
    </w:p>
    <w:p w14:paraId="37538FFB" w14:textId="00B78499" w:rsidR="007813DC" w:rsidRPr="00ED501F" w:rsidRDefault="007813DC" w:rsidP="00ED501F">
      <w:pPr>
        <w:pStyle w:val="ListParagraph"/>
        <w:numPr>
          <w:ilvl w:val="1"/>
          <w:numId w:val="55"/>
        </w:numPr>
        <w:spacing w:after="240"/>
        <w:ind w:left="360"/>
        <w:contextualSpacing w:val="0"/>
        <w:rPr>
          <w:rFonts w:cs="Arial"/>
        </w:rPr>
      </w:pPr>
      <w:r w:rsidRPr="00ED501F">
        <w:rPr>
          <w:rFonts w:cs="Arial"/>
          <w:szCs w:val="16"/>
          <w:u w:val="single"/>
        </w:rPr>
        <w:t>Data Destruction</w:t>
      </w:r>
      <w:r w:rsidRPr="00ED501F">
        <w:rPr>
          <w:rFonts w:cs="Arial"/>
          <w:szCs w:val="16"/>
        </w:rPr>
        <w:t xml:space="preserve">: Contractor shall return or destroy in accordance with the CDE’s instructions </w:t>
      </w:r>
      <w:proofErr w:type="gramStart"/>
      <w:r w:rsidRPr="00ED501F">
        <w:rPr>
          <w:rFonts w:cs="Arial"/>
          <w:szCs w:val="16"/>
        </w:rPr>
        <w:t>any and all</w:t>
      </w:r>
      <w:proofErr w:type="gramEnd"/>
      <w:r w:rsidRPr="00ED501F">
        <w:rPr>
          <w:rFonts w:cs="Arial"/>
          <w:szCs w:val="16"/>
        </w:rPr>
        <w:t xml:space="preserve"> CDE Data, including, without limitation, Data: i) provided by CDE hereunder, ii) developed by Contractor for CDE hereunder, or iii) otherwise owned by CDE. Such return or destruction shall occur i) immediately upon CDE’s</w:t>
      </w:r>
      <w:r w:rsidR="00ED501F" w:rsidRPr="00ED501F">
        <w:rPr>
          <w:rFonts w:cs="Arial"/>
          <w:szCs w:val="16"/>
        </w:rPr>
        <w:t xml:space="preserve"> </w:t>
      </w:r>
      <w:r w:rsidRPr="00ED501F">
        <w:rPr>
          <w:rFonts w:cs="Arial"/>
        </w:rPr>
        <w:t>request, ii) immediately upon termination of this agreement, or iii) prior to any merger, combination, acquisition, or other change in control of the Contractor, unless CDE, at its sole discretion, gives prior written consent to the change in control and the appropriate parties execute any additional documents CDE specifies in order to preserve or extend the obligations hereunder. Unless otherwise agreed to in writing by the CDE, such destruction shall include Data that is publicly available; however, nothing herein shall prevent the Contractor from thereafter obtaining such Data from publicly available sources. Contractor agrees to submit a letter to the CDE within thirty (30) calendar days of the destruction of the Data attesting to the destruction of all Data obtained from the CDE under this Agreement.</w:t>
      </w:r>
    </w:p>
    <w:p w14:paraId="4CA874F0" w14:textId="5B3AA2BF" w:rsidR="007813DC" w:rsidRPr="00ED501F" w:rsidRDefault="007813DC" w:rsidP="00ED501F">
      <w:pPr>
        <w:pStyle w:val="ListParagraph"/>
        <w:numPr>
          <w:ilvl w:val="1"/>
          <w:numId w:val="55"/>
        </w:numPr>
        <w:spacing w:after="240"/>
        <w:ind w:left="360"/>
        <w:contextualSpacing w:val="0"/>
        <w:rPr>
          <w:rFonts w:cs="Arial"/>
          <w:b/>
          <w:u w:val="single"/>
        </w:rPr>
      </w:pPr>
      <w:r w:rsidRPr="00ED501F">
        <w:rPr>
          <w:rFonts w:cs="Arial"/>
          <w:bCs/>
          <w:u w:val="single"/>
        </w:rPr>
        <w:t>Data Ownership and Possession:</w:t>
      </w:r>
      <w:r w:rsidRPr="00ED501F">
        <w:rPr>
          <w:rFonts w:cs="Arial"/>
        </w:rPr>
        <w:t xml:space="preserve"> Contractor acknowledges that </w:t>
      </w:r>
      <w:proofErr w:type="gramStart"/>
      <w:r w:rsidRPr="00ED501F">
        <w:rPr>
          <w:rFonts w:cs="Arial"/>
        </w:rPr>
        <w:t>any and all</w:t>
      </w:r>
      <w:proofErr w:type="gramEnd"/>
      <w:r w:rsidRPr="00ED501F">
        <w:rPr>
          <w:rFonts w:cs="Arial"/>
        </w:rPr>
        <w:t xml:space="preserve"> Data that </w:t>
      </w:r>
      <w:proofErr w:type="gramStart"/>
      <w:r w:rsidRPr="00ED501F">
        <w:rPr>
          <w:rFonts w:cs="Arial"/>
        </w:rPr>
        <w:t>are</w:t>
      </w:r>
      <w:proofErr w:type="gramEnd"/>
      <w:r w:rsidRPr="00ED501F">
        <w:rPr>
          <w:rFonts w:cs="Arial"/>
        </w:rPr>
        <w:t xml:space="preserve"> collected, developed and/or generated by Contractor at CDE’s expense are the sole and exclusive Proprietary Information of the CDE and may not be used or disclosed by Contractor except as expressly permitted by the CDE in writing. CDE acknowledges that software and Data previously developed by Contractor at Contractor’s sole expense, without contribution or reimbursement from CDE, is Contractor Proprietary Information.</w:t>
      </w:r>
    </w:p>
    <w:p w14:paraId="2319528E" w14:textId="2671DAA0" w:rsidR="0042374C" w:rsidRPr="00ED501F" w:rsidRDefault="007813DC" w:rsidP="00ED501F">
      <w:pPr>
        <w:pStyle w:val="ListParagraph"/>
        <w:numPr>
          <w:ilvl w:val="1"/>
          <w:numId w:val="55"/>
        </w:numPr>
        <w:spacing w:after="240"/>
        <w:ind w:left="360"/>
        <w:contextualSpacing w:val="0"/>
        <w:rPr>
          <w:rFonts w:cs="Arial"/>
          <w:u w:val="single"/>
        </w:rPr>
      </w:pPr>
      <w:r w:rsidRPr="00ED501F">
        <w:rPr>
          <w:rFonts w:cs="Arial"/>
          <w:u w:val="single"/>
        </w:rPr>
        <w:t>Subsequent Data Disclosures:</w:t>
      </w:r>
      <w:r w:rsidRPr="00ED501F">
        <w:rPr>
          <w:rFonts w:cs="Arial"/>
        </w:rPr>
        <w:t xml:space="preserve"> Notwithstanding any other provision of this Agreement, any future disclosure of PII or Student or Individual-Level Data by the CDE is subject to CDE’s internal approval processes and applicable law</w:t>
      </w:r>
      <w:r w:rsidR="00ED501F" w:rsidRPr="00ED501F">
        <w:rPr>
          <w:rFonts w:cs="Arial"/>
        </w:rPr>
        <w:t>.</w:t>
      </w:r>
    </w:p>
    <w:p w14:paraId="2BD15651" w14:textId="30C33C7A" w:rsidR="008D60E8" w:rsidRPr="00713542" w:rsidRDefault="008D60E8" w:rsidP="00F67ED5">
      <w:pPr>
        <w:pStyle w:val="Heading3"/>
      </w:pPr>
      <w:r>
        <w:t>10.</w:t>
      </w:r>
      <w:r w:rsidR="00AA6376">
        <w:t>3</w:t>
      </w:r>
      <w:r>
        <w:t xml:space="preserve"> </w:t>
      </w:r>
      <w:r w:rsidRPr="00713542">
        <w:t>Resolution of Disputes</w:t>
      </w:r>
    </w:p>
    <w:p w14:paraId="18E92F94" w14:textId="63151A5A" w:rsidR="008D60E8" w:rsidRDefault="008D60E8" w:rsidP="008D60E8">
      <w:pPr>
        <w:spacing w:before="240" w:after="240"/>
        <w:rPr>
          <w:rFonts w:cs="Arial"/>
        </w:rPr>
      </w:pPr>
      <w:r w:rsidRPr="00713542">
        <w:rPr>
          <w:rFonts w:cs="Arial"/>
        </w:rPr>
        <w:t xml:space="preserve">If the </w:t>
      </w:r>
      <w:r w:rsidR="00EF3B33">
        <w:rPr>
          <w:rFonts w:cs="Arial"/>
        </w:rPr>
        <w:t>C</w:t>
      </w:r>
      <w:r w:rsidRPr="00713542">
        <w:rPr>
          <w:rFonts w:cs="Arial"/>
        </w:rPr>
        <w:t xml:space="preserve">ontractor disputes any action by the CDE Contract Monitor arising under or out of the performance of this contract, the </w:t>
      </w:r>
      <w:r w:rsidR="00603E33">
        <w:rPr>
          <w:rFonts w:cs="Arial"/>
        </w:rPr>
        <w:t>C</w:t>
      </w:r>
      <w:r w:rsidRPr="00713542">
        <w:rPr>
          <w:rFonts w:cs="Arial"/>
        </w:rPr>
        <w:t xml:space="preserve">ontractor shall notify the </w:t>
      </w:r>
      <w:r w:rsidR="00EF3B33">
        <w:rPr>
          <w:rFonts w:cs="Arial"/>
        </w:rPr>
        <w:t>CDE C</w:t>
      </w:r>
      <w:r w:rsidR="00603E33">
        <w:rPr>
          <w:rFonts w:cs="Arial"/>
        </w:rPr>
        <w:t>ontract</w:t>
      </w:r>
      <w:r w:rsidRPr="00713542">
        <w:rPr>
          <w:rFonts w:cs="Arial"/>
        </w:rPr>
        <w:t xml:space="preserve"> </w:t>
      </w:r>
      <w:r w:rsidR="00EF3B33">
        <w:rPr>
          <w:rFonts w:cs="Arial"/>
        </w:rPr>
        <w:t>M</w:t>
      </w:r>
      <w:r w:rsidRPr="00713542">
        <w:rPr>
          <w:rFonts w:cs="Arial"/>
        </w:rPr>
        <w:t xml:space="preserve">onitor of the dispute in writing and request a claims decision. The CDE Contract Monitor shall issue a decision within 30 days of the </w:t>
      </w:r>
      <w:r w:rsidR="00603E33">
        <w:rPr>
          <w:rFonts w:cs="Arial"/>
        </w:rPr>
        <w:t>C</w:t>
      </w:r>
      <w:r w:rsidRPr="00713542">
        <w:rPr>
          <w:rFonts w:cs="Arial"/>
        </w:rPr>
        <w:t xml:space="preserve">ontractor's notice. If the </w:t>
      </w:r>
      <w:r w:rsidR="00EF3B33">
        <w:rPr>
          <w:rFonts w:cs="Arial"/>
        </w:rPr>
        <w:t>C</w:t>
      </w:r>
      <w:r w:rsidRPr="00713542">
        <w:rPr>
          <w:rFonts w:cs="Arial"/>
        </w:rPr>
        <w:t xml:space="preserve">ontractor disagrees with the CDE Contract Monitor’s claims decision, the </w:t>
      </w:r>
      <w:r w:rsidR="00603E33">
        <w:rPr>
          <w:rFonts w:cs="Arial"/>
        </w:rPr>
        <w:t>C</w:t>
      </w:r>
      <w:r w:rsidRPr="00713542">
        <w:rPr>
          <w:rFonts w:cs="Arial"/>
        </w:rPr>
        <w:t>ontractor shall submit a formal claim to the Superintendent of Public Instruction or the Superintendent's designee. The decision of the Superintendent shall be final and conclusive on the claim unless the decision is</w:t>
      </w:r>
      <w:r w:rsidRPr="001A00A5">
        <w:rPr>
          <w:rFonts w:cs="Arial"/>
          <w:strike/>
        </w:rPr>
        <w:t xml:space="preserve"> </w:t>
      </w:r>
      <w:r w:rsidRPr="001C416E">
        <w:rPr>
          <w:rFonts w:cs="Arial"/>
        </w:rPr>
        <w:t xml:space="preserve">arbitrary or capricious. The decision may encompass facts, interpretations of the contract, and determinations or applications of law. The decision shall be in writing following an opportunity for the </w:t>
      </w:r>
      <w:r w:rsidR="00603E33">
        <w:rPr>
          <w:rFonts w:cs="Arial"/>
        </w:rPr>
        <w:t>C</w:t>
      </w:r>
      <w:r w:rsidRPr="001C416E">
        <w:rPr>
          <w:rFonts w:cs="Arial"/>
        </w:rPr>
        <w:t>ontractor to present oral or documentary evidence and arguments in support of the claim. Contractor shall continue with the responsibilities under this Agreement during any dispute.</w:t>
      </w:r>
    </w:p>
    <w:p w14:paraId="0F7A4893" w14:textId="07822197" w:rsidR="008D60E8" w:rsidRPr="005420EF" w:rsidRDefault="00AA6376" w:rsidP="00F67ED5">
      <w:pPr>
        <w:pStyle w:val="Heading3"/>
      </w:pPr>
      <w:r>
        <w:t>10.4</w:t>
      </w:r>
      <w:r w:rsidR="008D60E8" w:rsidRPr="00152C31">
        <w:t xml:space="preserve"> Right to Terminate </w:t>
      </w:r>
    </w:p>
    <w:p w14:paraId="613EE8A5" w14:textId="77777777" w:rsidR="008D60E8" w:rsidRPr="00D53A35" w:rsidRDefault="008D60E8" w:rsidP="008D60E8">
      <w:pPr>
        <w:spacing w:before="240" w:after="240"/>
        <w:rPr>
          <w:rFonts w:cs="Arial"/>
          <w:szCs w:val="24"/>
        </w:rPr>
      </w:pPr>
      <w:r w:rsidRPr="00D53A35">
        <w:rPr>
          <w:rFonts w:cs="Arial"/>
          <w:szCs w:val="24"/>
        </w:rPr>
        <w:t xml:space="preserve">The State reserves the right to terminate this </w:t>
      </w:r>
      <w:r>
        <w:rPr>
          <w:rFonts w:cs="Arial"/>
          <w:szCs w:val="24"/>
        </w:rPr>
        <w:t>contract</w:t>
      </w:r>
      <w:r w:rsidRPr="00D53A35">
        <w:rPr>
          <w:rFonts w:cs="Arial"/>
          <w:szCs w:val="24"/>
        </w:rPr>
        <w:t xml:space="preserve"> subject to 30</w:t>
      </w:r>
      <w:r>
        <w:rPr>
          <w:rFonts w:cs="Arial"/>
          <w:szCs w:val="24"/>
        </w:rPr>
        <w:t>-</w:t>
      </w:r>
      <w:proofErr w:type="gramStart"/>
      <w:r w:rsidRPr="00D53A35">
        <w:rPr>
          <w:rFonts w:cs="Arial"/>
          <w:szCs w:val="24"/>
        </w:rPr>
        <w:t>days</w:t>
      </w:r>
      <w:proofErr w:type="gramEnd"/>
      <w:r w:rsidRPr="00D53A35">
        <w:rPr>
          <w:rFonts w:cs="Arial"/>
          <w:szCs w:val="24"/>
        </w:rPr>
        <w:t xml:space="preserve"> written notice to the Contractor. Contractor may submit a written request to terminate this </w:t>
      </w:r>
      <w:r>
        <w:rPr>
          <w:rFonts w:cs="Arial"/>
          <w:szCs w:val="24"/>
        </w:rPr>
        <w:t>contract</w:t>
      </w:r>
      <w:r w:rsidRPr="00D53A35">
        <w:rPr>
          <w:rFonts w:cs="Arial"/>
          <w:szCs w:val="24"/>
        </w:rPr>
        <w:t xml:space="preserve"> only if the State should substantially fail to perform its responsibilities as provided herein.</w:t>
      </w:r>
    </w:p>
    <w:p w14:paraId="456FF974" w14:textId="77777777" w:rsidR="008D60E8" w:rsidRPr="00D53A35" w:rsidRDefault="008D60E8" w:rsidP="008D60E8">
      <w:pPr>
        <w:spacing w:before="240" w:after="240"/>
        <w:rPr>
          <w:rFonts w:cs="Arial"/>
          <w:szCs w:val="24"/>
        </w:rPr>
      </w:pPr>
      <w:r w:rsidRPr="00D53A35">
        <w:rPr>
          <w:rFonts w:cs="Arial"/>
          <w:szCs w:val="24"/>
        </w:rPr>
        <w:lastRenderedPageBreak/>
        <w:t xml:space="preserve">However, the </w:t>
      </w:r>
      <w:r>
        <w:rPr>
          <w:rFonts w:cs="Arial"/>
          <w:szCs w:val="24"/>
        </w:rPr>
        <w:t>contract</w:t>
      </w:r>
      <w:r w:rsidRPr="00D53A35">
        <w:rPr>
          <w:rFonts w:cs="Arial"/>
          <w:szCs w:val="24"/>
        </w:rPr>
        <w:t xml:space="preserve"> can be immediately terminated for cause</w:t>
      </w:r>
      <w:r>
        <w:rPr>
          <w:rFonts w:cs="Arial"/>
          <w:szCs w:val="24"/>
        </w:rPr>
        <w:t xml:space="preserve"> by the State</w:t>
      </w:r>
      <w:r w:rsidRPr="00D53A35">
        <w:rPr>
          <w:rFonts w:cs="Arial"/>
          <w:szCs w:val="24"/>
        </w:rPr>
        <w:t>. The term “for cause” shall mean that the Contractor fails to meet the terms, conditions, and/or responsibilities of the contract. In this instance, the contract termination shall be effective as of the date indicated on the State’s notification to the Contractor.</w:t>
      </w:r>
    </w:p>
    <w:p w14:paraId="73C1A61D" w14:textId="17B7BC23" w:rsidR="008D60E8" w:rsidRDefault="008D60E8" w:rsidP="008D60E8">
      <w:pPr>
        <w:spacing w:before="240" w:after="240"/>
        <w:rPr>
          <w:rFonts w:cs="Arial"/>
          <w:szCs w:val="24"/>
        </w:rPr>
      </w:pPr>
      <w:r w:rsidRPr="00D53A35">
        <w:rPr>
          <w:rFonts w:cs="Arial"/>
          <w:szCs w:val="24"/>
        </w:rPr>
        <w:t>This agreement may be suspended or cancelled without notice, at the option of the Contractor, if the Contractor or State’s premises or equipment are destroyed by fire or other catastrophe, or so substantially damaged that it is impractical to continue service, or in the event the Contractor is unable to render services as a result of any action by any governmental authority.</w:t>
      </w:r>
    </w:p>
    <w:p w14:paraId="312CFBEC" w14:textId="577FA3E5" w:rsidR="00ED501F" w:rsidRDefault="00ED501F" w:rsidP="00F67ED5">
      <w:pPr>
        <w:pStyle w:val="Heading3"/>
      </w:pPr>
      <w:r>
        <w:t>10.5 Termination for Targets of Economic Sanctions; Executive Order N-6-22 – Russia Sanctions</w:t>
      </w:r>
    </w:p>
    <w:p w14:paraId="25C95A70" w14:textId="784B385D" w:rsidR="00ED501F" w:rsidRPr="004C287D" w:rsidRDefault="00831144" w:rsidP="00ED501F">
      <w:pPr>
        <w:rPr>
          <w:sz w:val="28"/>
        </w:rPr>
      </w:pPr>
      <w:r w:rsidRPr="00831144">
        <w:rPr>
          <w:szCs w:val="23"/>
        </w:rPr>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Accordingly, should the State determine Contractor is a target of Economic Sanctions or is conducting prohibited transactions with sanctioned individuals or entities, that shall be grounds for termination of this agreement. The State shall provide </w:t>
      </w:r>
      <w:proofErr w:type="gramStart"/>
      <w:r w:rsidRPr="00831144">
        <w:rPr>
          <w:szCs w:val="23"/>
        </w:rPr>
        <w:t>Contractor</w:t>
      </w:r>
      <w:proofErr w:type="gramEnd"/>
      <w:r w:rsidRPr="00831144">
        <w:rPr>
          <w:szCs w:val="23"/>
        </w:rPr>
        <w:t xml:space="preserve"> advance written notice of such termination, allowing Contractor at least 30 calendar days to provide a written response. Termination shall be at the sole discretion of the State.</w:t>
      </w:r>
    </w:p>
    <w:p w14:paraId="4366BD6B" w14:textId="45B2A64F" w:rsidR="0042374C" w:rsidRDefault="00503146" w:rsidP="00F67ED5">
      <w:pPr>
        <w:pStyle w:val="Heading3"/>
      </w:pPr>
      <w:r>
        <w:t>1</w:t>
      </w:r>
      <w:r w:rsidR="00C426A0">
        <w:t>0</w:t>
      </w:r>
      <w:r>
        <w:t>.</w:t>
      </w:r>
      <w:r w:rsidR="00ED501F">
        <w:t>6</w:t>
      </w:r>
      <w:r w:rsidR="00AA6376">
        <w:t xml:space="preserve"> </w:t>
      </w:r>
      <w:r w:rsidR="0042374C">
        <w:t>ICT Accessibility Requirements (05/2018)</w:t>
      </w:r>
    </w:p>
    <w:p w14:paraId="4D2791D0" w14:textId="77777777" w:rsidR="0042374C" w:rsidRDefault="0042374C" w:rsidP="0042374C">
      <w:pPr>
        <w:spacing w:after="240"/>
      </w:pPr>
      <w:r>
        <w:t xml:space="preserve">Unless the scope of work expressly provides that the CDE shall be responsible for all 508 </w:t>
      </w:r>
      <w:proofErr w:type="gramStart"/>
      <w:r>
        <w:t>compliance</w:t>
      </w:r>
      <w:proofErr w:type="gramEnd"/>
      <w:r>
        <w:t>:</w:t>
      </w:r>
    </w:p>
    <w:p w14:paraId="0211BF38" w14:textId="547F1E00" w:rsidR="0042374C" w:rsidRDefault="0042374C" w:rsidP="00132985">
      <w:pPr>
        <w:pStyle w:val="ListParagraph"/>
        <w:numPr>
          <w:ilvl w:val="0"/>
          <w:numId w:val="33"/>
        </w:numPr>
        <w:spacing w:after="240"/>
        <w:ind w:left="360" w:hanging="360"/>
        <w:contextualSpacing w:val="0"/>
      </w:pPr>
      <w:r>
        <w:t xml:space="preserve">Contractor shall, in accordance with California Government Code section </w:t>
      </w:r>
      <w:r w:rsidR="004D20EE">
        <w:t xml:space="preserve">7405 </w:t>
      </w:r>
      <w:r>
        <w:t>(which requires state agencies to comply with Section 508 of the federal Rehabilitation Act of 1973 (Section 508)), ensure that any and all Information and Communications Technology (ICT) deliverables developed, procured, or maintained as a result of this contract shall comply with state and federal accessibility requirements, including: (i) the Web Content Accessibility Guidelines (WCA</w:t>
      </w:r>
      <w:r w:rsidR="007579AD">
        <w:t>G) 2.0 at the AA level found at</w:t>
      </w:r>
      <w:r>
        <w:t xml:space="preserve"> </w:t>
      </w:r>
      <w:hyperlink r:id="rId43" w:tooltip="CDE Web Content Accessibility Guidelines 2.0" w:history="1">
        <w:r w:rsidRPr="00E2319F">
          <w:rPr>
            <w:rStyle w:val="Hyperlink"/>
          </w:rPr>
          <w:t>http://www.w3.org/TR/WCAG20/</w:t>
        </w:r>
      </w:hyperlink>
      <w:r>
        <w:t>, (ii) t</w:t>
      </w:r>
      <w:r w:rsidR="007579AD">
        <w:t>he CDE’s Web Standards found at</w:t>
      </w:r>
      <w:r>
        <w:t xml:space="preserve">  </w:t>
      </w:r>
      <w:hyperlink r:id="rId44" w:tooltip="CDE Web Standards web page" w:history="1">
        <w:r w:rsidRPr="00E2319F">
          <w:rPr>
            <w:rStyle w:val="Hyperlink"/>
          </w:rPr>
          <w:t>https://www.cde.ca.gov/re/di/ws/webstandards.asp</w:t>
        </w:r>
      </w:hyperlink>
      <w:r>
        <w:t>, and (iii) the CDE’s Web Application Review Team (</w:t>
      </w:r>
      <w:proofErr w:type="spellStart"/>
      <w:r>
        <w:t>WebART</w:t>
      </w:r>
      <w:proofErr w:type="spellEnd"/>
      <w:r>
        <w:t xml:space="preserve">) review process found at: </w:t>
      </w:r>
      <w:hyperlink r:id="rId45" w:tooltip="CDE Web Application Review Team page" w:history="1">
        <w:r w:rsidR="002D2C28" w:rsidRPr="0050695F">
          <w:rPr>
            <w:rStyle w:val="Hyperlink"/>
          </w:rPr>
          <w:t>https://www.cde.ca.gov/re/di/ws/webartproc.asp</w:t>
        </w:r>
      </w:hyperlink>
      <w:r w:rsidR="002D2C28">
        <w:t>.</w:t>
      </w:r>
    </w:p>
    <w:p w14:paraId="7DE174F9" w14:textId="35F855A8" w:rsidR="0042374C" w:rsidRDefault="0042374C" w:rsidP="00132985">
      <w:pPr>
        <w:pStyle w:val="ListParagraph"/>
        <w:numPr>
          <w:ilvl w:val="0"/>
          <w:numId w:val="33"/>
        </w:numPr>
        <w:spacing w:after="240"/>
        <w:ind w:left="360" w:hanging="360"/>
        <w:contextualSpacing w:val="0"/>
      </w:pPr>
      <w:r>
        <w:t xml:space="preserve">The definition of “Information and Communications Technology” or “ICT” includes but is not limited </w:t>
      </w:r>
      <w:proofErr w:type="gramStart"/>
      <w:r>
        <w:t>to:</w:t>
      </w:r>
      <w:proofErr w:type="gramEnd"/>
      <w:r>
        <w:t xml:space="preserve"> computer hardware, software, cloud services, websites, web content, web or mobile application, office documents (e.g., MS Word, MS Excel, MS PowerPoint, PDF), multimedia, social media, email, and electronic devices.  </w:t>
      </w:r>
    </w:p>
    <w:p w14:paraId="46C4D95D" w14:textId="51CE27E7" w:rsidR="0042374C" w:rsidRDefault="0042374C" w:rsidP="00132985">
      <w:pPr>
        <w:pStyle w:val="ListParagraph"/>
        <w:numPr>
          <w:ilvl w:val="0"/>
          <w:numId w:val="33"/>
        </w:numPr>
        <w:spacing w:after="240"/>
        <w:ind w:left="360" w:hanging="360"/>
        <w:contextualSpacing w:val="0"/>
      </w:pPr>
      <w:r>
        <w:t xml:space="preserve">Contractor shall employ a section 508 compliance expert with qualifications and experience acceptable to the CDE to: (i) advise Contractor during ICT deliverable development, and (ii) certify in writing on behalf of Contractor that the ICT deliverables are fully compliant with the </w:t>
      </w:r>
      <w:r>
        <w:lastRenderedPageBreak/>
        <w:t xml:space="preserve">standards in subsection A above and Section 508 prior to submission to, or use by, the CDE.  Such certification </w:t>
      </w:r>
      <w:proofErr w:type="gramStart"/>
      <w:r>
        <w:t>shall</w:t>
      </w:r>
      <w:proofErr w:type="gramEnd"/>
      <w:r>
        <w:t xml:space="preserve"> also include a statement describing precise methods by which compliance was determined, along with the results of testing.  The Contractor is responsible for any costs associated with breach of such certification.</w:t>
      </w:r>
    </w:p>
    <w:p w14:paraId="722FF0A9" w14:textId="4C57619B" w:rsidR="0042374C" w:rsidRDefault="0042374C">
      <w:pPr>
        <w:pStyle w:val="ListParagraph"/>
        <w:numPr>
          <w:ilvl w:val="0"/>
          <w:numId w:val="33"/>
        </w:numPr>
        <w:spacing w:after="240"/>
        <w:ind w:left="360" w:hanging="360"/>
        <w:contextualSpacing w:val="0"/>
      </w:pPr>
      <w:r>
        <w:t>Upon CDE’s request, the Contractor must provide to the CDE all source files for ICT deliverables to the CDE for the purpose of improving accessibility. This may include non-proprietary code, unedited pictures and video, and original documents prior to PDF conversion among others.</w:t>
      </w:r>
    </w:p>
    <w:p w14:paraId="0235DDF3" w14:textId="15AF9E70" w:rsidR="008D60E8" w:rsidRPr="00067322" w:rsidRDefault="00AA6376" w:rsidP="00F67ED5">
      <w:pPr>
        <w:pStyle w:val="Heading3"/>
      </w:pPr>
      <w:r>
        <w:t>10.</w:t>
      </w:r>
      <w:r w:rsidR="00ED501F">
        <w:t>7</w:t>
      </w:r>
      <w:r>
        <w:t xml:space="preserve"> </w:t>
      </w:r>
      <w:r w:rsidRPr="00067322">
        <w:t>Prohibition of Discrimination</w:t>
      </w:r>
    </w:p>
    <w:p w14:paraId="2A836320" w14:textId="77777777" w:rsidR="008D60E8" w:rsidRDefault="008D60E8" w:rsidP="00132985">
      <w:pPr>
        <w:spacing w:after="240"/>
        <w:rPr>
          <w:rFonts w:cs="Arial"/>
          <w:szCs w:val="24"/>
        </w:rPr>
      </w:pPr>
      <w:r>
        <w:rPr>
          <w:rFonts w:cs="Arial"/>
          <w:szCs w:val="24"/>
        </w:rPr>
        <w:t>In addition to the non-discrimination requirements in General Terms and Conditions attached as Exhibit C, Contractor and its subcontractors shall comply with Education Code section 220, which prohibits any person from discriminating on the basis of any characteristic that is contained in the definition of hate crimes set forth in Section 422.55 of the Penal Code, including immigration status, in any program or activity conducted in connection with this contract.</w:t>
      </w:r>
    </w:p>
    <w:p w14:paraId="70BAC8B9" w14:textId="64F6BFB9" w:rsidR="008D60E8" w:rsidRDefault="00AA6376" w:rsidP="00F67ED5">
      <w:pPr>
        <w:pStyle w:val="Heading3"/>
        <w:rPr>
          <w:u w:val="single"/>
        </w:rPr>
      </w:pPr>
      <w:r>
        <w:t>10.</w:t>
      </w:r>
      <w:r w:rsidR="00ED501F">
        <w:t>8</w:t>
      </w:r>
      <w:r>
        <w:t xml:space="preserve"> </w:t>
      </w:r>
      <w:r w:rsidRPr="002D2C28">
        <w:t>Health and Safety</w:t>
      </w:r>
    </w:p>
    <w:p w14:paraId="5AA39B00" w14:textId="7A7BC214" w:rsidR="008D60E8" w:rsidRPr="001C416E" w:rsidRDefault="008D60E8" w:rsidP="00ED501F">
      <w:pPr>
        <w:rPr>
          <w:rFonts w:cs="Arial"/>
          <w:szCs w:val="24"/>
        </w:rPr>
      </w:pPr>
      <w:r w:rsidRPr="00E31212">
        <w:rPr>
          <w:rFonts w:cs="Arial"/>
          <w:szCs w:val="24"/>
        </w:rPr>
        <w:t>Contractors are required to, at their own expense, comply with all applicable health and safety laws and regulations. Upon notice, Contractors are also required to comply with the state agency’s specific health and safety requirements and policies. Contractors agree to include in any subcontract related to performance of this Agreement, a requirement that the subcontractor comply with all applicable health and safety laws and regulations, and upon notice, the state agency’s specific health and safety requirements and policies.</w:t>
      </w:r>
    </w:p>
    <w:p w14:paraId="38B3AFE0" w14:textId="77777777" w:rsidR="00CB24BA" w:rsidRDefault="00CB24BA">
      <w:pPr>
        <w:rPr>
          <w:rFonts w:eastAsia="Times New Roman" w:cs="Arial"/>
          <w:b/>
          <w:bCs/>
          <w:iCs/>
          <w:sz w:val="40"/>
          <w:szCs w:val="40"/>
        </w:rPr>
      </w:pPr>
      <w:bookmarkStart w:id="19" w:name="_Toc500420520"/>
      <w:r>
        <w:br w:type="page"/>
      </w:r>
    </w:p>
    <w:p w14:paraId="3D8AD324" w14:textId="5844D604" w:rsidR="002150FE" w:rsidRPr="003477FC" w:rsidRDefault="002150FE" w:rsidP="00E43B4A">
      <w:pPr>
        <w:pStyle w:val="Heading2"/>
      </w:pPr>
      <w:bookmarkStart w:id="20" w:name="_Toc224571230"/>
      <w:bookmarkEnd w:id="19"/>
      <w:r w:rsidRPr="003477FC">
        <w:lastRenderedPageBreak/>
        <w:t>1</w:t>
      </w:r>
      <w:r w:rsidR="00C426A0">
        <w:t>1</w:t>
      </w:r>
      <w:r w:rsidRPr="003477FC">
        <w:t>. ADDITIONAL PROVISIONS</w:t>
      </w:r>
      <w:bookmarkEnd w:id="20"/>
    </w:p>
    <w:p w14:paraId="6C4633D6" w14:textId="6BBFE6EE" w:rsidR="00AA6376" w:rsidRDefault="00AA6376" w:rsidP="00F67ED5">
      <w:pPr>
        <w:pStyle w:val="Heading3"/>
        <w:rPr>
          <w:szCs w:val="24"/>
        </w:rPr>
      </w:pPr>
      <w:r w:rsidRPr="00FE69FB">
        <w:t>1</w:t>
      </w:r>
      <w:r>
        <w:t>1</w:t>
      </w:r>
      <w:r w:rsidRPr="00FE69FB">
        <w:t>.</w:t>
      </w:r>
      <w:r>
        <w:t xml:space="preserve">1 </w:t>
      </w:r>
      <w:r w:rsidRPr="00FE69FB">
        <w:t>C</w:t>
      </w:r>
      <w:r>
        <w:t xml:space="preserve">ontractor </w:t>
      </w:r>
      <w:r w:rsidRPr="00FE69FB">
        <w:t>E</w:t>
      </w:r>
      <w:r>
        <w:t xml:space="preserve">valuation </w:t>
      </w:r>
      <w:r w:rsidRPr="00FE69FB">
        <w:t>(</w:t>
      </w:r>
      <w:r>
        <w:t>3/06</w:t>
      </w:r>
      <w:r w:rsidRPr="00FE69FB">
        <w:t>)</w:t>
      </w:r>
      <w:r w:rsidRPr="002F048E">
        <w:rPr>
          <w:szCs w:val="24"/>
        </w:rPr>
        <w:t xml:space="preserve"> </w:t>
      </w:r>
    </w:p>
    <w:p w14:paraId="5C3F7B92" w14:textId="77777777" w:rsidR="00AA6376" w:rsidRPr="002F2927" w:rsidRDefault="00AA6376" w:rsidP="00AA6376">
      <w:pPr>
        <w:spacing w:before="240" w:after="240"/>
      </w:pPr>
      <w:r w:rsidRPr="002F2927">
        <w:t>Within sixty (60) days after the completion of this Agreement, the CDE Contract Monitor shall complete a written evaluation of Contractor’s pe</w:t>
      </w:r>
      <w:r>
        <w:t>rformance under this Agreement.</w:t>
      </w:r>
      <w:r w:rsidRPr="002F2927">
        <w:t xml:space="preserve"> If the Contractor did not satisfactorily perform the work, a copy of the evaluation will be sent to the State Department of General Services, Office of Legal Services, and to the Contractor within 15 working days of the completion of the evaluation. (Public Contract Code Section 10369)</w:t>
      </w:r>
    </w:p>
    <w:p w14:paraId="2CDDFB7D" w14:textId="3C0B2D0D" w:rsidR="00AA6376" w:rsidRPr="00D53A35" w:rsidRDefault="00AA6376" w:rsidP="00F67ED5">
      <w:pPr>
        <w:pStyle w:val="Heading3"/>
      </w:pPr>
      <w:r w:rsidRPr="00FE69FB">
        <w:t>1</w:t>
      </w:r>
      <w:r>
        <w:t>1</w:t>
      </w:r>
      <w:r w:rsidRPr="00FE69FB">
        <w:t>.</w:t>
      </w:r>
      <w:r>
        <w:t xml:space="preserve">2 </w:t>
      </w:r>
      <w:r w:rsidRPr="00FE69FB">
        <w:t>C</w:t>
      </w:r>
      <w:r>
        <w:t xml:space="preserve">ontractor’s </w:t>
      </w:r>
      <w:r w:rsidRPr="00FE69FB">
        <w:t>R</w:t>
      </w:r>
      <w:r>
        <w:t xml:space="preserve">ights and </w:t>
      </w:r>
      <w:r w:rsidRPr="00FE69FB">
        <w:t>O</w:t>
      </w:r>
      <w:r>
        <w:t>bligations</w:t>
      </w:r>
    </w:p>
    <w:p w14:paraId="5B05BCFB" w14:textId="005CEF20" w:rsidR="00AA6376" w:rsidRDefault="00AA6376" w:rsidP="00AA6376">
      <w:pPr>
        <w:spacing w:before="240" w:after="240"/>
        <w:rPr>
          <w:rFonts w:cs="Arial"/>
          <w:szCs w:val="24"/>
        </w:rPr>
      </w:pPr>
      <w:r w:rsidRPr="00D53A35">
        <w:rPr>
          <w:rFonts w:cs="Arial"/>
          <w:szCs w:val="24"/>
        </w:rPr>
        <w:t xml:space="preserve">Public Contract Code </w:t>
      </w:r>
      <w:r>
        <w:rPr>
          <w:rFonts w:cs="Arial"/>
          <w:szCs w:val="24"/>
        </w:rPr>
        <w:t>s</w:t>
      </w:r>
      <w:r w:rsidRPr="00D53A35">
        <w:rPr>
          <w:rFonts w:cs="Arial"/>
          <w:szCs w:val="24"/>
        </w:rPr>
        <w:t>ections 10335 through 10381 contain</w:t>
      </w:r>
      <w:r>
        <w:rPr>
          <w:rFonts w:cs="Arial"/>
          <w:szCs w:val="24"/>
        </w:rPr>
        <w:t>s</w:t>
      </w:r>
      <w:r w:rsidRPr="00D53A35">
        <w:rPr>
          <w:rFonts w:cs="Arial"/>
          <w:szCs w:val="24"/>
        </w:rPr>
        <w:t xml:space="preserve"> language describing the </w:t>
      </w:r>
      <w:r w:rsidR="00B435C6">
        <w:rPr>
          <w:rFonts w:cs="Arial"/>
          <w:szCs w:val="24"/>
        </w:rPr>
        <w:t>C</w:t>
      </w:r>
      <w:r w:rsidRPr="00D53A35">
        <w:rPr>
          <w:rFonts w:cs="Arial"/>
          <w:szCs w:val="24"/>
        </w:rPr>
        <w:t>ontractor's duties, obligations an</w:t>
      </w:r>
      <w:r>
        <w:rPr>
          <w:rFonts w:cs="Arial"/>
          <w:szCs w:val="24"/>
        </w:rPr>
        <w:t xml:space="preserve">d rights under this agreement. </w:t>
      </w:r>
      <w:r w:rsidRPr="00D53A35">
        <w:rPr>
          <w:rFonts w:cs="Arial"/>
          <w:szCs w:val="24"/>
        </w:rPr>
        <w:t xml:space="preserve">By signing this agreement, the </w:t>
      </w:r>
      <w:r w:rsidR="00B435C6">
        <w:rPr>
          <w:rFonts w:cs="Arial"/>
          <w:szCs w:val="24"/>
        </w:rPr>
        <w:t>C</w:t>
      </w:r>
      <w:r w:rsidRPr="00D53A35">
        <w:rPr>
          <w:rFonts w:cs="Arial"/>
          <w:szCs w:val="24"/>
        </w:rPr>
        <w:t xml:space="preserve">ontractor certifies that </w:t>
      </w:r>
      <w:r w:rsidR="00EF3B33">
        <w:rPr>
          <w:rFonts w:cs="Arial"/>
          <w:szCs w:val="24"/>
        </w:rPr>
        <w:t>they</w:t>
      </w:r>
      <w:r w:rsidRPr="00D53A35">
        <w:rPr>
          <w:rFonts w:cs="Arial"/>
          <w:szCs w:val="24"/>
        </w:rPr>
        <w:t xml:space="preserve"> </w:t>
      </w:r>
      <w:r w:rsidR="00EF3B33">
        <w:rPr>
          <w:rFonts w:cs="Arial"/>
          <w:szCs w:val="24"/>
        </w:rPr>
        <w:t>have</w:t>
      </w:r>
      <w:r w:rsidRPr="00D53A35">
        <w:rPr>
          <w:rFonts w:cs="Arial"/>
          <w:szCs w:val="24"/>
        </w:rPr>
        <w:t xml:space="preserve"> been fully informed regarding these provisions of Public Contract Code.</w:t>
      </w:r>
    </w:p>
    <w:p w14:paraId="17515E03" w14:textId="13CC177A" w:rsidR="00AA6376" w:rsidRPr="00D53A35" w:rsidRDefault="00AA6376" w:rsidP="00F67ED5">
      <w:pPr>
        <w:pStyle w:val="Heading3"/>
      </w:pPr>
      <w:r w:rsidRPr="00FE69FB">
        <w:t>1</w:t>
      </w:r>
      <w:r>
        <w:t>1</w:t>
      </w:r>
      <w:r w:rsidRPr="00FE69FB">
        <w:t>.</w:t>
      </w:r>
      <w:r>
        <w:t xml:space="preserve">3 </w:t>
      </w:r>
      <w:r w:rsidRPr="00FE69FB">
        <w:t>C</w:t>
      </w:r>
      <w:r>
        <w:t xml:space="preserve">omputer </w:t>
      </w:r>
      <w:r w:rsidRPr="00FE69FB">
        <w:t>S</w:t>
      </w:r>
      <w:r>
        <w:t xml:space="preserve">oftware </w:t>
      </w:r>
      <w:r w:rsidRPr="00FE69FB">
        <w:t>C</w:t>
      </w:r>
      <w:r>
        <w:t xml:space="preserve">opyright </w:t>
      </w:r>
      <w:r w:rsidRPr="00FE69FB">
        <w:t>C</w:t>
      </w:r>
      <w:r>
        <w:t>ompliance</w:t>
      </w:r>
    </w:p>
    <w:p w14:paraId="279055B5" w14:textId="36B6FBF4" w:rsidR="00AA6376" w:rsidRPr="00D53A35" w:rsidRDefault="00AA6376" w:rsidP="00AA6376">
      <w:pPr>
        <w:spacing w:before="240" w:after="240"/>
        <w:rPr>
          <w:rFonts w:cs="Arial"/>
          <w:szCs w:val="24"/>
        </w:rPr>
      </w:pPr>
      <w:r w:rsidRPr="00D53A35">
        <w:rPr>
          <w:rFonts w:cs="Arial"/>
          <w:szCs w:val="24"/>
        </w:rPr>
        <w:t xml:space="preserve">By signing this agreement, the </w:t>
      </w:r>
      <w:r w:rsidR="00B435C6">
        <w:rPr>
          <w:rFonts w:cs="Arial"/>
          <w:szCs w:val="24"/>
        </w:rPr>
        <w:t>C</w:t>
      </w:r>
      <w:r w:rsidRPr="00D53A35">
        <w:rPr>
          <w:rFonts w:cs="Arial"/>
          <w:szCs w:val="24"/>
        </w:rPr>
        <w:t>ontractor certifies that it has appropriate systems and controls in place to ensure that state funds will not be used in the performance of this contract for the acquisition, operation or maintenance of computer software in violation of copyright laws.</w:t>
      </w:r>
    </w:p>
    <w:p w14:paraId="71652E61" w14:textId="4E7F4623" w:rsidR="00AA6376" w:rsidRDefault="00AA6376" w:rsidP="00F67ED5">
      <w:pPr>
        <w:pStyle w:val="Heading3"/>
      </w:pPr>
      <w:r>
        <w:t>11.4 Disposition of Equipment</w:t>
      </w:r>
    </w:p>
    <w:p w14:paraId="759E27B3" w14:textId="5B2277C2" w:rsidR="00AA6376" w:rsidRDefault="006B1CEF" w:rsidP="00AA6376">
      <w:pPr>
        <w:tabs>
          <w:tab w:val="left" w:pos="-1440"/>
        </w:tabs>
        <w:jc w:val="both"/>
        <w:rPr>
          <w:rFonts w:cs="Arial"/>
          <w:szCs w:val="24"/>
        </w:rPr>
      </w:pPr>
      <w:r>
        <w:rPr>
          <w:rFonts w:cs="Arial"/>
          <w:szCs w:val="24"/>
        </w:rPr>
        <w:t>The purchasing of equipment is not allowed.</w:t>
      </w:r>
    </w:p>
    <w:p w14:paraId="3D8AD325" w14:textId="17BE1021" w:rsidR="002150FE" w:rsidRPr="00D53A35" w:rsidRDefault="002150FE" w:rsidP="00F67ED5">
      <w:pPr>
        <w:pStyle w:val="Heading3"/>
      </w:pPr>
      <w:r w:rsidRPr="00FE69FB">
        <w:t>1</w:t>
      </w:r>
      <w:r w:rsidR="00C426A0">
        <w:t>1</w:t>
      </w:r>
      <w:r w:rsidRPr="00FE69FB">
        <w:t>.</w:t>
      </w:r>
      <w:r w:rsidR="00AA6376">
        <w:t xml:space="preserve">5 </w:t>
      </w:r>
      <w:r w:rsidRPr="00FE69FB">
        <w:t>C</w:t>
      </w:r>
      <w:r>
        <w:t xml:space="preserve">ontracts </w:t>
      </w:r>
      <w:r w:rsidRPr="00FE69FB">
        <w:t>F</w:t>
      </w:r>
      <w:r>
        <w:t xml:space="preserve">unded </w:t>
      </w:r>
      <w:r w:rsidR="00AD48F4">
        <w:t>b</w:t>
      </w:r>
      <w:r>
        <w:t>y</w:t>
      </w:r>
      <w:r w:rsidRPr="00FE69FB">
        <w:t xml:space="preserve"> </w:t>
      </w:r>
      <w:r w:rsidR="00AD48F4">
        <w:t>t</w:t>
      </w:r>
      <w:r>
        <w:t xml:space="preserve">he </w:t>
      </w:r>
      <w:r w:rsidRPr="00FE69FB">
        <w:t>F</w:t>
      </w:r>
      <w:r>
        <w:t xml:space="preserve">ederal </w:t>
      </w:r>
      <w:r w:rsidRPr="00FE69FB">
        <w:t>G</w:t>
      </w:r>
      <w:r>
        <w:t>overnment</w:t>
      </w:r>
      <w:r w:rsidR="00E45035">
        <w:t xml:space="preserve"> (Rev. 04/2025)</w:t>
      </w:r>
    </w:p>
    <w:p w14:paraId="4C208281" w14:textId="77777777" w:rsidR="00E45035" w:rsidRPr="00E45035" w:rsidRDefault="00E45035" w:rsidP="00E45035">
      <w:pPr>
        <w:tabs>
          <w:tab w:val="left" w:pos="360"/>
        </w:tabs>
        <w:spacing w:before="240" w:after="240"/>
        <w:rPr>
          <w:rFonts w:cs="Arial"/>
          <w:iCs/>
          <w:szCs w:val="24"/>
        </w:rPr>
      </w:pPr>
      <w:r w:rsidRPr="00E45035">
        <w:rPr>
          <w:rFonts w:cs="Arial"/>
          <w:iCs/>
          <w:szCs w:val="24"/>
        </w:rPr>
        <w:t xml:space="preserve">It is mutually understood between the parties that this contract may have been written before ascertaining the availability of congressional appropriation of funds, for the mutual benefit of both parties, </w:t>
      </w:r>
      <w:proofErr w:type="gramStart"/>
      <w:r w:rsidRPr="00E45035">
        <w:rPr>
          <w:rFonts w:cs="Arial"/>
          <w:iCs/>
          <w:szCs w:val="24"/>
        </w:rPr>
        <w:t>in order to</w:t>
      </w:r>
      <w:proofErr w:type="gramEnd"/>
      <w:r w:rsidRPr="00E45035">
        <w:rPr>
          <w:rFonts w:cs="Arial"/>
          <w:iCs/>
          <w:szCs w:val="24"/>
        </w:rPr>
        <w:t xml:space="preserve"> avoid program and fiscal delays which would occur if the contract were executed after that determination was made.</w:t>
      </w:r>
    </w:p>
    <w:p w14:paraId="00DECB0C" w14:textId="77777777" w:rsidR="00E45035" w:rsidRPr="00E45035" w:rsidRDefault="00E45035" w:rsidP="00E45035">
      <w:pPr>
        <w:tabs>
          <w:tab w:val="left" w:pos="360"/>
        </w:tabs>
        <w:spacing w:before="240" w:after="240"/>
        <w:rPr>
          <w:rFonts w:cs="Arial"/>
          <w:iCs/>
          <w:szCs w:val="24"/>
        </w:rPr>
      </w:pPr>
      <w:r w:rsidRPr="00E45035">
        <w:rPr>
          <w:rFonts w:cs="Arial"/>
          <w:iCs/>
          <w:szCs w:val="24"/>
        </w:rPr>
        <w:t>This contract is valid and enforceable only if sufficient funds are made available to the State by the United States Government for Fiscal Year(s) covered by this agreement for the purposes of this program. In addition, this contract is subject to any additional restrictions, limitations, or conditions enacted by the Congress or imposed by the federal government, which may affect the provisions, terms, or funding of this contract in any manner.</w:t>
      </w:r>
    </w:p>
    <w:p w14:paraId="37FA53B0" w14:textId="77777777" w:rsidR="00E45035" w:rsidRPr="00E45035" w:rsidRDefault="00E45035" w:rsidP="00E45035">
      <w:pPr>
        <w:tabs>
          <w:tab w:val="left" w:pos="360"/>
        </w:tabs>
        <w:spacing w:before="240" w:after="240"/>
        <w:rPr>
          <w:rFonts w:cs="Arial"/>
          <w:iCs/>
          <w:szCs w:val="24"/>
        </w:rPr>
      </w:pPr>
      <w:r w:rsidRPr="00E45035">
        <w:rPr>
          <w:rFonts w:cs="Arial"/>
          <w:iCs/>
          <w:szCs w:val="24"/>
        </w:rPr>
        <w:t>It is mutually agreed that if Congress does not appropriate sufficient funds for the program or the federal government does not disburse sufficient funds for this program, this contract shall be amended to reflect any reduction in funds.</w:t>
      </w:r>
    </w:p>
    <w:p w14:paraId="7C16F3ED" w14:textId="77777777" w:rsidR="00E45035" w:rsidRPr="00E45035" w:rsidRDefault="00E45035" w:rsidP="00E45035">
      <w:pPr>
        <w:tabs>
          <w:tab w:val="left" w:pos="360"/>
        </w:tabs>
        <w:spacing w:before="240" w:after="240"/>
        <w:rPr>
          <w:rFonts w:cs="Arial"/>
          <w:iCs/>
          <w:szCs w:val="24"/>
        </w:rPr>
      </w:pPr>
      <w:r w:rsidRPr="00E45035">
        <w:rPr>
          <w:rFonts w:cs="Arial"/>
          <w:iCs/>
          <w:szCs w:val="24"/>
        </w:rPr>
        <w:t>The CDE has the option to void the contract under the 30-day cancellation clause or to amend the contract to reflect any reduction of funds.</w:t>
      </w:r>
    </w:p>
    <w:p w14:paraId="3D8AD32A" w14:textId="1F9793CB" w:rsidR="002150FE" w:rsidRPr="00D53A35" w:rsidRDefault="00E45035" w:rsidP="00E45035">
      <w:pPr>
        <w:tabs>
          <w:tab w:val="left" w:pos="360"/>
        </w:tabs>
        <w:spacing w:before="240" w:after="240"/>
        <w:rPr>
          <w:rFonts w:cs="Arial"/>
          <w:iCs/>
          <w:szCs w:val="24"/>
        </w:rPr>
      </w:pPr>
      <w:r w:rsidRPr="00E45035">
        <w:rPr>
          <w:rFonts w:cs="Arial"/>
          <w:iCs/>
          <w:szCs w:val="24"/>
        </w:rPr>
        <w:lastRenderedPageBreak/>
        <w:t>The recipient shall comply with the reporting requirements set forth in Uniform Administrative Requirements, Cost Principles, and Audit Requirements for Federal Awards, 2 CFR Part 200.</w:t>
      </w:r>
    </w:p>
    <w:p w14:paraId="3D8AD335" w14:textId="5394B6FE" w:rsidR="002150FE" w:rsidRDefault="002150FE" w:rsidP="00F67ED5">
      <w:pPr>
        <w:pStyle w:val="Heading3"/>
      </w:pPr>
      <w:r w:rsidRPr="00FE69FB">
        <w:t>1</w:t>
      </w:r>
      <w:r w:rsidR="00C426A0">
        <w:t>1</w:t>
      </w:r>
      <w:r w:rsidRPr="00FE69FB">
        <w:t>.6</w:t>
      </w:r>
      <w:r>
        <w:t xml:space="preserve"> </w:t>
      </w:r>
      <w:r w:rsidRPr="00FE69FB">
        <w:t>P</w:t>
      </w:r>
      <w:r>
        <w:t xml:space="preserve">rohibition </w:t>
      </w:r>
      <w:r w:rsidRPr="00FE69FB">
        <w:t>A</w:t>
      </w:r>
      <w:r>
        <w:t xml:space="preserve">gainst </w:t>
      </w:r>
      <w:r w:rsidRPr="00FE69FB">
        <w:t>O</w:t>
      </w:r>
      <w:r>
        <w:t xml:space="preserve">utside </w:t>
      </w:r>
      <w:r w:rsidRPr="00FE69FB">
        <w:t>A</w:t>
      </w:r>
      <w:r>
        <w:t>greements</w:t>
      </w:r>
      <w:r w:rsidR="00890766">
        <w:t xml:space="preserve"> (Rev. 04/2025)</w:t>
      </w:r>
    </w:p>
    <w:p w14:paraId="3D8AD336" w14:textId="1BFF5A48" w:rsidR="002150FE" w:rsidRPr="00D53A35" w:rsidRDefault="00890766" w:rsidP="00F6039A">
      <w:pPr>
        <w:keepNext/>
        <w:keepLines/>
        <w:spacing w:before="240" w:after="240"/>
        <w:rPr>
          <w:rFonts w:cs="Arial"/>
          <w:szCs w:val="24"/>
        </w:rPr>
      </w:pPr>
      <w:r>
        <w:rPr>
          <w:rFonts w:cs="Arial"/>
          <w:szCs w:val="24"/>
        </w:rPr>
        <w:t>Except as expressly provided in the scope of work, t</w:t>
      </w:r>
      <w:r w:rsidR="002150FE" w:rsidRPr="00D53A35">
        <w:rPr>
          <w:rFonts w:cs="Arial"/>
          <w:szCs w:val="24"/>
        </w:rPr>
        <w:t xml:space="preserve">he </w:t>
      </w:r>
      <w:r w:rsidR="00B435C6">
        <w:rPr>
          <w:rFonts w:cs="Arial"/>
          <w:szCs w:val="24"/>
        </w:rPr>
        <w:t>C</w:t>
      </w:r>
      <w:r w:rsidR="002150FE" w:rsidRPr="00D53A35">
        <w:rPr>
          <w:rFonts w:cs="Arial"/>
          <w:szCs w:val="24"/>
        </w:rPr>
        <w:t>ontractor or subcontractor(s) shall not enter into agreements related to products and/or services of this contract with any out-of-state agency or organization. Any out-of-state agency or organization shall negotiate with the CDE for products and/or services pertaining to this contract.</w:t>
      </w:r>
    </w:p>
    <w:p w14:paraId="3D8AD337" w14:textId="2208237B" w:rsidR="002150FE" w:rsidRDefault="002150FE" w:rsidP="00F67ED5">
      <w:pPr>
        <w:pStyle w:val="Heading3"/>
      </w:pPr>
      <w:r w:rsidRPr="00FE69FB">
        <w:t>1</w:t>
      </w:r>
      <w:r w:rsidR="00C426A0">
        <w:t>1</w:t>
      </w:r>
      <w:r w:rsidRPr="00FE69FB">
        <w:t>.7 M</w:t>
      </w:r>
      <w:r>
        <w:t xml:space="preserve">aterial </w:t>
      </w:r>
      <w:r w:rsidRPr="00FE69FB">
        <w:t>D</w:t>
      </w:r>
      <w:r>
        <w:t xml:space="preserve">eveloped </w:t>
      </w:r>
      <w:r w:rsidRPr="00FE69FB">
        <w:t>U</w:t>
      </w:r>
      <w:r>
        <w:t xml:space="preserve">nder </w:t>
      </w:r>
      <w:r w:rsidR="00B421E5">
        <w:t>t</w:t>
      </w:r>
      <w:r>
        <w:t xml:space="preserve">he </w:t>
      </w:r>
      <w:r w:rsidRPr="00FE69FB">
        <w:t>T</w:t>
      </w:r>
      <w:r>
        <w:t xml:space="preserve">erms </w:t>
      </w:r>
      <w:r w:rsidR="00B421E5">
        <w:t>o</w:t>
      </w:r>
      <w:r>
        <w:t>f</w:t>
      </w:r>
      <w:r w:rsidRPr="00FE69FB">
        <w:t xml:space="preserve"> T</w:t>
      </w:r>
      <w:r>
        <w:t>his</w:t>
      </w:r>
      <w:r w:rsidRPr="00FE69FB">
        <w:t xml:space="preserve"> A</w:t>
      </w:r>
      <w:r>
        <w:t>greement</w:t>
      </w:r>
    </w:p>
    <w:p w14:paraId="3D8AD338" w14:textId="77777777" w:rsidR="002150FE" w:rsidRPr="00D53A35" w:rsidRDefault="002150FE" w:rsidP="00F6039A">
      <w:pPr>
        <w:spacing w:before="240" w:after="240"/>
        <w:rPr>
          <w:rFonts w:cs="Arial"/>
          <w:szCs w:val="24"/>
        </w:rPr>
      </w:pPr>
      <w:r w:rsidRPr="00D53A35">
        <w:rPr>
          <w:rFonts w:cs="Arial"/>
          <w:szCs w:val="24"/>
        </w:rPr>
        <w:t xml:space="preserve">All materials developed under the terms of this </w:t>
      </w:r>
      <w:r>
        <w:rPr>
          <w:rFonts w:cs="Arial"/>
          <w:szCs w:val="24"/>
        </w:rPr>
        <w:t>contract</w:t>
      </w:r>
      <w:r w:rsidRPr="00D53A35">
        <w:rPr>
          <w:rFonts w:cs="Arial"/>
          <w:szCs w:val="24"/>
        </w:rPr>
        <w:t xml:space="preserve"> shall be considered a work made for hire. The State, therefore, reserves the exclusive right to copyright and publish, disseminate, and otherwise use the material developed under the terms of this agreement in whatever way it deems appropriate.</w:t>
      </w:r>
    </w:p>
    <w:p w14:paraId="3D8AD339" w14:textId="77777777" w:rsidR="002150FE" w:rsidRPr="00D53A35" w:rsidRDefault="002150FE" w:rsidP="00F6039A">
      <w:pPr>
        <w:spacing w:before="240" w:after="240"/>
        <w:rPr>
          <w:rFonts w:cs="Arial"/>
          <w:szCs w:val="24"/>
        </w:rPr>
      </w:pPr>
      <w:r w:rsidRPr="00D53A35">
        <w:rPr>
          <w:rFonts w:cs="Arial"/>
          <w:szCs w:val="24"/>
        </w:rPr>
        <w:t>Any material that is not acceptable to the state may be rejected by the State at its discretion. Notice of such a rejection shall be given to the contractor by the state within</w:t>
      </w:r>
      <w:r w:rsidR="004B7C2C">
        <w:rPr>
          <w:rFonts w:cs="Arial"/>
          <w:szCs w:val="24"/>
        </w:rPr>
        <w:t xml:space="preserve"> </w:t>
      </w:r>
      <w:r w:rsidRPr="00D53A35">
        <w:rPr>
          <w:rFonts w:cs="Arial"/>
          <w:szCs w:val="24"/>
        </w:rPr>
        <w:t>10</w:t>
      </w:r>
      <w:r w:rsidR="004B7C2C">
        <w:rPr>
          <w:rFonts w:cs="Arial"/>
          <w:szCs w:val="24"/>
        </w:rPr>
        <w:t>-</w:t>
      </w:r>
      <w:r w:rsidRPr="00D53A35">
        <w:rPr>
          <w:rFonts w:cs="Arial"/>
          <w:szCs w:val="24"/>
        </w:rPr>
        <w:t>days of receipt of the materials, and final payment shall not be made for such material until substantial compliance has been obtained within the time and manner determined by the State.</w:t>
      </w:r>
    </w:p>
    <w:p w14:paraId="3D8AD33C" w14:textId="545449FF" w:rsidR="002150FE" w:rsidRPr="0009364B" w:rsidRDefault="002150FE" w:rsidP="00F67ED5">
      <w:pPr>
        <w:pStyle w:val="Heading3"/>
      </w:pPr>
      <w:r w:rsidRPr="00FE69FB">
        <w:t>1</w:t>
      </w:r>
      <w:r w:rsidR="00C426A0">
        <w:t>1</w:t>
      </w:r>
      <w:r w:rsidRPr="00FE69FB">
        <w:t>.</w:t>
      </w:r>
      <w:r w:rsidR="00AA6376">
        <w:t>8</w:t>
      </w:r>
      <w:r w:rsidR="00AA6376" w:rsidRPr="00FE69FB">
        <w:t xml:space="preserve"> </w:t>
      </w:r>
      <w:r w:rsidRPr="00FE69FB">
        <w:t>P</w:t>
      </w:r>
      <w:r>
        <w:t xml:space="preserve">otential </w:t>
      </w:r>
      <w:r w:rsidRPr="00FE69FB">
        <w:t>S</w:t>
      </w:r>
      <w:r>
        <w:t>ubcontractors</w:t>
      </w:r>
    </w:p>
    <w:p w14:paraId="3D8AD33D" w14:textId="6EEAACB3" w:rsidR="002150FE" w:rsidRDefault="002150FE" w:rsidP="00F6039A">
      <w:pPr>
        <w:spacing w:before="240" w:after="240"/>
        <w:rPr>
          <w:rFonts w:cs="Arial"/>
          <w:color w:val="000000"/>
          <w:szCs w:val="24"/>
        </w:rPr>
      </w:pPr>
      <w:r w:rsidRPr="0009364B">
        <w:rPr>
          <w:rFonts w:cs="Arial"/>
          <w:color w:val="000000"/>
          <w:szCs w:val="24"/>
        </w:rPr>
        <w:t xml:space="preserve">Nothing contained in this </w:t>
      </w:r>
      <w:r>
        <w:rPr>
          <w:rFonts w:cs="Arial"/>
          <w:color w:val="000000"/>
          <w:szCs w:val="24"/>
        </w:rPr>
        <w:t>Contract</w:t>
      </w:r>
      <w:r w:rsidRPr="0009364B">
        <w:rPr>
          <w:rFonts w:cs="Arial"/>
          <w:color w:val="000000"/>
          <w:szCs w:val="24"/>
        </w:rPr>
        <w:t xml:space="preserve"> or otherwise, shall create any contractual relation between the State and any subcontractors, and no subcontract shall relieve the Contractor of </w:t>
      </w:r>
      <w:r w:rsidR="00EF3B33">
        <w:rPr>
          <w:rFonts w:cs="Arial"/>
          <w:color w:val="000000"/>
          <w:szCs w:val="24"/>
        </w:rPr>
        <w:t>their</w:t>
      </w:r>
      <w:r w:rsidRPr="0009364B">
        <w:rPr>
          <w:rFonts w:cs="Arial"/>
          <w:color w:val="000000"/>
          <w:szCs w:val="24"/>
        </w:rPr>
        <w:t xml:space="preserve"> responsibilities and obligations hereunder. The Contractor agrees to be as fully responsible to the State for the acts and omissions of its subcontractors and of persons either directly or indirectly employed by any of them as it is for the acts and omissions of persons directly employed by the Contractor. The Contractor's obligation to pay its subcontractors is an independent obligation from the State's obligation to make payments to the Contractor. As a result, the State shall have no obligation to pay or to enforce the payment of any </w:t>
      </w:r>
      <w:proofErr w:type="gramStart"/>
      <w:r w:rsidRPr="0009364B">
        <w:rPr>
          <w:rFonts w:cs="Arial"/>
          <w:color w:val="000000"/>
          <w:szCs w:val="24"/>
        </w:rPr>
        <w:t>moneys</w:t>
      </w:r>
      <w:proofErr w:type="gramEnd"/>
      <w:r w:rsidRPr="0009364B">
        <w:rPr>
          <w:rFonts w:cs="Arial"/>
          <w:color w:val="000000"/>
          <w:szCs w:val="24"/>
        </w:rPr>
        <w:t xml:space="preserve"> to any subcontractor.</w:t>
      </w:r>
    </w:p>
    <w:p w14:paraId="3A9124DA" w14:textId="40A78B70" w:rsidR="00AA6376" w:rsidRPr="00D53A35" w:rsidRDefault="00AA6376" w:rsidP="00F67ED5">
      <w:pPr>
        <w:pStyle w:val="Heading3"/>
      </w:pPr>
      <w:r w:rsidRPr="00FE69FB">
        <w:t>1</w:t>
      </w:r>
      <w:r>
        <w:t>1</w:t>
      </w:r>
      <w:r w:rsidRPr="00FE69FB">
        <w:t>.</w:t>
      </w:r>
      <w:r>
        <w:t xml:space="preserve">9 </w:t>
      </w:r>
      <w:r w:rsidRPr="00FE69FB">
        <w:t>S</w:t>
      </w:r>
      <w:r>
        <w:t xml:space="preserve">taff </w:t>
      </w:r>
      <w:r w:rsidRPr="00FE69FB">
        <w:t>R</w:t>
      </w:r>
      <w:r>
        <w:t>eplacements</w:t>
      </w:r>
    </w:p>
    <w:p w14:paraId="6D3F9AC1" w14:textId="763B630E" w:rsidR="00AA6376" w:rsidRPr="006218CB" w:rsidRDefault="00AA6376" w:rsidP="00AA6376">
      <w:pPr>
        <w:spacing w:before="240" w:after="240"/>
        <w:rPr>
          <w:rFonts w:cs="Arial"/>
          <w:szCs w:val="24"/>
        </w:rPr>
      </w:pPr>
      <w:r w:rsidRPr="00D53A35">
        <w:rPr>
          <w:rFonts w:cs="Arial"/>
          <w:szCs w:val="24"/>
        </w:rPr>
        <w:t xml:space="preserve">The </w:t>
      </w:r>
      <w:r w:rsidR="00EF3B33">
        <w:rPr>
          <w:rFonts w:cs="Arial"/>
          <w:szCs w:val="24"/>
        </w:rPr>
        <w:t>C</w:t>
      </w:r>
      <w:r w:rsidRPr="00D53A35">
        <w:rPr>
          <w:rFonts w:cs="Arial"/>
          <w:szCs w:val="24"/>
        </w:rPr>
        <w:t xml:space="preserve">ontractor will be required to obtain prior approval from the CDE </w:t>
      </w:r>
      <w:r w:rsidR="00B435C6">
        <w:rPr>
          <w:rFonts w:cs="Arial"/>
          <w:szCs w:val="24"/>
        </w:rPr>
        <w:t>C</w:t>
      </w:r>
      <w:r w:rsidRPr="00D53A35">
        <w:rPr>
          <w:rFonts w:cs="Arial"/>
          <w:szCs w:val="24"/>
        </w:rPr>
        <w:t xml:space="preserve">ontract </w:t>
      </w:r>
      <w:r w:rsidR="00B435C6">
        <w:rPr>
          <w:rFonts w:cs="Arial"/>
          <w:szCs w:val="24"/>
        </w:rPr>
        <w:t>M</w:t>
      </w:r>
      <w:r w:rsidRPr="00D53A35">
        <w:rPr>
          <w:rFonts w:cs="Arial"/>
          <w:szCs w:val="24"/>
        </w:rPr>
        <w:t xml:space="preserve">onitor before changing </w:t>
      </w:r>
      <w:r>
        <w:rPr>
          <w:rFonts w:cs="Arial"/>
          <w:szCs w:val="24"/>
        </w:rPr>
        <w:t xml:space="preserve">named </w:t>
      </w:r>
      <w:r w:rsidRPr="00D53A35">
        <w:rPr>
          <w:rFonts w:cs="Arial"/>
          <w:szCs w:val="24"/>
        </w:rPr>
        <w:t>project personnel.</w:t>
      </w:r>
      <w:r>
        <w:rPr>
          <w:rFonts w:cs="Arial"/>
          <w:szCs w:val="24"/>
        </w:rPr>
        <w:t xml:space="preserve"> </w:t>
      </w:r>
      <w:r>
        <w:rPr>
          <w:rFonts w:eastAsia="Times New Roman" w:cs="Arial"/>
          <w:snapToGrid w:val="0"/>
          <w:szCs w:val="20"/>
        </w:rPr>
        <w:t>When changing or substituting named key personnel (including Project Manager, Fiscal Manager,</w:t>
      </w:r>
      <w:r w:rsidR="00923843">
        <w:rPr>
          <w:rFonts w:eastAsia="Times New Roman" w:cs="Arial"/>
          <w:snapToGrid w:val="0"/>
          <w:szCs w:val="20"/>
        </w:rPr>
        <w:t xml:space="preserve"> Partner/Senior Associate, and</w:t>
      </w:r>
      <w:r>
        <w:rPr>
          <w:rFonts w:eastAsia="Times New Roman" w:cs="Arial"/>
          <w:snapToGrid w:val="0"/>
          <w:szCs w:val="20"/>
        </w:rPr>
        <w:t xml:space="preserve"> subcontractors, etc.), the </w:t>
      </w:r>
      <w:r w:rsidR="00B435C6">
        <w:rPr>
          <w:rFonts w:eastAsia="Times New Roman" w:cs="Arial"/>
          <w:snapToGrid w:val="0"/>
          <w:szCs w:val="20"/>
        </w:rPr>
        <w:t>C</w:t>
      </w:r>
      <w:r>
        <w:rPr>
          <w:rFonts w:eastAsia="Times New Roman" w:cs="Arial"/>
          <w:snapToGrid w:val="0"/>
          <w:szCs w:val="20"/>
        </w:rPr>
        <w:t>ontractor must obtain prior approval from CDE C</w:t>
      </w:r>
      <w:r w:rsidRPr="00E67354">
        <w:rPr>
          <w:rFonts w:eastAsia="Times New Roman" w:cs="Arial"/>
          <w:snapToGrid w:val="0"/>
          <w:szCs w:val="20"/>
        </w:rPr>
        <w:t>ontract Monitor</w:t>
      </w:r>
      <w:r>
        <w:rPr>
          <w:rFonts w:eastAsia="Times New Roman" w:cs="Arial"/>
          <w:snapToGrid w:val="0"/>
          <w:szCs w:val="20"/>
        </w:rPr>
        <w:t xml:space="preserve"> </w:t>
      </w:r>
      <w:r w:rsidRPr="00E67354">
        <w:rPr>
          <w:rFonts w:eastAsia="Times New Roman" w:cs="Arial"/>
          <w:snapToGrid w:val="0"/>
          <w:szCs w:val="20"/>
        </w:rPr>
        <w:t>and formal amendment approved by the Department of General Services. The substitute personnel shall meet or exceed the qualifications and experience level of the previously assigned project staff/personnel.</w:t>
      </w:r>
    </w:p>
    <w:p w14:paraId="4B9E7459" w14:textId="77777777" w:rsidR="00923843" w:rsidRPr="00923843" w:rsidRDefault="00923843" w:rsidP="004A656F">
      <w:pPr>
        <w:pStyle w:val="Heading3"/>
      </w:pPr>
      <w:r w:rsidRPr="00923843">
        <w:t>11.10 Subcontracting</w:t>
      </w:r>
    </w:p>
    <w:p w14:paraId="18E267F4" w14:textId="77777777" w:rsidR="00923843" w:rsidRPr="00923843" w:rsidRDefault="00923843" w:rsidP="004A656F">
      <w:pPr>
        <w:spacing w:after="240"/>
      </w:pPr>
      <w:r w:rsidRPr="00923843">
        <w:t xml:space="preserve">The Contractor is responsible for any work it subcontracts. Subcontracts must include all applicable terms and conditions of this Agreement. Any subcontractors, outside associates, or consultants required by the Contractor in connection with the services covered by this Agreement shall be limited to such individuals or firms as were specifically identified in the bid or agreed to </w:t>
      </w:r>
      <w:r w:rsidRPr="00923843">
        <w:lastRenderedPageBreak/>
        <w:t xml:space="preserve">during negotiations for this Agreement, or as are specifically authorized by the Contract Monitor during the performance of this Agreement. Any substitutions in, or additions to, such subcontractors, associates or consultants shall be subject to prior written approval of the Contract Monitor. Contractor warrants, represents and agrees that it and its subcontractors, employees and representatives shall </w:t>
      </w:r>
      <w:proofErr w:type="gramStart"/>
      <w:r w:rsidRPr="00923843">
        <w:t>at all times</w:t>
      </w:r>
      <w:proofErr w:type="gramEnd"/>
      <w:r w:rsidRPr="00923843">
        <w:t xml:space="preserve"> comply with all applicable laws, codes, rules and regulations in the performance of this Agreement. Should State determine that the work performed by a subcontractor is substantially unsatisfactory and is not in substantial accordance with the contract terms and conditions, or that the subcontractor is substantially delaying or disrupting the process of work, State may request substitution of the subcontractor.</w:t>
      </w:r>
    </w:p>
    <w:p w14:paraId="40BACB84" w14:textId="77777777" w:rsidR="00923843" w:rsidRPr="00923843" w:rsidRDefault="00923843" w:rsidP="004A656F">
      <w:pPr>
        <w:pStyle w:val="Heading3"/>
      </w:pPr>
      <w:r w:rsidRPr="00923843">
        <w:t>11.11 Confidentiality</w:t>
      </w:r>
    </w:p>
    <w:p w14:paraId="591E528E" w14:textId="77777777" w:rsidR="00923843" w:rsidRPr="00923843" w:rsidRDefault="00923843" w:rsidP="004A656F">
      <w:pPr>
        <w:spacing w:after="240"/>
      </w:pPr>
      <w:r w:rsidRPr="00923843">
        <w:t>The Contractor shall not disclose data or documents or disseminate the contents of documents or reports without express written permission from CDE’s Contract Monitor.</w:t>
      </w:r>
    </w:p>
    <w:p w14:paraId="7B51F5FD" w14:textId="77777777" w:rsidR="00923843" w:rsidRPr="00923843" w:rsidRDefault="00923843" w:rsidP="004A656F">
      <w:pPr>
        <w:spacing w:after="240"/>
      </w:pPr>
      <w:r w:rsidRPr="00923843">
        <w:t>Contractor shall not comment publicly to the press or any other media regarding its data or documents, or CDE actions on the same, except at a public hearing, or in response to questions from a legislative committee.</w:t>
      </w:r>
    </w:p>
    <w:p w14:paraId="1256D40A" w14:textId="77777777" w:rsidR="00923843" w:rsidRPr="00923843" w:rsidRDefault="00923843" w:rsidP="004A656F">
      <w:pPr>
        <w:spacing w:after="240"/>
      </w:pPr>
      <w:r w:rsidRPr="00923843">
        <w:t>The Contractor must immediately notify CDE if a third-party requests or subpoenas documents related to this contract.</w:t>
      </w:r>
    </w:p>
    <w:p w14:paraId="2811311E" w14:textId="77777777" w:rsidR="00923843" w:rsidRPr="00923843" w:rsidRDefault="00923843" w:rsidP="004A656F">
      <w:pPr>
        <w:pStyle w:val="Heading3"/>
      </w:pPr>
      <w:r w:rsidRPr="00923843">
        <w:t>11.12 Disclosure of Financial Interests</w:t>
      </w:r>
    </w:p>
    <w:p w14:paraId="36960931" w14:textId="77777777" w:rsidR="00923843" w:rsidRPr="00923843" w:rsidRDefault="00923843" w:rsidP="004A656F">
      <w:pPr>
        <w:spacing w:after="240"/>
      </w:pPr>
      <w:r w:rsidRPr="00923843">
        <w:t xml:space="preserve">Offers in response to this RFP must disclose any financial interests that may, in the foreseeable contract, allow the individual or organization </w:t>
      </w:r>
      <w:proofErr w:type="gramStart"/>
      <w:r w:rsidRPr="00923843">
        <w:t>submitting</w:t>
      </w:r>
      <w:proofErr w:type="gramEnd"/>
      <w:r w:rsidRPr="00923843">
        <w:t xml:space="preserve"> the offer to materially benefit from the state’s adoption of a course of action recommended in the development and administration of the Federal Liaison Officer.</w:t>
      </w:r>
    </w:p>
    <w:p w14:paraId="34EB669B" w14:textId="77777777" w:rsidR="00923843" w:rsidRPr="00923843" w:rsidRDefault="00923843" w:rsidP="004A656F">
      <w:pPr>
        <w:spacing w:after="240"/>
      </w:pPr>
      <w:r w:rsidRPr="00923843">
        <w:t xml:space="preserve">During the performance of this contract, should the Contractor become aware of a financial conflict of interest that may foreseeably allow an individual or organization involved in this Contract to materially benefit from this contract, the Contractor must inform the CDE in writing within 10 working days. If, </w:t>
      </w:r>
      <w:proofErr w:type="gramStart"/>
      <w:r w:rsidRPr="00923843">
        <w:t>in</w:t>
      </w:r>
      <w:proofErr w:type="gramEnd"/>
      <w:r w:rsidRPr="00923843">
        <w:t xml:space="preserve"> the CDE’s judgment, the financial interest will jeopardize the objectivity of the recommendations, the CDE shall have the option of terminating the contract.</w:t>
      </w:r>
    </w:p>
    <w:p w14:paraId="45CC1EED" w14:textId="77777777" w:rsidR="00923843" w:rsidRPr="00923843" w:rsidRDefault="00923843" w:rsidP="004A656F">
      <w:pPr>
        <w:spacing w:after="240"/>
      </w:pPr>
      <w:r w:rsidRPr="00923843">
        <w:t>Failure to disclose a relevant financial interest on the part of the Contractor will be deemed grounds for termination of the contract with all associated costs to be borne by the Contractor and, in addition, the Contractor may be excluded from participating in the CDE’s bid processes for a period of up to 36 months in accordance with Public Contract Code section 10369(e).</w:t>
      </w:r>
    </w:p>
    <w:p w14:paraId="42CB430A" w14:textId="77777777" w:rsidR="00923843" w:rsidRPr="00923843" w:rsidRDefault="00923843" w:rsidP="004A656F">
      <w:pPr>
        <w:spacing w:after="240"/>
      </w:pPr>
      <w:r w:rsidRPr="00923843">
        <w:t>Contractor should also be aware of the following provisions of Government Code section 1090:</w:t>
      </w:r>
    </w:p>
    <w:p w14:paraId="0AD7A16A" w14:textId="1B5469D4" w:rsidR="00923843" w:rsidRPr="00923843" w:rsidRDefault="00923843" w:rsidP="004A656F">
      <w:pPr>
        <w:spacing w:after="240"/>
      </w:pPr>
      <w:r w:rsidRPr="00923843">
        <w:t>“Members of the Legislature, state, county</w:t>
      </w:r>
      <w:r w:rsidR="006B1CEF">
        <w:t>,</w:t>
      </w:r>
      <w:r w:rsidRPr="00923843">
        <w:t xml:space="preserve"> district, judicial district, and city officers or employees shall not be financially interested in any contract made by them in their official capacity, or by </w:t>
      </w:r>
      <w:proofErr w:type="spellStart"/>
      <w:r w:rsidRPr="00923843">
        <w:t>any body</w:t>
      </w:r>
      <w:proofErr w:type="spellEnd"/>
      <w:r w:rsidRPr="00923843">
        <w:t xml:space="preserve"> or board of which they are members. Nor shall state, county</w:t>
      </w:r>
      <w:r w:rsidR="006B1CEF">
        <w:t>,</w:t>
      </w:r>
      <w:r w:rsidRPr="00923843">
        <w:t xml:space="preserve"> district, judicial district, and city officers or employees be purchasers at any sale or vendors at any purchase made by them in their official capacity.”</w:t>
      </w:r>
    </w:p>
    <w:p w14:paraId="0D581DA0" w14:textId="77777777" w:rsidR="00923843" w:rsidRPr="00923843" w:rsidRDefault="00923843" w:rsidP="004A656F">
      <w:pPr>
        <w:pStyle w:val="Heading3"/>
      </w:pPr>
      <w:r w:rsidRPr="00923843">
        <w:t>11.13 Correspondence</w:t>
      </w:r>
    </w:p>
    <w:p w14:paraId="08754CDC" w14:textId="77777777" w:rsidR="00923843" w:rsidRPr="00923843" w:rsidRDefault="00923843" w:rsidP="004A656F">
      <w:pPr>
        <w:spacing w:after="240"/>
      </w:pPr>
      <w:r w:rsidRPr="00923843">
        <w:lastRenderedPageBreak/>
        <w:t>Correspondence prepared by the Contractor relating to the logistics of tasks to be performed by the Contractor under the scope of work of this contract or correspondence of an informational nature related to the program supported by this contract which is prepared by the Contractor must be reviewed by CDE prior to mailing or distribution.</w:t>
      </w:r>
    </w:p>
    <w:p w14:paraId="17123D36" w14:textId="77777777" w:rsidR="00923843" w:rsidRPr="00923843" w:rsidRDefault="00923843" w:rsidP="004A656F">
      <w:pPr>
        <w:spacing w:after="240"/>
      </w:pPr>
      <w:r w:rsidRPr="00923843">
        <w:t>As a standard business practice, the Contractor must "copy" CDE’s Contract Monitor on each final letter, e-mail, and memorandum prepared by the Contractor under the scope of work of this contract.</w:t>
      </w:r>
    </w:p>
    <w:p w14:paraId="31C2F751" w14:textId="77777777" w:rsidR="00923843" w:rsidRPr="00923843" w:rsidRDefault="00923843" w:rsidP="004A656F">
      <w:pPr>
        <w:pStyle w:val="Heading3"/>
      </w:pPr>
      <w:r w:rsidRPr="00923843">
        <w:t>11.14 News Releases</w:t>
      </w:r>
    </w:p>
    <w:p w14:paraId="1F96A8D5" w14:textId="77777777" w:rsidR="00923843" w:rsidRPr="00923843" w:rsidRDefault="00923843" w:rsidP="004A656F">
      <w:pPr>
        <w:spacing w:after="240"/>
      </w:pPr>
      <w:r w:rsidRPr="00923843">
        <w:t>The Contractor must not issue any news releases or make any statement to the news media in any way pertaining to this contract without the prior written approval by CDE, and then only in cooperation with CDE.</w:t>
      </w:r>
    </w:p>
    <w:p w14:paraId="71D7B503" w14:textId="77777777" w:rsidR="00923843" w:rsidRPr="00923843" w:rsidRDefault="00923843" w:rsidP="004A656F">
      <w:pPr>
        <w:pStyle w:val="Heading3"/>
      </w:pPr>
      <w:r w:rsidRPr="00923843">
        <w:t>11.15 Representational Conflicts of Interest</w:t>
      </w:r>
    </w:p>
    <w:p w14:paraId="7B4838C9" w14:textId="77777777" w:rsidR="00923843" w:rsidRPr="00923843" w:rsidRDefault="00923843" w:rsidP="004A656F">
      <w:pPr>
        <w:spacing w:after="240"/>
      </w:pPr>
      <w:r w:rsidRPr="00923843">
        <w:t>The Contractor must disclose to the CDE Contract Monitor any activities by Contractor or subcontractor personnel involving representation of parties, or provision of consultation services to parties, who are adversarial to CDE. CDE may immediately terminate this contract if the Contractor fails to disclose the information required by this section. CDE may immediately terminate this contract if any conflicts of interest cannot be reconciled with the performance of services under this contract.</w:t>
      </w:r>
    </w:p>
    <w:p w14:paraId="1CB76B3C" w14:textId="77777777" w:rsidR="00923843" w:rsidRPr="00923843" w:rsidRDefault="00923843" w:rsidP="004A656F">
      <w:pPr>
        <w:pStyle w:val="Heading3"/>
      </w:pPr>
      <w:r w:rsidRPr="00923843">
        <w:t>11.16 Unlawful Denial of Services (Government Code Section 11135)</w:t>
      </w:r>
    </w:p>
    <w:p w14:paraId="4399AC25" w14:textId="77777777" w:rsidR="00923843" w:rsidRPr="00923843" w:rsidRDefault="00923843" w:rsidP="004A656F">
      <w:pPr>
        <w:spacing w:after="240"/>
      </w:pPr>
      <w:r w:rsidRPr="00923843">
        <w:t xml:space="preserve">No person in the State of California shall, </w:t>
      </w:r>
      <w:proofErr w:type="gramStart"/>
      <w:r w:rsidRPr="00923843">
        <w:t>on the basis of</w:t>
      </w:r>
      <w:proofErr w:type="gramEnd"/>
      <w:r w:rsidRPr="00923843">
        <w:t xml:space="preserve"> ethnic group identification, religion, age, sex, color, or disability, be unlawfully denied the benefits of, or be unlawfully subjected to discrimination under, any program or activity that is funded directly by the state or receives any financial assistance from the state.</w:t>
      </w:r>
    </w:p>
    <w:p w14:paraId="796DEEFD" w14:textId="77777777" w:rsidR="00923843" w:rsidRPr="00923843" w:rsidRDefault="00923843" w:rsidP="004A656F">
      <w:pPr>
        <w:spacing w:after="240"/>
      </w:pPr>
      <w:r w:rsidRPr="00923843">
        <w:t>With respect to discrimination on the basis of disability, programs and activities subject to subdivision (a) shall meet the protections and prohibitions contained in Section 202 of the Americans with Disabilities Act of 1990 (42 U.S.C. Sec. 12132), and the federal rules and regulations adopted in implementation thereof, except that if the laws of this state prescribe stronger protections and prohibitions, the programs and activities subject to subdivision (a) shall be subject to the stronger protections and prohibitions.</w:t>
      </w:r>
    </w:p>
    <w:p w14:paraId="284C8DAD" w14:textId="0976612A" w:rsidR="00923843" w:rsidRDefault="00923843" w:rsidP="004A656F">
      <w:pPr>
        <w:spacing w:after="240"/>
      </w:pPr>
      <w:r w:rsidRPr="00923843">
        <w:t>As used in this section, “disability” means any of the following with respect to an individual: (1) a physical or mental impairment that substantially limits one or more of the major life activities of the individual, (2) a record of an impairment as described in paragraph (1), or (3) being regarded as having an impairment as described in paragraph (1).</w:t>
      </w:r>
    </w:p>
    <w:p w14:paraId="7FE2F9DB" w14:textId="5F5406FF" w:rsidR="00C82ABF" w:rsidRDefault="00C82ABF" w:rsidP="00F67ED5">
      <w:pPr>
        <w:pStyle w:val="Heading3"/>
        <w:rPr>
          <w:u w:val="single"/>
        </w:rPr>
      </w:pPr>
      <w:r>
        <w:t>11.1</w:t>
      </w:r>
      <w:r w:rsidR="00923843">
        <w:t>7</w:t>
      </w:r>
      <w:r>
        <w:t xml:space="preserve"> Follow-on Contracts</w:t>
      </w:r>
    </w:p>
    <w:p w14:paraId="735C7ACD" w14:textId="0C7F5A0D" w:rsidR="00923843" w:rsidRDefault="00C82ABF" w:rsidP="00C82ABF">
      <w:pPr>
        <w:pStyle w:val="NormalWeb"/>
        <w:spacing w:before="0" w:after="240"/>
        <w:rPr>
          <w:rFonts w:ascii="Arial" w:hAnsi="Arial"/>
        </w:rPr>
      </w:pPr>
      <w:r>
        <w:rPr>
          <w:rFonts w:ascii="Arial" w:hAnsi="Arial"/>
        </w:rPr>
        <w:t xml:space="preserve">No contractor, subcontractor, person, firm, or subsidiary thereof who has been awarded a consulting services contract, or a contract which includes a consulting component, (see PCC </w:t>
      </w:r>
      <w:r>
        <w:rPr>
          <w:rFonts w:ascii="Arial" w:hAnsi="Arial" w:cs="Arial"/>
        </w:rPr>
        <w:lastRenderedPageBreak/>
        <w:t>section</w:t>
      </w:r>
      <w:r>
        <w:rPr>
          <w:rFonts w:ascii="Arial" w:hAnsi="Arial"/>
        </w:rPr>
        <w:t xml:space="preserve"> 10335.5) may be awarded a contract for the provision of services, delivery of goods or supplies, or any other related action, which is required, suggested, or otherwise deemed appropriate as an end product of the consulting services contract (see PCC </w:t>
      </w:r>
      <w:r>
        <w:rPr>
          <w:rFonts w:ascii="Arial" w:hAnsi="Arial" w:cs="Arial"/>
        </w:rPr>
        <w:t>section</w:t>
      </w:r>
      <w:r>
        <w:rPr>
          <w:rFonts w:ascii="Arial" w:hAnsi="Arial"/>
        </w:rPr>
        <w:t xml:space="preserve"> 10365.5).</w:t>
      </w:r>
    </w:p>
    <w:p w14:paraId="0017C8A9" w14:textId="77777777" w:rsidR="00923843" w:rsidRPr="00923843" w:rsidRDefault="00923843" w:rsidP="004A656F">
      <w:pPr>
        <w:pStyle w:val="Heading3"/>
      </w:pPr>
      <w:r w:rsidRPr="00923843">
        <w:t>11.18 Retention of Records</w:t>
      </w:r>
    </w:p>
    <w:p w14:paraId="4FD615EC" w14:textId="5A514E69" w:rsidR="00923843" w:rsidRDefault="00923843" w:rsidP="004A656F">
      <w:pPr>
        <w:spacing w:after="240"/>
      </w:pPr>
      <w:r w:rsidRPr="00923843">
        <w:t>The Contractor shall maintain accounting records and other evidence pertaining to costs incurred, with the provision that they shall be kept available by the contractor during the contract period and thereafter for five full years from the date of the final payment. The CDE must be permitted to audit, review, and inspect the contractor's activities, books, documents, papers and records during progress of the work and for five years following final payment.</w:t>
      </w:r>
    </w:p>
    <w:p w14:paraId="7D1F66A4" w14:textId="359D48AB" w:rsidR="00A8796F" w:rsidRDefault="00A8796F" w:rsidP="00F67ED5">
      <w:pPr>
        <w:pStyle w:val="Heading3"/>
      </w:pPr>
      <w:r>
        <w:t>1</w:t>
      </w:r>
      <w:r w:rsidR="00C426A0">
        <w:t>1</w:t>
      </w:r>
      <w:r>
        <w:t>.1</w:t>
      </w:r>
      <w:r w:rsidR="005A37CE">
        <w:t>9</w:t>
      </w:r>
      <w:r>
        <w:t xml:space="preserve"> Contract Requirements Related to DVBE Participation </w:t>
      </w:r>
      <w:r w:rsidR="00AA6376">
        <w:t>Compliance</w:t>
      </w:r>
      <w:r>
        <w:t xml:space="preserve"> </w:t>
      </w:r>
    </w:p>
    <w:p w14:paraId="0CD7EAAC" w14:textId="50F54617" w:rsidR="002F600D" w:rsidRPr="00B933B8" w:rsidRDefault="00CA472D" w:rsidP="00B933B8">
      <w:pPr>
        <w:pStyle w:val="ListParagraph"/>
        <w:numPr>
          <w:ilvl w:val="1"/>
          <w:numId w:val="21"/>
        </w:numPr>
        <w:spacing w:after="240"/>
        <w:ind w:left="360"/>
        <w:contextualSpacing w:val="0"/>
      </w:pPr>
      <w:bookmarkStart w:id="21" w:name="_Hlk101535423"/>
      <w:r>
        <w:t>DVBE Substitution</w:t>
      </w:r>
      <w:bookmarkStart w:id="22" w:name="_Hlk202968298"/>
      <w:r>
        <w:t xml:space="preserve">: </w:t>
      </w:r>
      <w:r w:rsidR="002F600D" w:rsidRPr="00B933B8">
        <w:t>Contractor understands and agrees to comply with the requirements set forth in Military and Veterans Code, Section </w:t>
      </w:r>
      <w:hyperlink r:id="rId46" w:tgtFrame="_blank" w:history="1">
        <w:r w:rsidR="002F600D" w:rsidRPr="00B933B8">
          <w:t>999</w:t>
        </w:r>
      </w:hyperlink>
      <w:r w:rsidR="002F600D" w:rsidRPr="00B933B8">
        <w:t> et seq. that should award of this contract be based in part on their commitment to use the Disabled Veteran Business Enterprise (DVBE) subcontractor(s) identified in their bid or offer, per Military and Veterans Code, Section </w:t>
      </w:r>
      <w:hyperlink r:id="rId47" w:tgtFrame="_blank" w:history="1">
        <w:r w:rsidR="002F600D" w:rsidRPr="00B933B8">
          <w:t>999.5(f)</w:t>
        </w:r>
      </w:hyperlink>
      <w:r w:rsidR="002F600D" w:rsidRPr="00B933B8">
        <w:t>, a DVBE subcontractor may only be replaced by another DVBE subcontractor and must be approved by both the awarding department and the Department of General Services (DGS) prior to the commencement of any work by the proposed subcontractor. Changes to the scope of work that impact the DVBE subcontractor(s) identified in the bid or offer and approved DVBE substitutions will be documented by contract amendment. </w:t>
      </w:r>
    </w:p>
    <w:p w14:paraId="5252924A" w14:textId="77777777" w:rsidR="002F600D" w:rsidRPr="00B933B8" w:rsidRDefault="002F600D" w:rsidP="00B933B8">
      <w:pPr>
        <w:pStyle w:val="ListParagraph"/>
        <w:spacing w:after="240"/>
        <w:ind w:left="360"/>
        <w:contextualSpacing w:val="0"/>
      </w:pPr>
      <w:r w:rsidRPr="00B933B8">
        <w:t>Failure of Contractor to seek substitution and adhere to the DVBE participation level identified in the bid or offer may be cause for contract termination, recovery of damages under rights and remedies due to the State, and penalties as outlined in MVC, Section </w:t>
      </w:r>
      <w:hyperlink r:id="rId48" w:tgtFrame="_blank" w:history="1">
        <w:r w:rsidRPr="00B933B8">
          <w:t>999.9</w:t>
        </w:r>
      </w:hyperlink>
      <w:r w:rsidRPr="00B933B8">
        <w:t>; Public Contract Code (PCC), Section </w:t>
      </w:r>
      <w:hyperlink r:id="rId49" w:tgtFrame="_blank" w:history="1">
        <w:r w:rsidRPr="00B933B8">
          <w:t>10115.10</w:t>
        </w:r>
      </w:hyperlink>
      <w:r w:rsidRPr="00B933B8">
        <w:t>.</w:t>
      </w:r>
      <w:bookmarkEnd w:id="22"/>
    </w:p>
    <w:p w14:paraId="0A7B47B2" w14:textId="789DB0B8" w:rsidR="00CA472D" w:rsidRDefault="00CA472D" w:rsidP="00B933B8">
      <w:pPr>
        <w:pStyle w:val="ListParagraph"/>
        <w:spacing w:after="240"/>
        <w:ind w:left="360"/>
        <w:contextualSpacing w:val="0"/>
      </w:pPr>
      <w:r>
        <w:t xml:space="preserve">If awarded the contract, the Contractor must use the DVBE subcontractors and/or supplier(s) in its proposal unless the </w:t>
      </w:r>
      <w:r w:rsidR="00B435C6">
        <w:t>C</w:t>
      </w:r>
      <w:r>
        <w:t>ontractor requested substitution via prior written notice to the CDE and the CDE may consent to the substitution of another person as a subcontractor in any of the following situations</w:t>
      </w:r>
      <w:r w:rsidR="001C117C">
        <w:t xml:space="preserve"> (2 C</w:t>
      </w:r>
      <w:r w:rsidR="003D0FB6">
        <w:t>C</w:t>
      </w:r>
      <w:r w:rsidR="001C117C">
        <w:t>R 1896.73)</w:t>
      </w:r>
      <w:r>
        <w:t>:</w:t>
      </w:r>
    </w:p>
    <w:p w14:paraId="367A2C44" w14:textId="7B09ED4A" w:rsidR="00CA472D" w:rsidRDefault="00CA472D" w:rsidP="00CA472D">
      <w:pPr>
        <w:pStyle w:val="ListParagraph"/>
        <w:numPr>
          <w:ilvl w:val="1"/>
          <w:numId w:val="27"/>
        </w:numPr>
        <w:spacing w:after="240"/>
        <w:ind w:left="720"/>
        <w:contextualSpacing w:val="0"/>
      </w:pPr>
      <w:r>
        <w:t>When the subcontractor listed in the bid, after having had a reasonable opportunity to do so, fa</w:t>
      </w:r>
      <w:r w:rsidR="00EF3B33">
        <w:t>i</w:t>
      </w:r>
      <w:r>
        <w:t>ls or refuses to execute a written contract, when that written contract based upon the general terms, conditions, plans and specifications for the project involved or the terms of that subcontractor's written bid, is presented to the subcontractor by the prime Contractor.</w:t>
      </w:r>
    </w:p>
    <w:p w14:paraId="0800F3D0" w14:textId="77777777" w:rsidR="00CA472D" w:rsidRDefault="00CA472D" w:rsidP="00CA472D">
      <w:pPr>
        <w:pStyle w:val="ListParagraph"/>
        <w:numPr>
          <w:ilvl w:val="1"/>
          <w:numId w:val="27"/>
        </w:numPr>
        <w:spacing w:after="240"/>
        <w:ind w:left="720"/>
        <w:contextualSpacing w:val="0"/>
      </w:pPr>
      <w:r>
        <w:t>When the listed subcontractor becomes bankrupt or insolvent or goes out of business.</w:t>
      </w:r>
    </w:p>
    <w:p w14:paraId="27963480" w14:textId="77777777" w:rsidR="00CA472D" w:rsidRDefault="00CA472D" w:rsidP="00CA472D">
      <w:pPr>
        <w:pStyle w:val="ListParagraph"/>
        <w:numPr>
          <w:ilvl w:val="1"/>
          <w:numId w:val="27"/>
        </w:numPr>
        <w:spacing w:after="240"/>
        <w:ind w:left="720"/>
        <w:contextualSpacing w:val="0"/>
      </w:pPr>
      <w:r>
        <w:t>When the listed subcontractor fails or refuses to perform the subcontract.</w:t>
      </w:r>
    </w:p>
    <w:p w14:paraId="4868E658" w14:textId="47F02E76" w:rsidR="00CA472D" w:rsidRDefault="00CA472D" w:rsidP="00CA472D">
      <w:pPr>
        <w:pStyle w:val="ListParagraph"/>
        <w:numPr>
          <w:ilvl w:val="1"/>
          <w:numId w:val="27"/>
        </w:numPr>
        <w:spacing w:after="240"/>
        <w:ind w:left="720"/>
        <w:contextualSpacing w:val="0"/>
      </w:pPr>
      <w:r>
        <w:t xml:space="preserve">When the listed subcontractor fails or refuses to meet the bond requirements of the prime </w:t>
      </w:r>
      <w:r w:rsidR="00EF3B33">
        <w:t>C</w:t>
      </w:r>
      <w:r>
        <w:t>ontractor.</w:t>
      </w:r>
    </w:p>
    <w:p w14:paraId="7B59A19F" w14:textId="770E5BD4" w:rsidR="00CA472D" w:rsidRDefault="00CA472D" w:rsidP="00CA472D">
      <w:pPr>
        <w:pStyle w:val="ListParagraph"/>
        <w:numPr>
          <w:ilvl w:val="1"/>
          <w:numId w:val="27"/>
        </w:numPr>
        <w:spacing w:after="240"/>
        <w:ind w:left="720"/>
        <w:contextualSpacing w:val="0"/>
      </w:pPr>
      <w:r>
        <w:lastRenderedPageBreak/>
        <w:t xml:space="preserve">When the prime Contractor demonstrates to the CDE that the name of the subcontractor was listed </w:t>
      </w:r>
      <w:proofErr w:type="gramStart"/>
      <w:r>
        <w:t>as a result of</w:t>
      </w:r>
      <w:proofErr w:type="gramEnd"/>
      <w:r>
        <w:t xml:space="preserve"> an inadvertent clerical error.</w:t>
      </w:r>
    </w:p>
    <w:p w14:paraId="389A40EE" w14:textId="77777777" w:rsidR="00CA472D" w:rsidRDefault="00CA472D" w:rsidP="00CA472D">
      <w:pPr>
        <w:pStyle w:val="ListParagraph"/>
        <w:numPr>
          <w:ilvl w:val="1"/>
          <w:numId w:val="27"/>
        </w:numPr>
        <w:spacing w:after="240"/>
        <w:ind w:left="720"/>
        <w:contextualSpacing w:val="0"/>
      </w:pPr>
      <w:r>
        <w:t>When the listed subcontractor is not licensed pursuant to the Contractor’s License Law, if applicable, or any applicable licensing requirement of any regulatory agency of the State of California.</w:t>
      </w:r>
    </w:p>
    <w:p w14:paraId="10B9C128" w14:textId="77777777" w:rsidR="00CA472D" w:rsidRDefault="00CA472D" w:rsidP="00CA472D">
      <w:pPr>
        <w:pStyle w:val="ListParagraph"/>
        <w:numPr>
          <w:ilvl w:val="1"/>
          <w:numId w:val="27"/>
        </w:numPr>
        <w:spacing w:after="240"/>
        <w:ind w:left="720"/>
        <w:contextualSpacing w:val="0"/>
      </w:pPr>
      <w:r>
        <w:t>When the CDE determines that the work performed by the listed subcontractor is substantially unsatisfactory and not in substantial accordance with the plans and specifications, or that the subcontractor is substantially delaying or disrupting the progress of the work.</w:t>
      </w:r>
    </w:p>
    <w:p w14:paraId="4133D514" w14:textId="77777777" w:rsidR="00CA472D" w:rsidRDefault="00CA472D" w:rsidP="00CA472D">
      <w:pPr>
        <w:pStyle w:val="ListParagraph"/>
        <w:spacing w:after="240"/>
        <w:ind w:left="360"/>
        <w:contextualSpacing w:val="0"/>
      </w:pPr>
      <w:r>
        <w:t>The request and the State's approval or disapproval is NOT to be construed as an excuse for noncompliance with any other provision of law, including but not limited to the Subletting and Subcontracting Fair Practices Act or any other contract requirements relating to substitution of subcontractors.</w:t>
      </w:r>
    </w:p>
    <w:p w14:paraId="7C8226EB" w14:textId="7CE5C108" w:rsidR="00CA472D" w:rsidRDefault="00CA472D" w:rsidP="00CA472D">
      <w:pPr>
        <w:spacing w:after="240"/>
        <w:ind w:left="360"/>
      </w:pPr>
      <w:r>
        <w:t xml:space="preserve">Failure to adhere to at least the DVBE participation proposed by the Contractor may be cause </w:t>
      </w:r>
      <w:proofErr w:type="gramStart"/>
      <w:r>
        <w:t>for</w:t>
      </w:r>
      <w:proofErr w:type="gramEnd"/>
      <w:r>
        <w:t xml:space="preserve"> contract termination and recovery of damages under the rights and remedies </w:t>
      </w:r>
      <w:proofErr w:type="gramStart"/>
      <w:r>
        <w:t>due</w:t>
      </w:r>
      <w:proofErr w:type="gramEnd"/>
      <w:r>
        <w:t xml:space="preserve"> the State under the default section of the contract.</w:t>
      </w:r>
    </w:p>
    <w:p w14:paraId="57B53736" w14:textId="1C559ECD" w:rsidR="00CA472D" w:rsidRDefault="00CA472D" w:rsidP="00CA472D">
      <w:pPr>
        <w:pStyle w:val="ListParagraph"/>
        <w:numPr>
          <w:ilvl w:val="0"/>
          <w:numId w:val="28"/>
        </w:numPr>
        <w:spacing w:after="240"/>
        <w:ind w:left="360"/>
        <w:contextualSpacing w:val="0"/>
      </w:pPr>
      <w:r>
        <w:t>Reporting: The Contractor must complete and provide an accurate Prime Contractor’s Certification – DVBE Subcontracting Report (STD. 817) and proof of payment to DVBE(s) upon contract completion with the final invoice. The Contractor must provide any additional report(s) of actual participation by DVBE</w:t>
      </w:r>
      <w:r w:rsidR="00EF3B33">
        <w:t>(</w:t>
      </w:r>
      <w:r>
        <w:t>s</w:t>
      </w:r>
      <w:r w:rsidR="00EF3B33">
        <w:t>)</w:t>
      </w:r>
      <w:r>
        <w:t xml:space="preserve"> (by dollar amount and category) as may be required by the CDE to document compliance.</w:t>
      </w:r>
    </w:p>
    <w:p w14:paraId="5E1401F6" w14:textId="2AC209DB" w:rsidR="00CA472D" w:rsidRDefault="00CA472D" w:rsidP="00CA472D">
      <w:pPr>
        <w:pStyle w:val="ListParagraph"/>
        <w:spacing w:after="240"/>
        <w:ind w:left="360"/>
        <w:contextualSpacing w:val="0"/>
      </w:pPr>
      <w:r>
        <w:t>An amount of $10,000.00, or full amount of the final invoice if less than $10,000.00, from the Contractor’s final payment will be withheld pending receipt of a complete and accurate STD. 817 and proof of payment to the DVBE(s).</w:t>
      </w:r>
    </w:p>
    <w:p w14:paraId="409C110F" w14:textId="1E0F0C4E" w:rsidR="00CA472D" w:rsidRDefault="00CA472D" w:rsidP="00CA472D">
      <w:pPr>
        <w:pStyle w:val="ListParagraph"/>
        <w:spacing w:after="240"/>
        <w:ind w:left="360"/>
        <w:contextualSpacing w:val="0"/>
        <w:rPr>
          <w:rFonts w:cs="Arial"/>
          <w:szCs w:val="24"/>
        </w:rPr>
      </w:pPr>
      <w:r>
        <w:rPr>
          <w:rFonts w:cs="Arial"/>
          <w:szCs w:val="24"/>
        </w:rPr>
        <w:t xml:space="preserve">If the </w:t>
      </w:r>
      <w:r w:rsidR="00B435C6">
        <w:rPr>
          <w:rFonts w:cs="Arial"/>
          <w:szCs w:val="24"/>
        </w:rPr>
        <w:t>STD</w:t>
      </w:r>
      <w:r>
        <w:rPr>
          <w:rFonts w:cs="Arial"/>
          <w:szCs w:val="24"/>
        </w:rPr>
        <w:t>. 817 form is late or incomplete, the State will allow the Contractor to cure within 30 days to meet the certification requirements.</w:t>
      </w:r>
    </w:p>
    <w:p w14:paraId="108ABE4D" w14:textId="2E363E5A" w:rsidR="002F600D" w:rsidRDefault="00CA472D" w:rsidP="002F600D">
      <w:pPr>
        <w:pStyle w:val="ListParagraph"/>
        <w:spacing w:after="240"/>
        <w:ind w:left="360"/>
        <w:contextualSpacing w:val="0"/>
        <w:rPr>
          <w:rFonts w:cs="Arial"/>
          <w:szCs w:val="24"/>
        </w:rPr>
      </w:pPr>
      <w:r>
        <w:rPr>
          <w:rFonts w:cs="Arial"/>
          <w:szCs w:val="24"/>
        </w:rPr>
        <w:t>If the Contractor does not comply by the given deadline, the withheld amount will be permanently deducted.</w:t>
      </w:r>
    </w:p>
    <w:p w14:paraId="7A2D5063" w14:textId="4FBAF864" w:rsidR="00CB24BA" w:rsidRDefault="00CA472D" w:rsidP="00CA472D">
      <w:pPr>
        <w:pStyle w:val="ListParagraph"/>
        <w:numPr>
          <w:ilvl w:val="0"/>
          <w:numId w:val="28"/>
        </w:numPr>
        <w:spacing w:after="240"/>
        <w:ind w:left="360"/>
        <w:contextualSpacing w:val="0"/>
      </w:pPr>
      <w:r>
        <w:t>Compliance Audit: The Contractor must agree that the State or its designee will have the right to review, obtain, and copy all records pertaining to performance of the contract. The Contractor must agree to provide the State or its designee with any relevant information requested and shall permit the State or its designee access to its premises, upon reasonable notice, during normal business hours for the purpose of interviewing employees and inspecting and copying such books, records, accounts, and other material that may be relevant to a matter under investigation for the purpose of determining compliance with this requirement. The Contractor must further agree to maintain such records for a period of six years after final payment under the contract.</w:t>
      </w:r>
      <w:bookmarkEnd w:id="21"/>
    </w:p>
    <w:p w14:paraId="66175518" w14:textId="77777777" w:rsidR="009C0B7D" w:rsidRPr="00CA472D" w:rsidRDefault="009C0B7D" w:rsidP="005F0064">
      <w:pPr>
        <w:spacing w:after="240"/>
      </w:pPr>
    </w:p>
    <w:sectPr w:rsidR="009C0B7D" w:rsidRPr="00CA472D" w:rsidSect="003616B1">
      <w:footerReference w:type="default" r:id="rId50"/>
      <w:type w:val="continuous"/>
      <w:pgSz w:w="12240" w:h="15840"/>
      <w:pgMar w:top="720" w:right="116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EB1D" w14:textId="77777777" w:rsidR="000354BA" w:rsidRDefault="000354BA" w:rsidP="002113D4">
      <w:r>
        <w:separator/>
      </w:r>
    </w:p>
    <w:p w14:paraId="14EB89E2" w14:textId="77777777" w:rsidR="000354BA" w:rsidRDefault="000354BA"/>
    <w:p w14:paraId="2B156E7B" w14:textId="77777777" w:rsidR="000354BA" w:rsidRDefault="000354BA"/>
  </w:endnote>
  <w:endnote w:type="continuationSeparator" w:id="0">
    <w:p w14:paraId="50AABE33" w14:textId="77777777" w:rsidR="000354BA" w:rsidRDefault="000354BA" w:rsidP="002113D4">
      <w:r>
        <w:continuationSeparator/>
      </w:r>
    </w:p>
    <w:p w14:paraId="414F7D2C" w14:textId="77777777" w:rsidR="000354BA" w:rsidRDefault="000354BA"/>
    <w:p w14:paraId="2181E83D" w14:textId="77777777" w:rsidR="000354BA" w:rsidRDefault="00035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auto"/>
    <w:pitch w:val="default"/>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683973"/>
      <w:docPartObj>
        <w:docPartGallery w:val="Page Numbers (Bottom of Page)"/>
        <w:docPartUnique/>
      </w:docPartObj>
    </w:sdtPr>
    <w:sdtEndPr>
      <w:rPr>
        <w:noProof/>
      </w:rPr>
    </w:sdtEndPr>
    <w:sdtContent>
      <w:p w14:paraId="3D8AD3A4" w14:textId="77777777" w:rsidR="002408FB" w:rsidRDefault="002408FB">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133485DB" w14:textId="77777777" w:rsidR="002408FB" w:rsidRDefault="002408FB"/>
  <w:p w14:paraId="69CAAEB5" w14:textId="77777777" w:rsidR="002408FB" w:rsidRDefault="002408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4062" w14:textId="77777777" w:rsidR="000354BA" w:rsidRDefault="000354BA" w:rsidP="002113D4">
      <w:r>
        <w:separator/>
      </w:r>
    </w:p>
    <w:p w14:paraId="7060B37C" w14:textId="77777777" w:rsidR="000354BA" w:rsidRDefault="000354BA"/>
    <w:p w14:paraId="48D28B9D" w14:textId="77777777" w:rsidR="000354BA" w:rsidRDefault="000354BA"/>
  </w:footnote>
  <w:footnote w:type="continuationSeparator" w:id="0">
    <w:p w14:paraId="333F8745" w14:textId="77777777" w:rsidR="000354BA" w:rsidRDefault="000354BA" w:rsidP="002113D4">
      <w:r>
        <w:continuationSeparator/>
      </w:r>
    </w:p>
    <w:p w14:paraId="273525BA" w14:textId="77777777" w:rsidR="000354BA" w:rsidRDefault="000354BA"/>
    <w:p w14:paraId="3CF52B3C" w14:textId="77777777" w:rsidR="000354BA" w:rsidRDefault="00035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781"/>
    <w:multiLevelType w:val="hybridMultilevel"/>
    <w:tmpl w:val="CFF80A2E"/>
    <w:lvl w:ilvl="0" w:tplc="E46201BE">
      <w:start w:val="1"/>
      <w:numFmt w:val="decimal"/>
      <w:lvlText w:val="%1."/>
      <w:lvlJc w:val="left"/>
      <w:pPr>
        <w:ind w:left="1440" w:hanging="360"/>
      </w:pPr>
      <w:rPr>
        <w:rFonts w:ascii="Arial" w:eastAsia="Calibri"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000FEF"/>
    <w:multiLevelType w:val="hybridMultilevel"/>
    <w:tmpl w:val="55CA8A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8B8395D"/>
    <w:multiLevelType w:val="hybridMultilevel"/>
    <w:tmpl w:val="316672B4"/>
    <w:lvl w:ilvl="0" w:tplc="CD082BDA">
      <w:start w:val="1"/>
      <w:numFmt w:val="upperLetter"/>
      <w:lvlText w:val="%1."/>
      <w:lvlJc w:val="left"/>
      <w:pPr>
        <w:ind w:left="720" w:hanging="360"/>
      </w:pPr>
      <w:rPr>
        <w:rFonts w:eastAsia="Times New Roman"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57A7C"/>
    <w:multiLevelType w:val="hybridMultilevel"/>
    <w:tmpl w:val="ACD043EC"/>
    <w:lvl w:ilvl="0" w:tplc="04090015">
      <w:start w:val="1"/>
      <w:numFmt w:val="upperLetter"/>
      <w:lvlText w:val="%1."/>
      <w:lvlJc w:val="left"/>
      <w:pPr>
        <w:ind w:left="360" w:hanging="720"/>
      </w:pPr>
      <w:rPr>
        <w:rFonts w:hint="default"/>
      </w:rPr>
    </w:lvl>
    <w:lvl w:ilvl="1" w:tplc="6FB2766A">
      <w:start w:val="1"/>
      <w:numFmt w:val="decimal"/>
      <w:lvlText w:val="%2."/>
      <w:lvlJc w:val="left"/>
      <w:pPr>
        <w:ind w:left="1080" w:hanging="72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B5A34AA"/>
    <w:multiLevelType w:val="hybridMultilevel"/>
    <w:tmpl w:val="2A42A2C0"/>
    <w:lvl w:ilvl="0" w:tplc="E14A730A">
      <w:start w:val="1"/>
      <w:numFmt w:val="decimal"/>
      <w:lvlText w:val="%1."/>
      <w:lvlJc w:val="left"/>
      <w:pPr>
        <w:ind w:left="2160" w:hanging="180"/>
      </w:pPr>
      <w:rPr>
        <w:b w:val="0"/>
        <w:color w:val="auto"/>
      </w:rPr>
    </w:lvl>
    <w:lvl w:ilvl="1" w:tplc="2FC89700">
      <w:start w:val="1"/>
      <w:numFmt w:val="upperLetter"/>
      <w:lvlText w:val="%2."/>
      <w:lvlJc w:val="left"/>
      <w:pPr>
        <w:ind w:left="18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D7C4C"/>
    <w:multiLevelType w:val="hybridMultilevel"/>
    <w:tmpl w:val="B7826D54"/>
    <w:lvl w:ilvl="0" w:tplc="04090015">
      <w:start w:val="1"/>
      <w:numFmt w:val="upperLetter"/>
      <w:lvlText w:val="%1."/>
      <w:lvlJc w:val="left"/>
      <w:pPr>
        <w:ind w:left="720" w:hanging="360"/>
      </w:pPr>
    </w:lvl>
    <w:lvl w:ilvl="1" w:tplc="98847454">
      <w:start w:val="1"/>
      <w:numFmt w:val="upp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2021C"/>
    <w:multiLevelType w:val="hybridMultilevel"/>
    <w:tmpl w:val="22E04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E2742"/>
    <w:multiLevelType w:val="hybridMultilevel"/>
    <w:tmpl w:val="C2689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D208D"/>
    <w:multiLevelType w:val="hybridMultilevel"/>
    <w:tmpl w:val="38B85928"/>
    <w:lvl w:ilvl="0" w:tplc="C60EC0EC">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3214F"/>
    <w:multiLevelType w:val="hybridMultilevel"/>
    <w:tmpl w:val="1E18E922"/>
    <w:lvl w:ilvl="0" w:tplc="D062E906">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52C2A"/>
    <w:multiLevelType w:val="hybridMultilevel"/>
    <w:tmpl w:val="25CA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C66BD"/>
    <w:multiLevelType w:val="hybridMultilevel"/>
    <w:tmpl w:val="CE624306"/>
    <w:lvl w:ilvl="0" w:tplc="8ADA6C38">
      <w:start w:val="1"/>
      <w:numFmt w:val="upp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46C3D"/>
    <w:multiLevelType w:val="hybridMultilevel"/>
    <w:tmpl w:val="7ED2CF4A"/>
    <w:lvl w:ilvl="0" w:tplc="7974D49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2632C2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24573"/>
    <w:multiLevelType w:val="hybridMultilevel"/>
    <w:tmpl w:val="101C5084"/>
    <w:lvl w:ilvl="0" w:tplc="E09EAA8C">
      <w:start w:val="2"/>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89DC9"/>
    <w:multiLevelType w:val="hybridMultilevel"/>
    <w:tmpl w:val="B87AC438"/>
    <w:lvl w:ilvl="0" w:tplc="256C2470">
      <w:start w:val="1"/>
      <w:numFmt w:val="decimal"/>
      <w:lvlText w:val="%1."/>
      <w:lvlJc w:val="left"/>
      <w:pPr>
        <w:ind w:left="720" w:hanging="360"/>
      </w:pPr>
    </w:lvl>
    <w:lvl w:ilvl="1" w:tplc="373C4370">
      <w:start w:val="1"/>
      <w:numFmt w:val="lowerLetter"/>
      <w:lvlText w:val="%2."/>
      <w:lvlJc w:val="left"/>
      <w:pPr>
        <w:ind w:left="1440" w:hanging="360"/>
      </w:pPr>
    </w:lvl>
    <w:lvl w:ilvl="2" w:tplc="B644C23C">
      <w:start w:val="1"/>
      <w:numFmt w:val="lowerRoman"/>
      <w:lvlText w:val="%3."/>
      <w:lvlJc w:val="right"/>
      <w:pPr>
        <w:ind w:left="2160" w:hanging="180"/>
      </w:pPr>
    </w:lvl>
    <w:lvl w:ilvl="3" w:tplc="24063FF6">
      <w:start w:val="1"/>
      <w:numFmt w:val="decimal"/>
      <w:lvlText w:val="%4."/>
      <w:lvlJc w:val="left"/>
      <w:pPr>
        <w:ind w:left="2880" w:hanging="360"/>
      </w:pPr>
    </w:lvl>
    <w:lvl w:ilvl="4" w:tplc="236A1E90">
      <w:start w:val="1"/>
      <w:numFmt w:val="lowerLetter"/>
      <w:lvlText w:val="%5."/>
      <w:lvlJc w:val="left"/>
      <w:pPr>
        <w:ind w:left="3600" w:hanging="360"/>
      </w:pPr>
    </w:lvl>
    <w:lvl w:ilvl="5" w:tplc="C83E956A">
      <w:start w:val="1"/>
      <w:numFmt w:val="lowerRoman"/>
      <w:lvlText w:val="%6."/>
      <w:lvlJc w:val="right"/>
      <w:pPr>
        <w:ind w:left="4320" w:hanging="180"/>
      </w:pPr>
    </w:lvl>
    <w:lvl w:ilvl="6" w:tplc="73840460">
      <w:start w:val="1"/>
      <w:numFmt w:val="decimal"/>
      <w:lvlText w:val="%7."/>
      <w:lvlJc w:val="left"/>
      <w:pPr>
        <w:ind w:left="5040" w:hanging="360"/>
      </w:pPr>
    </w:lvl>
    <w:lvl w:ilvl="7" w:tplc="4572A198">
      <w:start w:val="1"/>
      <w:numFmt w:val="lowerLetter"/>
      <w:lvlText w:val="%8."/>
      <w:lvlJc w:val="left"/>
      <w:pPr>
        <w:ind w:left="5760" w:hanging="360"/>
      </w:pPr>
    </w:lvl>
    <w:lvl w:ilvl="8" w:tplc="C268ABF2">
      <w:start w:val="1"/>
      <w:numFmt w:val="lowerRoman"/>
      <w:lvlText w:val="%9."/>
      <w:lvlJc w:val="right"/>
      <w:pPr>
        <w:ind w:left="6480" w:hanging="180"/>
      </w:pPr>
    </w:lvl>
  </w:abstractNum>
  <w:abstractNum w:abstractNumId="15" w15:restartNumberingAfterBreak="0">
    <w:nsid w:val="26BD6108"/>
    <w:multiLevelType w:val="hybridMultilevel"/>
    <w:tmpl w:val="4FDC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C0D70"/>
    <w:multiLevelType w:val="hybridMultilevel"/>
    <w:tmpl w:val="707837A0"/>
    <w:lvl w:ilvl="0" w:tplc="DBEC92EE">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B5ABC"/>
    <w:multiLevelType w:val="hybridMultilevel"/>
    <w:tmpl w:val="518E3C5C"/>
    <w:lvl w:ilvl="0" w:tplc="BAA83C64">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774D34"/>
    <w:multiLevelType w:val="hybridMultilevel"/>
    <w:tmpl w:val="056C7386"/>
    <w:lvl w:ilvl="0" w:tplc="6DB0593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506072"/>
    <w:multiLevelType w:val="hybridMultilevel"/>
    <w:tmpl w:val="A8A4141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7736C9"/>
    <w:multiLevelType w:val="hybridMultilevel"/>
    <w:tmpl w:val="7714B83E"/>
    <w:lvl w:ilvl="0" w:tplc="0409000F">
      <w:start w:val="1"/>
      <w:numFmt w:val="decimal"/>
      <w:lvlText w:val="%1."/>
      <w:lvlJc w:val="left"/>
      <w:pPr>
        <w:tabs>
          <w:tab w:val="num" w:pos="1095"/>
        </w:tabs>
        <w:ind w:left="1095" w:hanging="360"/>
      </w:pPr>
      <w:rPr>
        <w:rFonts w:hint="default"/>
        <w:i w:val="0"/>
      </w:rPr>
    </w:lvl>
    <w:lvl w:ilvl="1" w:tplc="0409000F">
      <w:start w:val="1"/>
      <w:numFmt w:val="decimal"/>
      <w:lvlText w:val="%2."/>
      <w:lvlJc w:val="left"/>
      <w:pPr>
        <w:ind w:left="3240"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1" w15:restartNumberingAfterBreak="0">
    <w:nsid w:val="32F17FBB"/>
    <w:multiLevelType w:val="hybridMultilevel"/>
    <w:tmpl w:val="10AA967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7D645C"/>
    <w:multiLevelType w:val="hybridMultilevel"/>
    <w:tmpl w:val="CD20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80041"/>
    <w:multiLevelType w:val="hybridMultilevel"/>
    <w:tmpl w:val="FE5A6C72"/>
    <w:lvl w:ilvl="0" w:tplc="0409000F">
      <w:start w:val="1"/>
      <w:numFmt w:val="decimal"/>
      <w:lvlText w:val="%1."/>
      <w:lvlJc w:val="left"/>
      <w:pPr>
        <w:ind w:left="720" w:hanging="360"/>
      </w:pPr>
    </w:lvl>
    <w:lvl w:ilvl="1" w:tplc="DF76616C">
      <w:start w:val="1"/>
      <w:numFmt w:val="upperLetter"/>
      <w:lvlText w:val="%2."/>
      <w:lvlJc w:val="left"/>
      <w:pPr>
        <w:ind w:left="3870" w:hanging="720"/>
      </w:pPr>
      <w:rPr>
        <w:rFonts w:hint="default"/>
        <w:b w:val="0"/>
        <w:sz w:val="24"/>
        <w:szCs w:val="24"/>
      </w:rPr>
    </w:lvl>
    <w:lvl w:ilvl="2" w:tplc="CFCA0AD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0A7A8"/>
    <w:multiLevelType w:val="hybridMultilevel"/>
    <w:tmpl w:val="AA843878"/>
    <w:lvl w:ilvl="0" w:tplc="B8A88AF6">
      <w:start w:val="1"/>
      <w:numFmt w:val="decimal"/>
      <w:lvlText w:val="%1."/>
      <w:lvlJc w:val="left"/>
      <w:pPr>
        <w:ind w:left="720" w:hanging="360"/>
      </w:pPr>
    </w:lvl>
    <w:lvl w:ilvl="1" w:tplc="6DCA6AD8">
      <w:start w:val="1"/>
      <w:numFmt w:val="lowerLetter"/>
      <w:lvlText w:val="%2."/>
      <w:lvlJc w:val="left"/>
      <w:pPr>
        <w:ind w:left="1440" w:hanging="360"/>
      </w:pPr>
    </w:lvl>
    <w:lvl w:ilvl="2" w:tplc="44340FD4">
      <w:start w:val="1"/>
      <w:numFmt w:val="lowerRoman"/>
      <w:lvlText w:val="%3."/>
      <w:lvlJc w:val="right"/>
      <w:pPr>
        <w:ind w:left="2160" w:hanging="180"/>
      </w:pPr>
    </w:lvl>
    <w:lvl w:ilvl="3" w:tplc="8D3E1AAE">
      <w:start w:val="1"/>
      <w:numFmt w:val="decimal"/>
      <w:lvlText w:val="%4."/>
      <w:lvlJc w:val="left"/>
      <w:pPr>
        <w:ind w:left="2880" w:hanging="360"/>
      </w:pPr>
    </w:lvl>
    <w:lvl w:ilvl="4" w:tplc="C9D22634">
      <w:start w:val="1"/>
      <w:numFmt w:val="lowerLetter"/>
      <w:lvlText w:val="%5."/>
      <w:lvlJc w:val="left"/>
      <w:pPr>
        <w:ind w:left="3600" w:hanging="360"/>
      </w:pPr>
    </w:lvl>
    <w:lvl w:ilvl="5" w:tplc="0722E2DE">
      <w:start w:val="1"/>
      <w:numFmt w:val="lowerRoman"/>
      <w:lvlText w:val="%6."/>
      <w:lvlJc w:val="right"/>
      <w:pPr>
        <w:ind w:left="4320" w:hanging="180"/>
      </w:pPr>
    </w:lvl>
    <w:lvl w:ilvl="6" w:tplc="E346B278">
      <w:start w:val="1"/>
      <w:numFmt w:val="decimal"/>
      <w:lvlText w:val="%7."/>
      <w:lvlJc w:val="left"/>
      <w:pPr>
        <w:ind w:left="5040" w:hanging="360"/>
      </w:pPr>
    </w:lvl>
    <w:lvl w:ilvl="7" w:tplc="24A6362E">
      <w:start w:val="1"/>
      <w:numFmt w:val="lowerLetter"/>
      <w:lvlText w:val="%8."/>
      <w:lvlJc w:val="left"/>
      <w:pPr>
        <w:ind w:left="5760" w:hanging="360"/>
      </w:pPr>
    </w:lvl>
    <w:lvl w:ilvl="8" w:tplc="05D053B4">
      <w:start w:val="1"/>
      <w:numFmt w:val="lowerRoman"/>
      <w:lvlText w:val="%9."/>
      <w:lvlJc w:val="right"/>
      <w:pPr>
        <w:ind w:left="6480" w:hanging="180"/>
      </w:pPr>
    </w:lvl>
  </w:abstractNum>
  <w:abstractNum w:abstractNumId="25" w15:restartNumberingAfterBreak="0">
    <w:nsid w:val="36FF1298"/>
    <w:multiLevelType w:val="hybridMultilevel"/>
    <w:tmpl w:val="FACC0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A0251D"/>
    <w:multiLevelType w:val="hybridMultilevel"/>
    <w:tmpl w:val="5362554E"/>
    <w:lvl w:ilvl="0" w:tplc="097E92C2">
      <w:start w:val="1"/>
      <w:numFmt w:val="decimal"/>
      <w:lvlText w:val="%1."/>
      <w:lvlJc w:val="left"/>
      <w:pPr>
        <w:ind w:left="1170" w:hanging="360"/>
      </w:pPr>
      <w:rPr>
        <w:rFonts w:ascii="Arial" w:eastAsia="Calibri" w:hAnsi="Arial" w:cs="Times New Roman"/>
      </w:rPr>
    </w:lvl>
    <w:lvl w:ilvl="1" w:tplc="F802E9B0">
      <w:start w:val="1"/>
      <w:numFmt w:val="upperLetter"/>
      <w:lvlText w:val="%2."/>
      <w:lvlJc w:val="left"/>
      <w:pPr>
        <w:ind w:left="2250" w:hanging="720"/>
      </w:pPr>
      <w:rPr>
        <w:rFonts w:hint="default"/>
        <w:color w:val="auto"/>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3D017D9E"/>
    <w:multiLevelType w:val="hybridMultilevel"/>
    <w:tmpl w:val="C126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965EAA"/>
    <w:multiLevelType w:val="hybridMultilevel"/>
    <w:tmpl w:val="9DAEAE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E86980"/>
    <w:multiLevelType w:val="hybridMultilevel"/>
    <w:tmpl w:val="52E0B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77650A4"/>
    <w:multiLevelType w:val="hybridMultilevel"/>
    <w:tmpl w:val="A344FF24"/>
    <w:lvl w:ilvl="0" w:tplc="CBDAED0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D0136"/>
    <w:multiLevelType w:val="hybridMultilevel"/>
    <w:tmpl w:val="EA681AC0"/>
    <w:lvl w:ilvl="0" w:tplc="04090015">
      <w:start w:val="10"/>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76414"/>
    <w:multiLevelType w:val="hybridMultilevel"/>
    <w:tmpl w:val="22F43BE2"/>
    <w:lvl w:ilvl="0" w:tplc="04090015">
      <w:start w:val="1"/>
      <w:numFmt w:val="upperLetter"/>
      <w:lvlText w:val="%1."/>
      <w:lvlJc w:val="left"/>
      <w:pPr>
        <w:ind w:left="360" w:hanging="360"/>
      </w:pPr>
      <w:rPr>
        <w:rFonts w:hint="default"/>
      </w:rPr>
    </w:lvl>
    <w:lvl w:ilvl="1" w:tplc="0409000F">
      <w:start w:val="1"/>
      <w:numFmt w:val="decimal"/>
      <w:lvlText w:val="%2."/>
      <w:lvlJc w:val="left"/>
      <w:pPr>
        <w:ind w:left="3240" w:hanging="360"/>
      </w:pPr>
    </w:lvl>
    <w:lvl w:ilvl="2" w:tplc="F8021A32">
      <w:start w:val="1"/>
      <w:numFmt w:val="decimal"/>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571F8C"/>
    <w:multiLevelType w:val="hybridMultilevel"/>
    <w:tmpl w:val="D4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91C7D"/>
    <w:multiLevelType w:val="hybridMultilevel"/>
    <w:tmpl w:val="16A4D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503F49"/>
    <w:multiLevelType w:val="hybridMultilevel"/>
    <w:tmpl w:val="F78A2586"/>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0013634"/>
    <w:multiLevelType w:val="hybridMultilevel"/>
    <w:tmpl w:val="4642D2CC"/>
    <w:lvl w:ilvl="0" w:tplc="678A9434">
      <w:start w:val="1"/>
      <w:numFmt w:val="decimal"/>
      <w:lvlText w:val="%1."/>
      <w:lvlJc w:val="left"/>
      <w:pPr>
        <w:ind w:left="720" w:hanging="360"/>
      </w:pPr>
    </w:lvl>
    <w:lvl w:ilvl="1" w:tplc="37562D94">
      <w:start w:val="1"/>
      <w:numFmt w:val="lowerLetter"/>
      <w:lvlText w:val="%2."/>
      <w:lvlJc w:val="left"/>
      <w:pPr>
        <w:ind w:left="1440" w:hanging="360"/>
      </w:pPr>
    </w:lvl>
    <w:lvl w:ilvl="2" w:tplc="003414CC">
      <w:start w:val="1"/>
      <w:numFmt w:val="lowerRoman"/>
      <w:lvlText w:val="%3."/>
      <w:lvlJc w:val="right"/>
      <w:pPr>
        <w:ind w:left="2160" w:hanging="180"/>
      </w:pPr>
    </w:lvl>
    <w:lvl w:ilvl="3" w:tplc="5DCE3E26">
      <w:start w:val="1"/>
      <w:numFmt w:val="decimal"/>
      <w:lvlText w:val="%4."/>
      <w:lvlJc w:val="left"/>
      <w:pPr>
        <w:ind w:left="2880" w:hanging="360"/>
      </w:pPr>
    </w:lvl>
    <w:lvl w:ilvl="4" w:tplc="CAB29DAA">
      <w:start w:val="1"/>
      <w:numFmt w:val="lowerLetter"/>
      <w:lvlText w:val="%5."/>
      <w:lvlJc w:val="left"/>
      <w:pPr>
        <w:ind w:left="3600" w:hanging="360"/>
      </w:pPr>
    </w:lvl>
    <w:lvl w:ilvl="5" w:tplc="EB0A5D4C">
      <w:start w:val="1"/>
      <w:numFmt w:val="lowerRoman"/>
      <w:lvlText w:val="%6."/>
      <w:lvlJc w:val="right"/>
      <w:pPr>
        <w:ind w:left="4320" w:hanging="180"/>
      </w:pPr>
    </w:lvl>
    <w:lvl w:ilvl="6" w:tplc="C57C9D18">
      <w:start w:val="1"/>
      <w:numFmt w:val="decimal"/>
      <w:lvlText w:val="%7."/>
      <w:lvlJc w:val="left"/>
      <w:pPr>
        <w:ind w:left="5040" w:hanging="360"/>
      </w:pPr>
    </w:lvl>
    <w:lvl w:ilvl="7" w:tplc="42B0C0BA">
      <w:start w:val="1"/>
      <w:numFmt w:val="lowerLetter"/>
      <w:lvlText w:val="%8."/>
      <w:lvlJc w:val="left"/>
      <w:pPr>
        <w:ind w:left="5760" w:hanging="360"/>
      </w:pPr>
    </w:lvl>
    <w:lvl w:ilvl="8" w:tplc="3F5AF270">
      <w:start w:val="1"/>
      <w:numFmt w:val="lowerRoman"/>
      <w:lvlText w:val="%9."/>
      <w:lvlJc w:val="right"/>
      <w:pPr>
        <w:ind w:left="6480" w:hanging="180"/>
      </w:pPr>
    </w:lvl>
  </w:abstractNum>
  <w:abstractNum w:abstractNumId="37" w15:restartNumberingAfterBreak="0">
    <w:nsid w:val="51DB09ED"/>
    <w:multiLevelType w:val="hybridMultilevel"/>
    <w:tmpl w:val="DCA2C4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2A436CE"/>
    <w:multiLevelType w:val="hybridMultilevel"/>
    <w:tmpl w:val="861A312C"/>
    <w:lvl w:ilvl="0" w:tplc="63845AD4">
      <w:start w:val="11"/>
      <w:numFmt w:val="decimal"/>
      <w:lvlText w:val="%1."/>
      <w:lvlJc w:val="left"/>
      <w:pPr>
        <w:ind w:left="360" w:hanging="360"/>
      </w:pPr>
      <w:rPr>
        <w:rFonts w:hint="default"/>
      </w:rPr>
    </w:lvl>
    <w:lvl w:ilvl="1" w:tplc="CF301308">
      <w:start w:val="1"/>
      <w:numFmt w:val="upperLetter"/>
      <w:lvlText w:val="%2."/>
      <w:lvlJc w:val="left"/>
      <w:pPr>
        <w:ind w:left="180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31C135D"/>
    <w:multiLevelType w:val="hybridMultilevel"/>
    <w:tmpl w:val="81E6CE82"/>
    <w:lvl w:ilvl="0" w:tplc="04090015">
      <w:start w:val="1"/>
      <w:numFmt w:val="upperLetter"/>
      <w:lvlText w:val="%1."/>
      <w:lvlJc w:val="left"/>
      <w:pPr>
        <w:ind w:left="2160" w:hanging="360"/>
      </w:pPr>
    </w:lvl>
    <w:lvl w:ilvl="1" w:tplc="D6B8E1A8">
      <w:start w:val="1"/>
      <w:numFmt w:val="decimal"/>
      <w:lvlText w:val="%2."/>
      <w:lvlJc w:val="left"/>
      <w:pPr>
        <w:ind w:left="2520" w:hanging="360"/>
      </w:pPr>
      <w:rPr>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6FC4B73"/>
    <w:multiLevelType w:val="hybridMultilevel"/>
    <w:tmpl w:val="BCA6AF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7CE5550"/>
    <w:multiLevelType w:val="hybridMultilevel"/>
    <w:tmpl w:val="330E27CA"/>
    <w:lvl w:ilvl="0" w:tplc="F802E9B0">
      <w:start w:val="1"/>
      <w:numFmt w:val="upperLetter"/>
      <w:lvlText w:val="%1."/>
      <w:lvlJc w:val="left"/>
      <w:pPr>
        <w:ind w:left="225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811F60"/>
    <w:multiLevelType w:val="hybridMultilevel"/>
    <w:tmpl w:val="5FCA4628"/>
    <w:lvl w:ilvl="0" w:tplc="1ACC4806">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5BCC5FF6"/>
    <w:multiLevelType w:val="hybridMultilevel"/>
    <w:tmpl w:val="4C50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200388"/>
    <w:multiLevelType w:val="hybridMultilevel"/>
    <w:tmpl w:val="447CCFA2"/>
    <w:lvl w:ilvl="0" w:tplc="DBEC92EE">
      <w:numFmt w:val="bullet"/>
      <w:lvlText w:val="•"/>
      <w:lvlJc w:val="left"/>
      <w:pPr>
        <w:ind w:left="1800" w:hanging="72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C446A9F"/>
    <w:multiLevelType w:val="hybridMultilevel"/>
    <w:tmpl w:val="23328640"/>
    <w:lvl w:ilvl="0" w:tplc="0409000F">
      <w:start w:val="1"/>
      <w:numFmt w:val="decimal"/>
      <w:lvlText w:val="%1."/>
      <w:lvlJc w:val="left"/>
      <w:pPr>
        <w:ind w:left="32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3C6A53"/>
    <w:multiLevelType w:val="hybridMultilevel"/>
    <w:tmpl w:val="BBE6DEF6"/>
    <w:lvl w:ilvl="0" w:tplc="631E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4A7442"/>
    <w:multiLevelType w:val="multilevel"/>
    <w:tmpl w:val="63226D78"/>
    <w:lvl w:ilvl="0">
      <w:start w:val="1"/>
      <w:numFmt w:val="upperLetter"/>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0FF5040"/>
    <w:multiLevelType w:val="hybridMultilevel"/>
    <w:tmpl w:val="EBC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DC3190"/>
    <w:multiLevelType w:val="hybridMultilevel"/>
    <w:tmpl w:val="BD7018BC"/>
    <w:lvl w:ilvl="0" w:tplc="58065858">
      <w:start w:val="1"/>
      <w:numFmt w:val="bullet"/>
      <w:lvlText w:val=""/>
      <w:lvlJc w:val="left"/>
      <w:pPr>
        <w:ind w:left="1080" w:hanging="72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0B4BE6"/>
    <w:multiLevelType w:val="multilevel"/>
    <w:tmpl w:val="9E9086B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4607430"/>
    <w:multiLevelType w:val="hybridMultilevel"/>
    <w:tmpl w:val="917CEE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A53886"/>
    <w:multiLevelType w:val="hybridMultilevel"/>
    <w:tmpl w:val="EAEE3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9467D8B"/>
    <w:multiLevelType w:val="hybridMultilevel"/>
    <w:tmpl w:val="3D4E2A7E"/>
    <w:lvl w:ilvl="0" w:tplc="7DBE8624">
      <w:start w:val="1"/>
      <w:numFmt w:val="lowerLetter"/>
      <w:lvlText w:val="%1."/>
      <w:lvlJc w:val="left"/>
      <w:pPr>
        <w:ind w:left="1080" w:hanging="360"/>
      </w:pPr>
      <w:rPr>
        <w:rFonts w:hint="default"/>
        <w:b w:val="0"/>
        <w:cap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99C54F7"/>
    <w:multiLevelType w:val="hybridMultilevel"/>
    <w:tmpl w:val="924E440C"/>
    <w:lvl w:ilvl="0" w:tplc="70FA8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A4E6FC8"/>
    <w:multiLevelType w:val="hybridMultilevel"/>
    <w:tmpl w:val="E8C8D0E2"/>
    <w:lvl w:ilvl="0" w:tplc="1944C0AC">
      <w:start w:val="1"/>
      <w:numFmt w:val="lowerLetter"/>
      <w:lvlText w:val="%1."/>
      <w:lvlJc w:val="left"/>
      <w:pPr>
        <w:ind w:left="1080" w:hanging="360"/>
      </w:pPr>
      <w:rPr>
        <w:rFonts w:hint="default"/>
        <w:cap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A82444F"/>
    <w:multiLevelType w:val="hybridMultilevel"/>
    <w:tmpl w:val="E5C672D4"/>
    <w:lvl w:ilvl="0" w:tplc="FFFFFFFF">
      <w:start w:val="6"/>
      <w:numFmt w:val="decimal"/>
      <w:lvlText w:val="%1."/>
      <w:lvlJc w:val="left"/>
      <w:pPr>
        <w:ind w:left="720" w:hanging="360"/>
      </w:pPr>
      <w:rPr>
        <w:rFonts w:hint="default"/>
      </w:rPr>
    </w:lvl>
    <w:lvl w:ilvl="1" w:tplc="0409000F">
      <w:start w:val="1"/>
      <w:numFmt w:val="decimal"/>
      <w:lvlText w:val="%2."/>
      <w:lvlJc w:val="left"/>
      <w:pPr>
        <w:ind w:left="32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FF720D2"/>
    <w:multiLevelType w:val="hybridMultilevel"/>
    <w:tmpl w:val="97DC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D1111D"/>
    <w:multiLevelType w:val="hybridMultilevel"/>
    <w:tmpl w:val="DE78403C"/>
    <w:lvl w:ilvl="0" w:tplc="04090015">
      <w:start w:val="1"/>
      <w:numFmt w:val="upperLetter"/>
      <w:lvlText w:val="%1."/>
      <w:lvlJc w:val="left"/>
      <w:pPr>
        <w:ind w:left="720" w:hanging="360"/>
      </w:pPr>
    </w:lvl>
    <w:lvl w:ilvl="1" w:tplc="A612753A">
      <w:start w:val="1"/>
      <w:numFmt w:val="upp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6D5025"/>
    <w:multiLevelType w:val="hybridMultilevel"/>
    <w:tmpl w:val="A920CF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A9335B4"/>
    <w:multiLevelType w:val="hybridMultilevel"/>
    <w:tmpl w:val="ED6C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CB0761"/>
    <w:multiLevelType w:val="hybridMultilevel"/>
    <w:tmpl w:val="481827D8"/>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15:restartNumberingAfterBreak="0">
    <w:nsid w:val="7B7C15DF"/>
    <w:multiLevelType w:val="hybridMultilevel"/>
    <w:tmpl w:val="9A1CC4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336952">
    <w:abstractNumId w:val="26"/>
  </w:num>
  <w:num w:numId="2" w16cid:durableId="610476148">
    <w:abstractNumId w:val="15"/>
  </w:num>
  <w:num w:numId="3" w16cid:durableId="2043431309">
    <w:abstractNumId w:val="2"/>
  </w:num>
  <w:num w:numId="4" w16cid:durableId="1894850202">
    <w:abstractNumId w:val="28"/>
  </w:num>
  <w:num w:numId="5" w16cid:durableId="1117286656">
    <w:abstractNumId w:val="45"/>
  </w:num>
  <w:num w:numId="6" w16cid:durableId="1271744933">
    <w:abstractNumId w:val="12"/>
  </w:num>
  <w:num w:numId="7" w16cid:durableId="32468525">
    <w:abstractNumId w:val="55"/>
  </w:num>
  <w:num w:numId="8" w16cid:durableId="1922788699">
    <w:abstractNumId w:val="39"/>
  </w:num>
  <w:num w:numId="9" w16cid:durableId="534732624">
    <w:abstractNumId w:val="38"/>
  </w:num>
  <w:num w:numId="10" w16cid:durableId="1368875914">
    <w:abstractNumId w:val="42"/>
  </w:num>
  <w:num w:numId="11" w16cid:durableId="1522664118">
    <w:abstractNumId w:val="6"/>
  </w:num>
  <w:num w:numId="12" w16cid:durableId="492601164">
    <w:abstractNumId w:val="8"/>
  </w:num>
  <w:num w:numId="13" w16cid:durableId="1687515627">
    <w:abstractNumId w:val="11"/>
  </w:num>
  <w:num w:numId="14" w16cid:durableId="1813674821">
    <w:abstractNumId w:val="33"/>
  </w:num>
  <w:num w:numId="15" w16cid:durableId="175995943">
    <w:abstractNumId w:val="53"/>
  </w:num>
  <w:num w:numId="16" w16cid:durableId="63113773">
    <w:abstractNumId w:val="0"/>
  </w:num>
  <w:num w:numId="17" w16cid:durableId="1761178930">
    <w:abstractNumId w:val="25"/>
  </w:num>
  <w:num w:numId="18" w16cid:durableId="288708230">
    <w:abstractNumId w:val="59"/>
  </w:num>
  <w:num w:numId="19" w16cid:durableId="1663045486">
    <w:abstractNumId w:val="40"/>
  </w:num>
  <w:num w:numId="20" w16cid:durableId="1609846169">
    <w:abstractNumId w:val="1"/>
  </w:num>
  <w:num w:numId="21" w16cid:durableId="1209105039">
    <w:abstractNumId w:val="4"/>
  </w:num>
  <w:num w:numId="22" w16cid:durableId="1783498630">
    <w:abstractNumId w:val="16"/>
  </w:num>
  <w:num w:numId="23" w16cid:durableId="2084328012">
    <w:abstractNumId w:val="19"/>
  </w:num>
  <w:num w:numId="24" w16cid:durableId="1458910271">
    <w:abstractNumId w:val="32"/>
  </w:num>
  <w:num w:numId="25" w16cid:durableId="1136946046">
    <w:abstractNumId w:val="62"/>
  </w:num>
  <w:num w:numId="26" w16cid:durableId="1808473321">
    <w:abstractNumId w:val="17"/>
  </w:num>
  <w:num w:numId="27" w16cid:durableId="906694238">
    <w:abstractNumId w:val="21"/>
  </w:num>
  <w:num w:numId="28" w16cid:durableId="150946096">
    <w:abstractNumId w:val="13"/>
  </w:num>
  <w:num w:numId="29" w16cid:durableId="2144035856">
    <w:abstractNumId w:val="20"/>
  </w:num>
  <w:num w:numId="30" w16cid:durableId="1081411365">
    <w:abstractNumId w:val="23"/>
  </w:num>
  <w:num w:numId="31" w16cid:durableId="1896819717">
    <w:abstractNumId w:val="50"/>
  </w:num>
  <w:num w:numId="32" w16cid:durableId="885677470">
    <w:abstractNumId w:val="47"/>
  </w:num>
  <w:num w:numId="33" w16cid:durableId="782654717">
    <w:abstractNumId w:val="41"/>
  </w:num>
  <w:num w:numId="34" w16cid:durableId="461117548">
    <w:abstractNumId w:val="51"/>
  </w:num>
  <w:num w:numId="35" w16cid:durableId="1481456962">
    <w:abstractNumId w:val="3"/>
  </w:num>
  <w:num w:numId="36" w16cid:durableId="428237203">
    <w:abstractNumId w:val="35"/>
  </w:num>
  <w:num w:numId="37" w16cid:durableId="1462310397">
    <w:abstractNumId w:val="58"/>
  </w:num>
  <w:num w:numId="38" w16cid:durableId="216086554">
    <w:abstractNumId w:val="44"/>
  </w:num>
  <w:num w:numId="39" w16cid:durableId="206917776">
    <w:abstractNumId w:val="34"/>
  </w:num>
  <w:num w:numId="40" w16cid:durableId="1212501443">
    <w:abstractNumId w:val="22"/>
  </w:num>
  <w:num w:numId="41" w16cid:durableId="297154653">
    <w:abstractNumId w:val="30"/>
  </w:num>
  <w:num w:numId="42" w16cid:durableId="1123578021">
    <w:abstractNumId w:val="7"/>
  </w:num>
  <w:num w:numId="43" w16cid:durableId="682435655">
    <w:abstractNumId w:val="60"/>
  </w:num>
  <w:num w:numId="44" w16cid:durableId="414741012">
    <w:abstractNumId w:val="10"/>
  </w:num>
  <w:num w:numId="45" w16cid:durableId="1198592202">
    <w:abstractNumId w:val="48"/>
  </w:num>
  <w:num w:numId="46" w16cid:durableId="124658848">
    <w:abstractNumId w:val="49"/>
  </w:num>
  <w:num w:numId="47" w16cid:durableId="702366252">
    <w:abstractNumId w:val="46"/>
  </w:num>
  <w:num w:numId="48" w16cid:durableId="1337925775">
    <w:abstractNumId w:val="27"/>
  </w:num>
  <w:num w:numId="49" w16cid:durableId="1815754146">
    <w:abstractNumId w:val="9"/>
  </w:num>
  <w:num w:numId="50" w16cid:durableId="350186005">
    <w:abstractNumId w:val="37"/>
  </w:num>
  <w:num w:numId="51" w16cid:durableId="2058314736">
    <w:abstractNumId w:val="18"/>
  </w:num>
  <w:num w:numId="52" w16cid:durableId="983702257">
    <w:abstractNumId w:val="31"/>
  </w:num>
  <w:num w:numId="53" w16cid:durableId="183443509">
    <w:abstractNumId w:val="52"/>
  </w:num>
  <w:num w:numId="54" w16cid:durableId="1871260934">
    <w:abstractNumId w:val="43"/>
  </w:num>
  <w:num w:numId="55" w16cid:durableId="44380059">
    <w:abstractNumId w:val="5"/>
  </w:num>
  <w:num w:numId="56" w16cid:durableId="100536145">
    <w:abstractNumId w:val="29"/>
  </w:num>
  <w:num w:numId="57" w16cid:durableId="378746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7984460">
    <w:abstractNumId w:val="36"/>
  </w:num>
  <w:num w:numId="59" w16cid:durableId="58023044">
    <w:abstractNumId w:val="61"/>
  </w:num>
  <w:num w:numId="60" w16cid:durableId="467355687">
    <w:abstractNumId w:val="54"/>
  </w:num>
  <w:num w:numId="61" w16cid:durableId="5315729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38785559">
    <w:abstractNumId w:val="57"/>
  </w:num>
  <w:num w:numId="63" w16cid:durableId="167714597">
    <w:abstractNumId w:val="14"/>
  </w:num>
  <w:num w:numId="64" w16cid:durableId="436801730">
    <w:abstractNumId w:val="24"/>
  </w:num>
  <w:num w:numId="65" w16cid:durableId="1012032211">
    <w:abstractNumId w:val="5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0NDM0MjY3MTA0sTBV0lEKTi0uzszPAykwrAUARTT72iwAAAA="/>
  </w:docVars>
  <w:rsids>
    <w:rsidRoot w:val="00D658A4"/>
    <w:rsid w:val="00000DAE"/>
    <w:rsid w:val="0000104B"/>
    <w:rsid w:val="000016F6"/>
    <w:rsid w:val="00001A5F"/>
    <w:rsid w:val="00001B93"/>
    <w:rsid w:val="00001FA2"/>
    <w:rsid w:val="000021F4"/>
    <w:rsid w:val="00002C3F"/>
    <w:rsid w:val="00002CB5"/>
    <w:rsid w:val="00002DEF"/>
    <w:rsid w:val="00003514"/>
    <w:rsid w:val="00003FC4"/>
    <w:rsid w:val="000049BC"/>
    <w:rsid w:val="000055B7"/>
    <w:rsid w:val="000072DC"/>
    <w:rsid w:val="00007383"/>
    <w:rsid w:val="00010284"/>
    <w:rsid w:val="0001056B"/>
    <w:rsid w:val="0001088D"/>
    <w:rsid w:val="0001121F"/>
    <w:rsid w:val="000131E7"/>
    <w:rsid w:val="000137BA"/>
    <w:rsid w:val="00014869"/>
    <w:rsid w:val="000152A8"/>
    <w:rsid w:val="00015B76"/>
    <w:rsid w:val="000160E1"/>
    <w:rsid w:val="00016FB2"/>
    <w:rsid w:val="00017DAE"/>
    <w:rsid w:val="00020686"/>
    <w:rsid w:val="00020BDC"/>
    <w:rsid w:val="00020D63"/>
    <w:rsid w:val="00021415"/>
    <w:rsid w:val="0002167F"/>
    <w:rsid w:val="0002172F"/>
    <w:rsid w:val="00021B70"/>
    <w:rsid w:val="00022538"/>
    <w:rsid w:val="000232D7"/>
    <w:rsid w:val="00023440"/>
    <w:rsid w:val="00024503"/>
    <w:rsid w:val="00024530"/>
    <w:rsid w:val="000252BD"/>
    <w:rsid w:val="000259C6"/>
    <w:rsid w:val="0002661D"/>
    <w:rsid w:val="00026DF4"/>
    <w:rsid w:val="00027857"/>
    <w:rsid w:val="00027966"/>
    <w:rsid w:val="00027EED"/>
    <w:rsid w:val="00031AFF"/>
    <w:rsid w:val="000320A4"/>
    <w:rsid w:val="00032588"/>
    <w:rsid w:val="00032D2D"/>
    <w:rsid w:val="00034C06"/>
    <w:rsid w:val="000354BA"/>
    <w:rsid w:val="000357CD"/>
    <w:rsid w:val="00035ED4"/>
    <w:rsid w:val="00037E92"/>
    <w:rsid w:val="0004146B"/>
    <w:rsid w:val="0004324B"/>
    <w:rsid w:val="00043CFE"/>
    <w:rsid w:val="0004531E"/>
    <w:rsid w:val="00045FBD"/>
    <w:rsid w:val="00050212"/>
    <w:rsid w:val="00050DF5"/>
    <w:rsid w:val="000513AD"/>
    <w:rsid w:val="000522BA"/>
    <w:rsid w:val="00052D25"/>
    <w:rsid w:val="00052F3C"/>
    <w:rsid w:val="00053344"/>
    <w:rsid w:val="00053AD6"/>
    <w:rsid w:val="00053E23"/>
    <w:rsid w:val="0005585A"/>
    <w:rsid w:val="00060BFC"/>
    <w:rsid w:val="00062916"/>
    <w:rsid w:val="00062A42"/>
    <w:rsid w:val="00063A91"/>
    <w:rsid w:val="00063F5C"/>
    <w:rsid w:val="000640C1"/>
    <w:rsid w:val="000653A0"/>
    <w:rsid w:val="000662B8"/>
    <w:rsid w:val="0006632F"/>
    <w:rsid w:val="000670D5"/>
    <w:rsid w:val="0006751E"/>
    <w:rsid w:val="00070726"/>
    <w:rsid w:val="00070BFC"/>
    <w:rsid w:val="00071C10"/>
    <w:rsid w:val="000735B5"/>
    <w:rsid w:val="00073DCB"/>
    <w:rsid w:val="0007503A"/>
    <w:rsid w:val="00075567"/>
    <w:rsid w:val="00076443"/>
    <w:rsid w:val="000776AB"/>
    <w:rsid w:val="000777A9"/>
    <w:rsid w:val="000807D7"/>
    <w:rsid w:val="000808A8"/>
    <w:rsid w:val="00080B36"/>
    <w:rsid w:val="000813E9"/>
    <w:rsid w:val="000814AF"/>
    <w:rsid w:val="00082AB0"/>
    <w:rsid w:val="00082C3F"/>
    <w:rsid w:val="000831FF"/>
    <w:rsid w:val="0008572D"/>
    <w:rsid w:val="0009140F"/>
    <w:rsid w:val="00091B75"/>
    <w:rsid w:val="0009408F"/>
    <w:rsid w:val="00094214"/>
    <w:rsid w:val="00094231"/>
    <w:rsid w:val="000945FF"/>
    <w:rsid w:val="00096132"/>
    <w:rsid w:val="00096626"/>
    <w:rsid w:val="000A1E8B"/>
    <w:rsid w:val="000A1F69"/>
    <w:rsid w:val="000A2447"/>
    <w:rsid w:val="000A2C70"/>
    <w:rsid w:val="000A34AC"/>
    <w:rsid w:val="000A4BE8"/>
    <w:rsid w:val="000A7609"/>
    <w:rsid w:val="000A7DBF"/>
    <w:rsid w:val="000B0643"/>
    <w:rsid w:val="000B16E7"/>
    <w:rsid w:val="000B1AB1"/>
    <w:rsid w:val="000B3F0D"/>
    <w:rsid w:val="000B7C14"/>
    <w:rsid w:val="000C00DF"/>
    <w:rsid w:val="000C113F"/>
    <w:rsid w:val="000C1D70"/>
    <w:rsid w:val="000C3472"/>
    <w:rsid w:val="000C34EE"/>
    <w:rsid w:val="000C3DCA"/>
    <w:rsid w:val="000C3E27"/>
    <w:rsid w:val="000C44B6"/>
    <w:rsid w:val="000C4DF7"/>
    <w:rsid w:val="000C528D"/>
    <w:rsid w:val="000C7F5F"/>
    <w:rsid w:val="000D0658"/>
    <w:rsid w:val="000D0F08"/>
    <w:rsid w:val="000D3F49"/>
    <w:rsid w:val="000D4677"/>
    <w:rsid w:val="000D4ADC"/>
    <w:rsid w:val="000D4B48"/>
    <w:rsid w:val="000D5680"/>
    <w:rsid w:val="000D6297"/>
    <w:rsid w:val="000D6A87"/>
    <w:rsid w:val="000D71E4"/>
    <w:rsid w:val="000E07AD"/>
    <w:rsid w:val="000E0E5B"/>
    <w:rsid w:val="000E23E9"/>
    <w:rsid w:val="000E3E73"/>
    <w:rsid w:val="000E4D27"/>
    <w:rsid w:val="000E526B"/>
    <w:rsid w:val="000E67D3"/>
    <w:rsid w:val="000E7360"/>
    <w:rsid w:val="000E76B3"/>
    <w:rsid w:val="000F01DF"/>
    <w:rsid w:val="000F073C"/>
    <w:rsid w:val="000F18CF"/>
    <w:rsid w:val="000F25C3"/>
    <w:rsid w:val="000F25F8"/>
    <w:rsid w:val="000F27E4"/>
    <w:rsid w:val="000F2C95"/>
    <w:rsid w:val="000F4372"/>
    <w:rsid w:val="000F4793"/>
    <w:rsid w:val="000F508A"/>
    <w:rsid w:val="000F600A"/>
    <w:rsid w:val="000F624C"/>
    <w:rsid w:val="000F7665"/>
    <w:rsid w:val="000F7674"/>
    <w:rsid w:val="000F7964"/>
    <w:rsid w:val="00100D9C"/>
    <w:rsid w:val="00100E3F"/>
    <w:rsid w:val="00100FBA"/>
    <w:rsid w:val="00103FA1"/>
    <w:rsid w:val="001043EA"/>
    <w:rsid w:val="001046DA"/>
    <w:rsid w:val="00105693"/>
    <w:rsid w:val="00106192"/>
    <w:rsid w:val="00107A95"/>
    <w:rsid w:val="00107C79"/>
    <w:rsid w:val="001101BB"/>
    <w:rsid w:val="00110C57"/>
    <w:rsid w:val="001117D8"/>
    <w:rsid w:val="0011254C"/>
    <w:rsid w:val="0011324D"/>
    <w:rsid w:val="00113776"/>
    <w:rsid w:val="00113F3A"/>
    <w:rsid w:val="00114B63"/>
    <w:rsid w:val="0011522E"/>
    <w:rsid w:val="00115963"/>
    <w:rsid w:val="00116C41"/>
    <w:rsid w:val="0011739B"/>
    <w:rsid w:val="00117BF5"/>
    <w:rsid w:val="00117F9B"/>
    <w:rsid w:val="001200DC"/>
    <w:rsid w:val="00120397"/>
    <w:rsid w:val="00120758"/>
    <w:rsid w:val="00120EC6"/>
    <w:rsid w:val="001216E1"/>
    <w:rsid w:val="00125273"/>
    <w:rsid w:val="00126838"/>
    <w:rsid w:val="00127D53"/>
    <w:rsid w:val="00130038"/>
    <w:rsid w:val="00130B8F"/>
    <w:rsid w:val="00130BA1"/>
    <w:rsid w:val="00132985"/>
    <w:rsid w:val="0013350F"/>
    <w:rsid w:val="00133A1C"/>
    <w:rsid w:val="0013592A"/>
    <w:rsid w:val="001359F8"/>
    <w:rsid w:val="00135D6D"/>
    <w:rsid w:val="00143234"/>
    <w:rsid w:val="0014328B"/>
    <w:rsid w:val="001436ED"/>
    <w:rsid w:val="00143D82"/>
    <w:rsid w:val="0014533F"/>
    <w:rsid w:val="00145A72"/>
    <w:rsid w:val="0014725A"/>
    <w:rsid w:val="0014767B"/>
    <w:rsid w:val="001479D5"/>
    <w:rsid w:val="00147FF2"/>
    <w:rsid w:val="0015076D"/>
    <w:rsid w:val="00152C31"/>
    <w:rsid w:val="00153759"/>
    <w:rsid w:val="00154CF6"/>
    <w:rsid w:val="00155A44"/>
    <w:rsid w:val="00156170"/>
    <w:rsid w:val="00156348"/>
    <w:rsid w:val="00156B96"/>
    <w:rsid w:val="00157238"/>
    <w:rsid w:val="001633DA"/>
    <w:rsid w:val="00163AA3"/>
    <w:rsid w:val="001642B5"/>
    <w:rsid w:val="00165694"/>
    <w:rsid w:val="00166636"/>
    <w:rsid w:val="00171850"/>
    <w:rsid w:val="00171DAE"/>
    <w:rsid w:val="00173B98"/>
    <w:rsid w:val="00173DE4"/>
    <w:rsid w:val="00173E22"/>
    <w:rsid w:val="001747D9"/>
    <w:rsid w:val="00174A81"/>
    <w:rsid w:val="001754EC"/>
    <w:rsid w:val="00175AC1"/>
    <w:rsid w:val="0017651E"/>
    <w:rsid w:val="00177E8B"/>
    <w:rsid w:val="0018193C"/>
    <w:rsid w:val="001819E2"/>
    <w:rsid w:val="0018359F"/>
    <w:rsid w:val="001835DF"/>
    <w:rsid w:val="0018369A"/>
    <w:rsid w:val="00185002"/>
    <w:rsid w:val="0018585B"/>
    <w:rsid w:val="0018588B"/>
    <w:rsid w:val="001903DA"/>
    <w:rsid w:val="0019042F"/>
    <w:rsid w:val="0019080F"/>
    <w:rsid w:val="00192CD2"/>
    <w:rsid w:val="00193833"/>
    <w:rsid w:val="00194BBE"/>
    <w:rsid w:val="00195399"/>
    <w:rsid w:val="00195975"/>
    <w:rsid w:val="001969D7"/>
    <w:rsid w:val="00197061"/>
    <w:rsid w:val="001972B2"/>
    <w:rsid w:val="001976B1"/>
    <w:rsid w:val="00197AA9"/>
    <w:rsid w:val="001A04B8"/>
    <w:rsid w:val="001A06D4"/>
    <w:rsid w:val="001A277B"/>
    <w:rsid w:val="001A3719"/>
    <w:rsid w:val="001A3C14"/>
    <w:rsid w:val="001A51AB"/>
    <w:rsid w:val="001A5806"/>
    <w:rsid w:val="001A5E83"/>
    <w:rsid w:val="001B0C97"/>
    <w:rsid w:val="001B2169"/>
    <w:rsid w:val="001B23D5"/>
    <w:rsid w:val="001B2966"/>
    <w:rsid w:val="001B2DC8"/>
    <w:rsid w:val="001B2F21"/>
    <w:rsid w:val="001B4D04"/>
    <w:rsid w:val="001B59DB"/>
    <w:rsid w:val="001B5A0D"/>
    <w:rsid w:val="001B6103"/>
    <w:rsid w:val="001C0635"/>
    <w:rsid w:val="001C08FE"/>
    <w:rsid w:val="001C117C"/>
    <w:rsid w:val="001C1825"/>
    <w:rsid w:val="001C3207"/>
    <w:rsid w:val="001C3355"/>
    <w:rsid w:val="001C39E5"/>
    <w:rsid w:val="001C3A44"/>
    <w:rsid w:val="001C40F4"/>
    <w:rsid w:val="001C4196"/>
    <w:rsid w:val="001C61E8"/>
    <w:rsid w:val="001C6591"/>
    <w:rsid w:val="001C6D38"/>
    <w:rsid w:val="001C7324"/>
    <w:rsid w:val="001C7BB1"/>
    <w:rsid w:val="001D004A"/>
    <w:rsid w:val="001D0B64"/>
    <w:rsid w:val="001D0D4B"/>
    <w:rsid w:val="001D2B2B"/>
    <w:rsid w:val="001D2E4E"/>
    <w:rsid w:val="001D345A"/>
    <w:rsid w:val="001D3DF9"/>
    <w:rsid w:val="001D527A"/>
    <w:rsid w:val="001D6F29"/>
    <w:rsid w:val="001D7D81"/>
    <w:rsid w:val="001E1715"/>
    <w:rsid w:val="001E25C9"/>
    <w:rsid w:val="001E2CAB"/>
    <w:rsid w:val="001E2DDA"/>
    <w:rsid w:val="001E42A7"/>
    <w:rsid w:val="001E5A4F"/>
    <w:rsid w:val="001E6443"/>
    <w:rsid w:val="001E6451"/>
    <w:rsid w:val="001E6AB5"/>
    <w:rsid w:val="001E74A8"/>
    <w:rsid w:val="001E7DBA"/>
    <w:rsid w:val="001F018C"/>
    <w:rsid w:val="001F10C7"/>
    <w:rsid w:val="001F1198"/>
    <w:rsid w:val="001F375B"/>
    <w:rsid w:val="001F3DFC"/>
    <w:rsid w:val="001F3EBA"/>
    <w:rsid w:val="001F3F42"/>
    <w:rsid w:val="001F47C2"/>
    <w:rsid w:val="001F57DD"/>
    <w:rsid w:val="001F7561"/>
    <w:rsid w:val="001F7F80"/>
    <w:rsid w:val="002026E2"/>
    <w:rsid w:val="0020337F"/>
    <w:rsid w:val="00203A56"/>
    <w:rsid w:val="00204D85"/>
    <w:rsid w:val="002055FC"/>
    <w:rsid w:val="00205F25"/>
    <w:rsid w:val="002113D4"/>
    <w:rsid w:val="00212A4F"/>
    <w:rsid w:val="0021404C"/>
    <w:rsid w:val="00214105"/>
    <w:rsid w:val="00214799"/>
    <w:rsid w:val="00214B68"/>
    <w:rsid w:val="00214F4E"/>
    <w:rsid w:val="00215059"/>
    <w:rsid w:val="002150FE"/>
    <w:rsid w:val="00216279"/>
    <w:rsid w:val="00220684"/>
    <w:rsid w:val="002210BE"/>
    <w:rsid w:val="00221202"/>
    <w:rsid w:val="00222221"/>
    <w:rsid w:val="00225095"/>
    <w:rsid w:val="002256BE"/>
    <w:rsid w:val="00225F90"/>
    <w:rsid w:val="00226E2A"/>
    <w:rsid w:val="00233944"/>
    <w:rsid w:val="00233A2C"/>
    <w:rsid w:val="00235219"/>
    <w:rsid w:val="0023573F"/>
    <w:rsid w:val="00235DA9"/>
    <w:rsid w:val="00240400"/>
    <w:rsid w:val="002408FB"/>
    <w:rsid w:val="00240A74"/>
    <w:rsid w:val="00240AB7"/>
    <w:rsid w:val="002411DF"/>
    <w:rsid w:val="00241403"/>
    <w:rsid w:val="00241481"/>
    <w:rsid w:val="00242207"/>
    <w:rsid w:val="0024281D"/>
    <w:rsid w:val="002432C1"/>
    <w:rsid w:val="00243D04"/>
    <w:rsid w:val="00245744"/>
    <w:rsid w:val="0024677C"/>
    <w:rsid w:val="00247824"/>
    <w:rsid w:val="00250D7C"/>
    <w:rsid w:val="002510E0"/>
    <w:rsid w:val="00251133"/>
    <w:rsid w:val="00251432"/>
    <w:rsid w:val="00251A80"/>
    <w:rsid w:val="00252775"/>
    <w:rsid w:val="00253C69"/>
    <w:rsid w:val="002547C3"/>
    <w:rsid w:val="002549ED"/>
    <w:rsid w:val="00255B2F"/>
    <w:rsid w:val="0025775B"/>
    <w:rsid w:val="00260A83"/>
    <w:rsid w:val="00260BB3"/>
    <w:rsid w:val="00260CF5"/>
    <w:rsid w:val="00260EDE"/>
    <w:rsid w:val="00262632"/>
    <w:rsid w:val="002653E5"/>
    <w:rsid w:val="002656A6"/>
    <w:rsid w:val="00266AB4"/>
    <w:rsid w:val="00266D37"/>
    <w:rsid w:val="002704A7"/>
    <w:rsid w:val="002705C8"/>
    <w:rsid w:val="0027123F"/>
    <w:rsid w:val="00272B77"/>
    <w:rsid w:val="00272FD4"/>
    <w:rsid w:val="00273A60"/>
    <w:rsid w:val="0027406A"/>
    <w:rsid w:val="002752FF"/>
    <w:rsid w:val="002756A2"/>
    <w:rsid w:val="002759E8"/>
    <w:rsid w:val="002769C5"/>
    <w:rsid w:val="0028040C"/>
    <w:rsid w:val="00280F75"/>
    <w:rsid w:val="00281477"/>
    <w:rsid w:val="002830BC"/>
    <w:rsid w:val="002832AC"/>
    <w:rsid w:val="0028389D"/>
    <w:rsid w:val="00283C92"/>
    <w:rsid w:val="00283F93"/>
    <w:rsid w:val="00284E6B"/>
    <w:rsid w:val="00284FAF"/>
    <w:rsid w:val="002867D5"/>
    <w:rsid w:val="00286A93"/>
    <w:rsid w:val="00287947"/>
    <w:rsid w:val="00287AD4"/>
    <w:rsid w:val="00287AD5"/>
    <w:rsid w:val="00287D4C"/>
    <w:rsid w:val="002910E6"/>
    <w:rsid w:val="002915EC"/>
    <w:rsid w:val="00292129"/>
    <w:rsid w:val="002944DF"/>
    <w:rsid w:val="0029554E"/>
    <w:rsid w:val="00296105"/>
    <w:rsid w:val="00296A02"/>
    <w:rsid w:val="002A2DC7"/>
    <w:rsid w:val="002A501B"/>
    <w:rsid w:val="002B0539"/>
    <w:rsid w:val="002B0F54"/>
    <w:rsid w:val="002B145A"/>
    <w:rsid w:val="002B25AC"/>
    <w:rsid w:val="002B386C"/>
    <w:rsid w:val="002B4278"/>
    <w:rsid w:val="002B4AE3"/>
    <w:rsid w:val="002B4B01"/>
    <w:rsid w:val="002B5630"/>
    <w:rsid w:val="002B5835"/>
    <w:rsid w:val="002B61E5"/>
    <w:rsid w:val="002C4AD2"/>
    <w:rsid w:val="002C4F08"/>
    <w:rsid w:val="002C5090"/>
    <w:rsid w:val="002C63B7"/>
    <w:rsid w:val="002C7460"/>
    <w:rsid w:val="002C762F"/>
    <w:rsid w:val="002C76E5"/>
    <w:rsid w:val="002D0906"/>
    <w:rsid w:val="002D0A13"/>
    <w:rsid w:val="002D135C"/>
    <w:rsid w:val="002D1B87"/>
    <w:rsid w:val="002D27D4"/>
    <w:rsid w:val="002D2C28"/>
    <w:rsid w:val="002D3D91"/>
    <w:rsid w:val="002D474B"/>
    <w:rsid w:val="002D4BA9"/>
    <w:rsid w:val="002E0181"/>
    <w:rsid w:val="002E090F"/>
    <w:rsid w:val="002E09E1"/>
    <w:rsid w:val="002E265E"/>
    <w:rsid w:val="002E26D7"/>
    <w:rsid w:val="002E29D2"/>
    <w:rsid w:val="002E5811"/>
    <w:rsid w:val="002E6367"/>
    <w:rsid w:val="002E6501"/>
    <w:rsid w:val="002E7939"/>
    <w:rsid w:val="002F0482"/>
    <w:rsid w:val="002F1E9A"/>
    <w:rsid w:val="002F290C"/>
    <w:rsid w:val="002F2927"/>
    <w:rsid w:val="002F329F"/>
    <w:rsid w:val="002F350B"/>
    <w:rsid w:val="002F3792"/>
    <w:rsid w:val="002F3A28"/>
    <w:rsid w:val="002F600D"/>
    <w:rsid w:val="002F6A82"/>
    <w:rsid w:val="002F78C6"/>
    <w:rsid w:val="002F7ABB"/>
    <w:rsid w:val="00302C47"/>
    <w:rsid w:val="00304155"/>
    <w:rsid w:val="00304E73"/>
    <w:rsid w:val="00305057"/>
    <w:rsid w:val="00305490"/>
    <w:rsid w:val="00306B66"/>
    <w:rsid w:val="003101DD"/>
    <w:rsid w:val="00310DFF"/>
    <w:rsid w:val="003112FE"/>
    <w:rsid w:val="00311528"/>
    <w:rsid w:val="0031208C"/>
    <w:rsid w:val="003121F7"/>
    <w:rsid w:val="0031408E"/>
    <w:rsid w:val="00314EAD"/>
    <w:rsid w:val="00315ACA"/>
    <w:rsid w:val="00316941"/>
    <w:rsid w:val="00316FE9"/>
    <w:rsid w:val="003176D0"/>
    <w:rsid w:val="00317ABD"/>
    <w:rsid w:val="00317C6D"/>
    <w:rsid w:val="00317C89"/>
    <w:rsid w:val="003203FB"/>
    <w:rsid w:val="0032062C"/>
    <w:rsid w:val="003210FD"/>
    <w:rsid w:val="00321B7C"/>
    <w:rsid w:val="00321C61"/>
    <w:rsid w:val="0032218E"/>
    <w:rsid w:val="00322A7C"/>
    <w:rsid w:val="003267C7"/>
    <w:rsid w:val="00326E4C"/>
    <w:rsid w:val="00326FB2"/>
    <w:rsid w:val="00327288"/>
    <w:rsid w:val="0032738C"/>
    <w:rsid w:val="00327694"/>
    <w:rsid w:val="00327E04"/>
    <w:rsid w:val="00330876"/>
    <w:rsid w:val="003308E1"/>
    <w:rsid w:val="00331131"/>
    <w:rsid w:val="00331A58"/>
    <w:rsid w:val="003329C0"/>
    <w:rsid w:val="00333AC2"/>
    <w:rsid w:val="00334AEE"/>
    <w:rsid w:val="00334E02"/>
    <w:rsid w:val="003352CA"/>
    <w:rsid w:val="003353AB"/>
    <w:rsid w:val="003356AB"/>
    <w:rsid w:val="003356C7"/>
    <w:rsid w:val="003361B2"/>
    <w:rsid w:val="00336821"/>
    <w:rsid w:val="003407E7"/>
    <w:rsid w:val="00340B11"/>
    <w:rsid w:val="00341020"/>
    <w:rsid w:val="00342097"/>
    <w:rsid w:val="003421AB"/>
    <w:rsid w:val="00343669"/>
    <w:rsid w:val="003442DD"/>
    <w:rsid w:val="0034446E"/>
    <w:rsid w:val="00344906"/>
    <w:rsid w:val="003467D3"/>
    <w:rsid w:val="00347EB1"/>
    <w:rsid w:val="0035153D"/>
    <w:rsid w:val="0035441A"/>
    <w:rsid w:val="00354956"/>
    <w:rsid w:val="00354A58"/>
    <w:rsid w:val="003579DA"/>
    <w:rsid w:val="0036147F"/>
    <w:rsid w:val="003616B1"/>
    <w:rsid w:val="00363020"/>
    <w:rsid w:val="00363F64"/>
    <w:rsid w:val="00363FC1"/>
    <w:rsid w:val="00364292"/>
    <w:rsid w:val="0036491C"/>
    <w:rsid w:val="0036495E"/>
    <w:rsid w:val="00364B81"/>
    <w:rsid w:val="0036546A"/>
    <w:rsid w:val="0036598B"/>
    <w:rsid w:val="00365F76"/>
    <w:rsid w:val="00367189"/>
    <w:rsid w:val="00367F56"/>
    <w:rsid w:val="00371361"/>
    <w:rsid w:val="00371468"/>
    <w:rsid w:val="00371695"/>
    <w:rsid w:val="00372192"/>
    <w:rsid w:val="0037274B"/>
    <w:rsid w:val="00373113"/>
    <w:rsid w:val="00373732"/>
    <w:rsid w:val="00374D5B"/>
    <w:rsid w:val="00374D8D"/>
    <w:rsid w:val="00374F10"/>
    <w:rsid w:val="0037603E"/>
    <w:rsid w:val="00377319"/>
    <w:rsid w:val="00377FA5"/>
    <w:rsid w:val="00380CA7"/>
    <w:rsid w:val="00381692"/>
    <w:rsid w:val="00382410"/>
    <w:rsid w:val="003832E8"/>
    <w:rsid w:val="0038379F"/>
    <w:rsid w:val="00383E16"/>
    <w:rsid w:val="003850B5"/>
    <w:rsid w:val="00385309"/>
    <w:rsid w:val="0038564D"/>
    <w:rsid w:val="003859C5"/>
    <w:rsid w:val="003909D4"/>
    <w:rsid w:val="003915B8"/>
    <w:rsid w:val="00393937"/>
    <w:rsid w:val="00393B13"/>
    <w:rsid w:val="00393DE6"/>
    <w:rsid w:val="00394B8C"/>
    <w:rsid w:val="00394EC6"/>
    <w:rsid w:val="0039571C"/>
    <w:rsid w:val="00395BF7"/>
    <w:rsid w:val="003A096C"/>
    <w:rsid w:val="003A13DB"/>
    <w:rsid w:val="003A1A30"/>
    <w:rsid w:val="003A236F"/>
    <w:rsid w:val="003A45A5"/>
    <w:rsid w:val="003B1376"/>
    <w:rsid w:val="003B1564"/>
    <w:rsid w:val="003B1588"/>
    <w:rsid w:val="003B4489"/>
    <w:rsid w:val="003B6A39"/>
    <w:rsid w:val="003C0700"/>
    <w:rsid w:val="003C2710"/>
    <w:rsid w:val="003C3A82"/>
    <w:rsid w:val="003C40AA"/>
    <w:rsid w:val="003C46CF"/>
    <w:rsid w:val="003D0102"/>
    <w:rsid w:val="003D0FB6"/>
    <w:rsid w:val="003D1F9A"/>
    <w:rsid w:val="003D2B45"/>
    <w:rsid w:val="003D2B70"/>
    <w:rsid w:val="003D3C5F"/>
    <w:rsid w:val="003D42A0"/>
    <w:rsid w:val="003D4E25"/>
    <w:rsid w:val="003D5ED7"/>
    <w:rsid w:val="003D62B7"/>
    <w:rsid w:val="003D6AB4"/>
    <w:rsid w:val="003D6B53"/>
    <w:rsid w:val="003D7DF8"/>
    <w:rsid w:val="003E02A2"/>
    <w:rsid w:val="003E1148"/>
    <w:rsid w:val="003E15C9"/>
    <w:rsid w:val="003E2AC2"/>
    <w:rsid w:val="003E2D60"/>
    <w:rsid w:val="003E3744"/>
    <w:rsid w:val="003E4A17"/>
    <w:rsid w:val="003E4AE7"/>
    <w:rsid w:val="003E5BFD"/>
    <w:rsid w:val="003E5FD2"/>
    <w:rsid w:val="003E62C0"/>
    <w:rsid w:val="003E668C"/>
    <w:rsid w:val="003F0F12"/>
    <w:rsid w:val="003F21AF"/>
    <w:rsid w:val="003F2FA9"/>
    <w:rsid w:val="003F404A"/>
    <w:rsid w:val="003F4555"/>
    <w:rsid w:val="003F465E"/>
    <w:rsid w:val="003F56C1"/>
    <w:rsid w:val="003F6FB8"/>
    <w:rsid w:val="003F791C"/>
    <w:rsid w:val="0040006E"/>
    <w:rsid w:val="00400E67"/>
    <w:rsid w:val="00401139"/>
    <w:rsid w:val="00401B08"/>
    <w:rsid w:val="00401B74"/>
    <w:rsid w:val="00401DC2"/>
    <w:rsid w:val="00402974"/>
    <w:rsid w:val="00402C52"/>
    <w:rsid w:val="00402F89"/>
    <w:rsid w:val="0040393F"/>
    <w:rsid w:val="00404327"/>
    <w:rsid w:val="00405741"/>
    <w:rsid w:val="0040608A"/>
    <w:rsid w:val="00406179"/>
    <w:rsid w:val="00407052"/>
    <w:rsid w:val="00407AE0"/>
    <w:rsid w:val="00410793"/>
    <w:rsid w:val="00410AC9"/>
    <w:rsid w:val="00411AE6"/>
    <w:rsid w:val="00412620"/>
    <w:rsid w:val="00414D03"/>
    <w:rsid w:val="004157A8"/>
    <w:rsid w:val="00415D24"/>
    <w:rsid w:val="00416F17"/>
    <w:rsid w:val="00420652"/>
    <w:rsid w:val="004213C2"/>
    <w:rsid w:val="00421578"/>
    <w:rsid w:val="00421988"/>
    <w:rsid w:val="004230C3"/>
    <w:rsid w:val="0042374C"/>
    <w:rsid w:val="004248C9"/>
    <w:rsid w:val="00425AA2"/>
    <w:rsid w:val="00426AA5"/>
    <w:rsid w:val="00426C0F"/>
    <w:rsid w:val="00426E9C"/>
    <w:rsid w:val="0042729D"/>
    <w:rsid w:val="004272EB"/>
    <w:rsid w:val="00427838"/>
    <w:rsid w:val="00431C46"/>
    <w:rsid w:val="00433373"/>
    <w:rsid w:val="00443D78"/>
    <w:rsid w:val="0044508A"/>
    <w:rsid w:val="00445EB4"/>
    <w:rsid w:val="00446061"/>
    <w:rsid w:val="00446F86"/>
    <w:rsid w:val="00454CCE"/>
    <w:rsid w:val="004553AE"/>
    <w:rsid w:val="004564C9"/>
    <w:rsid w:val="00457162"/>
    <w:rsid w:val="00457DAB"/>
    <w:rsid w:val="00464A03"/>
    <w:rsid w:val="00466248"/>
    <w:rsid w:val="00467160"/>
    <w:rsid w:val="00467E3D"/>
    <w:rsid w:val="00470965"/>
    <w:rsid w:val="00471BC1"/>
    <w:rsid w:val="00472F60"/>
    <w:rsid w:val="0047459D"/>
    <w:rsid w:val="00476809"/>
    <w:rsid w:val="00482E3A"/>
    <w:rsid w:val="0048366F"/>
    <w:rsid w:val="00483D58"/>
    <w:rsid w:val="004915D6"/>
    <w:rsid w:val="004919EA"/>
    <w:rsid w:val="00491BBA"/>
    <w:rsid w:val="00491F09"/>
    <w:rsid w:val="004930C8"/>
    <w:rsid w:val="004945B6"/>
    <w:rsid w:val="004965DC"/>
    <w:rsid w:val="00496E79"/>
    <w:rsid w:val="004A09DD"/>
    <w:rsid w:val="004A1E8D"/>
    <w:rsid w:val="004A22B7"/>
    <w:rsid w:val="004A2349"/>
    <w:rsid w:val="004A24F7"/>
    <w:rsid w:val="004A2A3F"/>
    <w:rsid w:val="004A2EBF"/>
    <w:rsid w:val="004A3AAC"/>
    <w:rsid w:val="004A3CCE"/>
    <w:rsid w:val="004A4075"/>
    <w:rsid w:val="004A5A01"/>
    <w:rsid w:val="004A656F"/>
    <w:rsid w:val="004A7B5D"/>
    <w:rsid w:val="004A7E99"/>
    <w:rsid w:val="004B1197"/>
    <w:rsid w:val="004B2E1F"/>
    <w:rsid w:val="004B3116"/>
    <w:rsid w:val="004B3238"/>
    <w:rsid w:val="004B4F2C"/>
    <w:rsid w:val="004B65D9"/>
    <w:rsid w:val="004B7688"/>
    <w:rsid w:val="004B7BEB"/>
    <w:rsid w:val="004B7BFD"/>
    <w:rsid w:val="004B7C2C"/>
    <w:rsid w:val="004C0414"/>
    <w:rsid w:val="004C076F"/>
    <w:rsid w:val="004C0872"/>
    <w:rsid w:val="004C0AF6"/>
    <w:rsid w:val="004C0F5A"/>
    <w:rsid w:val="004C1C79"/>
    <w:rsid w:val="004C23F0"/>
    <w:rsid w:val="004C287D"/>
    <w:rsid w:val="004C326A"/>
    <w:rsid w:val="004C34B2"/>
    <w:rsid w:val="004C3962"/>
    <w:rsid w:val="004C3DC3"/>
    <w:rsid w:val="004C3FAB"/>
    <w:rsid w:val="004C5091"/>
    <w:rsid w:val="004C587F"/>
    <w:rsid w:val="004C696A"/>
    <w:rsid w:val="004C6C1A"/>
    <w:rsid w:val="004C6C32"/>
    <w:rsid w:val="004C7057"/>
    <w:rsid w:val="004C72DF"/>
    <w:rsid w:val="004C7480"/>
    <w:rsid w:val="004C7515"/>
    <w:rsid w:val="004C7AD6"/>
    <w:rsid w:val="004C7EAE"/>
    <w:rsid w:val="004D0595"/>
    <w:rsid w:val="004D19F6"/>
    <w:rsid w:val="004D20EE"/>
    <w:rsid w:val="004D308E"/>
    <w:rsid w:val="004D364F"/>
    <w:rsid w:val="004D504F"/>
    <w:rsid w:val="004D5912"/>
    <w:rsid w:val="004D71D0"/>
    <w:rsid w:val="004D7CC8"/>
    <w:rsid w:val="004E0736"/>
    <w:rsid w:val="004E1A74"/>
    <w:rsid w:val="004E1EAE"/>
    <w:rsid w:val="004E2AF8"/>
    <w:rsid w:val="004E38B9"/>
    <w:rsid w:val="004E4033"/>
    <w:rsid w:val="004E43F9"/>
    <w:rsid w:val="004E4B97"/>
    <w:rsid w:val="004E5C06"/>
    <w:rsid w:val="004E5C32"/>
    <w:rsid w:val="004E6B20"/>
    <w:rsid w:val="004F178D"/>
    <w:rsid w:val="004F20FE"/>
    <w:rsid w:val="004F2A9B"/>
    <w:rsid w:val="004F7209"/>
    <w:rsid w:val="004F730F"/>
    <w:rsid w:val="00500228"/>
    <w:rsid w:val="00500391"/>
    <w:rsid w:val="0050230A"/>
    <w:rsid w:val="00503146"/>
    <w:rsid w:val="005033A8"/>
    <w:rsid w:val="00503B4D"/>
    <w:rsid w:val="00503EDF"/>
    <w:rsid w:val="00504E7D"/>
    <w:rsid w:val="00506CEA"/>
    <w:rsid w:val="00507035"/>
    <w:rsid w:val="005074B8"/>
    <w:rsid w:val="00507719"/>
    <w:rsid w:val="00507D48"/>
    <w:rsid w:val="00510BE0"/>
    <w:rsid w:val="00511517"/>
    <w:rsid w:val="005117C7"/>
    <w:rsid w:val="00512280"/>
    <w:rsid w:val="005133AE"/>
    <w:rsid w:val="00514390"/>
    <w:rsid w:val="00514E74"/>
    <w:rsid w:val="00516628"/>
    <w:rsid w:val="005171D1"/>
    <w:rsid w:val="00517619"/>
    <w:rsid w:val="0052068A"/>
    <w:rsid w:val="005210DB"/>
    <w:rsid w:val="005214FB"/>
    <w:rsid w:val="0052167D"/>
    <w:rsid w:val="00522D0B"/>
    <w:rsid w:val="00522D63"/>
    <w:rsid w:val="0052343B"/>
    <w:rsid w:val="005263C6"/>
    <w:rsid w:val="00530143"/>
    <w:rsid w:val="00530556"/>
    <w:rsid w:val="0053093B"/>
    <w:rsid w:val="00530C44"/>
    <w:rsid w:val="00530C9E"/>
    <w:rsid w:val="00532C2F"/>
    <w:rsid w:val="00532D97"/>
    <w:rsid w:val="005331A3"/>
    <w:rsid w:val="005338A4"/>
    <w:rsid w:val="00533DB5"/>
    <w:rsid w:val="00533EB9"/>
    <w:rsid w:val="00534F67"/>
    <w:rsid w:val="00536209"/>
    <w:rsid w:val="00537458"/>
    <w:rsid w:val="0054009B"/>
    <w:rsid w:val="0054064E"/>
    <w:rsid w:val="005420EF"/>
    <w:rsid w:val="00545CCA"/>
    <w:rsid w:val="005479EA"/>
    <w:rsid w:val="00550DA4"/>
    <w:rsid w:val="00551BB4"/>
    <w:rsid w:val="00551C53"/>
    <w:rsid w:val="005520DE"/>
    <w:rsid w:val="0055379D"/>
    <w:rsid w:val="00553BDD"/>
    <w:rsid w:val="00555DB2"/>
    <w:rsid w:val="005562BE"/>
    <w:rsid w:val="00560C83"/>
    <w:rsid w:val="005616F1"/>
    <w:rsid w:val="005619F3"/>
    <w:rsid w:val="00562122"/>
    <w:rsid w:val="0056216B"/>
    <w:rsid w:val="0056300F"/>
    <w:rsid w:val="00565C71"/>
    <w:rsid w:val="005670E3"/>
    <w:rsid w:val="00570B44"/>
    <w:rsid w:val="00570F72"/>
    <w:rsid w:val="00571DFC"/>
    <w:rsid w:val="00572101"/>
    <w:rsid w:val="0057296C"/>
    <w:rsid w:val="00574A80"/>
    <w:rsid w:val="0057565E"/>
    <w:rsid w:val="0057588F"/>
    <w:rsid w:val="00575A66"/>
    <w:rsid w:val="005811E9"/>
    <w:rsid w:val="00581C34"/>
    <w:rsid w:val="00582C2F"/>
    <w:rsid w:val="00582E2C"/>
    <w:rsid w:val="00584181"/>
    <w:rsid w:val="00584756"/>
    <w:rsid w:val="0058491F"/>
    <w:rsid w:val="00585533"/>
    <w:rsid w:val="00585602"/>
    <w:rsid w:val="005867E4"/>
    <w:rsid w:val="00587235"/>
    <w:rsid w:val="005875D3"/>
    <w:rsid w:val="00587ABC"/>
    <w:rsid w:val="00587AD1"/>
    <w:rsid w:val="00591584"/>
    <w:rsid w:val="00591588"/>
    <w:rsid w:val="005920D1"/>
    <w:rsid w:val="00592F04"/>
    <w:rsid w:val="00593C2A"/>
    <w:rsid w:val="00596350"/>
    <w:rsid w:val="00597B20"/>
    <w:rsid w:val="005A0C4A"/>
    <w:rsid w:val="005A1224"/>
    <w:rsid w:val="005A197E"/>
    <w:rsid w:val="005A28A6"/>
    <w:rsid w:val="005A2E47"/>
    <w:rsid w:val="005A37CE"/>
    <w:rsid w:val="005A390C"/>
    <w:rsid w:val="005A4AF5"/>
    <w:rsid w:val="005A4ED9"/>
    <w:rsid w:val="005A5580"/>
    <w:rsid w:val="005A763B"/>
    <w:rsid w:val="005A7954"/>
    <w:rsid w:val="005B0106"/>
    <w:rsid w:val="005B0A8B"/>
    <w:rsid w:val="005B0B19"/>
    <w:rsid w:val="005B0B3A"/>
    <w:rsid w:val="005B16FC"/>
    <w:rsid w:val="005B225C"/>
    <w:rsid w:val="005B267D"/>
    <w:rsid w:val="005B4652"/>
    <w:rsid w:val="005B51B3"/>
    <w:rsid w:val="005B5C96"/>
    <w:rsid w:val="005B6A98"/>
    <w:rsid w:val="005B6BCA"/>
    <w:rsid w:val="005B714C"/>
    <w:rsid w:val="005B7F17"/>
    <w:rsid w:val="005C070D"/>
    <w:rsid w:val="005C0AC2"/>
    <w:rsid w:val="005C1186"/>
    <w:rsid w:val="005C4143"/>
    <w:rsid w:val="005C4994"/>
    <w:rsid w:val="005C528E"/>
    <w:rsid w:val="005C6B2F"/>
    <w:rsid w:val="005C70ED"/>
    <w:rsid w:val="005C76A5"/>
    <w:rsid w:val="005D049D"/>
    <w:rsid w:val="005D0DC0"/>
    <w:rsid w:val="005D1C60"/>
    <w:rsid w:val="005D27C7"/>
    <w:rsid w:val="005D332D"/>
    <w:rsid w:val="005D38D2"/>
    <w:rsid w:val="005D40DD"/>
    <w:rsid w:val="005D4DA8"/>
    <w:rsid w:val="005D516A"/>
    <w:rsid w:val="005D6AA1"/>
    <w:rsid w:val="005E122B"/>
    <w:rsid w:val="005E2E75"/>
    <w:rsid w:val="005E3A25"/>
    <w:rsid w:val="005E544C"/>
    <w:rsid w:val="005E7F9B"/>
    <w:rsid w:val="005F0064"/>
    <w:rsid w:val="005F09F0"/>
    <w:rsid w:val="005F1D6F"/>
    <w:rsid w:val="005F56E3"/>
    <w:rsid w:val="005F5F63"/>
    <w:rsid w:val="005F64AC"/>
    <w:rsid w:val="005F6A54"/>
    <w:rsid w:val="005F6B60"/>
    <w:rsid w:val="005F7177"/>
    <w:rsid w:val="005F71D9"/>
    <w:rsid w:val="005F7FE5"/>
    <w:rsid w:val="006002A8"/>
    <w:rsid w:val="0060045F"/>
    <w:rsid w:val="006007AD"/>
    <w:rsid w:val="00603291"/>
    <w:rsid w:val="00603E33"/>
    <w:rsid w:val="00604411"/>
    <w:rsid w:val="00604DCF"/>
    <w:rsid w:val="00605C83"/>
    <w:rsid w:val="00606835"/>
    <w:rsid w:val="00607A4B"/>
    <w:rsid w:val="00610632"/>
    <w:rsid w:val="00615DB0"/>
    <w:rsid w:val="00615F8F"/>
    <w:rsid w:val="00616BDA"/>
    <w:rsid w:val="00616DA2"/>
    <w:rsid w:val="00617A85"/>
    <w:rsid w:val="0062059A"/>
    <w:rsid w:val="00620948"/>
    <w:rsid w:val="00620D1B"/>
    <w:rsid w:val="006218CB"/>
    <w:rsid w:val="00622F9A"/>
    <w:rsid w:val="00624463"/>
    <w:rsid w:val="006244AA"/>
    <w:rsid w:val="00625963"/>
    <w:rsid w:val="00625C15"/>
    <w:rsid w:val="00625E2B"/>
    <w:rsid w:val="00625F7B"/>
    <w:rsid w:val="00626A2A"/>
    <w:rsid w:val="00626B81"/>
    <w:rsid w:val="006322C5"/>
    <w:rsid w:val="00632F4F"/>
    <w:rsid w:val="006348CF"/>
    <w:rsid w:val="00634905"/>
    <w:rsid w:val="00635FF9"/>
    <w:rsid w:val="00636CD9"/>
    <w:rsid w:val="00640AF8"/>
    <w:rsid w:val="0064110A"/>
    <w:rsid w:val="00644A87"/>
    <w:rsid w:val="00644F29"/>
    <w:rsid w:val="0064520A"/>
    <w:rsid w:val="00645B5B"/>
    <w:rsid w:val="00645DE6"/>
    <w:rsid w:val="00646EE8"/>
    <w:rsid w:val="00651087"/>
    <w:rsid w:val="0065120F"/>
    <w:rsid w:val="00651250"/>
    <w:rsid w:val="00652475"/>
    <w:rsid w:val="00652CC2"/>
    <w:rsid w:val="0065344F"/>
    <w:rsid w:val="00655847"/>
    <w:rsid w:val="00655F0E"/>
    <w:rsid w:val="00660824"/>
    <w:rsid w:val="00660FEE"/>
    <w:rsid w:val="0066101C"/>
    <w:rsid w:val="00662853"/>
    <w:rsid w:val="00662AEA"/>
    <w:rsid w:val="00662C8B"/>
    <w:rsid w:val="006631A4"/>
    <w:rsid w:val="00663853"/>
    <w:rsid w:val="00663875"/>
    <w:rsid w:val="00663D8F"/>
    <w:rsid w:val="006641D9"/>
    <w:rsid w:val="006651F1"/>
    <w:rsid w:val="0066521F"/>
    <w:rsid w:val="00665552"/>
    <w:rsid w:val="00665E21"/>
    <w:rsid w:val="006663E8"/>
    <w:rsid w:val="0066642F"/>
    <w:rsid w:val="0066718A"/>
    <w:rsid w:val="0067045D"/>
    <w:rsid w:val="006723AF"/>
    <w:rsid w:val="00672A18"/>
    <w:rsid w:val="00673DE5"/>
    <w:rsid w:val="006746F4"/>
    <w:rsid w:val="00675877"/>
    <w:rsid w:val="00676930"/>
    <w:rsid w:val="00680738"/>
    <w:rsid w:val="006823FB"/>
    <w:rsid w:val="0068291F"/>
    <w:rsid w:val="00682AB2"/>
    <w:rsid w:val="00682D1E"/>
    <w:rsid w:val="006844F1"/>
    <w:rsid w:val="006846BF"/>
    <w:rsid w:val="0068511E"/>
    <w:rsid w:val="00686BEF"/>
    <w:rsid w:val="00691846"/>
    <w:rsid w:val="00691BEE"/>
    <w:rsid w:val="00691D3D"/>
    <w:rsid w:val="006927B6"/>
    <w:rsid w:val="00692F75"/>
    <w:rsid w:val="00693698"/>
    <w:rsid w:val="00693CDF"/>
    <w:rsid w:val="00695553"/>
    <w:rsid w:val="006957DC"/>
    <w:rsid w:val="00695A2C"/>
    <w:rsid w:val="00697267"/>
    <w:rsid w:val="00697B9C"/>
    <w:rsid w:val="006A0010"/>
    <w:rsid w:val="006A04AB"/>
    <w:rsid w:val="006A1F25"/>
    <w:rsid w:val="006A2E64"/>
    <w:rsid w:val="006A6103"/>
    <w:rsid w:val="006A6788"/>
    <w:rsid w:val="006A7E7B"/>
    <w:rsid w:val="006B0180"/>
    <w:rsid w:val="006B0813"/>
    <w:rsid w:val="006B1CEF"/>
    <w:rsid w:val="006B235C"/>
    <w:rsid w:val="006B250E"/>
    <w:rsid w:val="006B33FB"/>
    <w:rsid w:val="006B3574"/>
    <w:rsid w:val="006B3C2F"/>
    <w:rsid w:val="006B5200"/>
    <w:rsid w:val="006B523D"/>
    <w:rsid w:val="006B5C0B"/>
    <w:rsid w:val="006C2173"/>
    <w:rsid w:val="006C2BA0"/>
    <w:rsid w:val="006C2D85"/>
    <w:rsid w:val="006C46E9"/>
    <w:rsid w:val="006C4A12"/>
    <w:rsid w:val="006C4A30"/>
    <w:rsid w:val="006C4ED0"/>
    <w:rsid w:val="006C52D5"/>
    <w:rsid w:val="006C61FD"/>
    <w:rsid w:val="006C6950"/>
    <w:rsid w:val="006D0715"/>
    <w:rsid w:val="006D2DBE"/>
    <w:rsid w:val="006D49ED"/>
    <w:rsid w:val="006D5BBA"/>
    <w:rsid w:val="006E12B9"/>
    <w:rsid w:val="006E1782"/>
    <w:rsid w:val="006E3080"/>
    <w:rsid w:val="006E310F"/>
    <w:rsid w:val="006E4261"/>
    <w:rsid w:val="006E44A4"/>
    <w:rsid w:val="006E4B59"/>
    <w:rsid w:val="006E5FC5"/>
    <w:rsid w:val="006E723A"/>
    <w:rsid w:val="006F059A"/>
    <w:rsid w:val="006F110F"/>
    <w:rsid w:val="006F1291"/>
    <w:rsid w:val="006F2267"/>
    <w:rsid w:val="006F2D8A"/>
    <w:rsid w:val="006F4AA2"/>
    <w:rsid w:val="006F510B"/>
    <w:rsid w:val="006F5895"/>
    <w:rsid w:val="006F5A9E"/>
    <w:rsid w:val="006F6A59"/>
    <w:rsid w:val="006F7D6B"/>
    <w:rsid w:val="006F7F36"/>
    <w:rsid w:val="006F7FC9"/>
    <w:rsid w:val="0070133C"/>
    <w:rsid w:val="00702AC3"/>
    <w:rsid w:val="0070309D"/>
    <w:rsid w:val="00704398"/>
    <w:rsid w:val="00704E38"/>
    <w:rsid w:val="007073D4"/>
    <w:rsid w:val="00713796"/>
    <w:rsid w:val="00715553"/>
    <w:rsid w:val="00716565"/>
    <w:rsid w:val="00716B24"/>
    <w:rsid w:val="00716F03"/>
    <w:rsid w:val="00717995"/>
    <w:rsid w:val="00720444"/>
    <w:rsid w:val="00720EAC"/>
    <w:rsid w:val="00721E75"/>
    <w:rsid w:val="007220A2"/>
    <w:rsid w:val="0072229D"/>
    <w:rsid w:val="00723332"/>
    <w:rsid w:val="00723413"/>
    <w:rsid w:val="00723416"/>
    <w:rsid w:val="0072464D"/>
    <w:rsid w:val="00725BF1"/>
    <w:rsid w:val="007274BD"/>
    <w:rsid w:val="00730AE0"/>
    <w:rsid w:val="00731AEE"/>
    <w:rsid w:val="00731DF1"/>
    <w:rsid w:val="00732294"/>
    <w:rsid w:val="007322F4"/>
    <w:rsid w:val="0073322E"/>
    <w:rsid w:val="007334AE"/>
    <w:rsid w:val="00734573"/>
    <w:rsid w:val="00734B50"/>
    <w:rsid w:val="00734F4B"/>
    <w:rsid w:val="00736E15"/>
    <w:rsid w:val="00737303"/>
    <w:rsid w:val="00743AE7"/>
    <w:rsid w:val="00744C9F"/>
    <w:rsid w:val="0074546D"/>
    <w:rsid w:val="007467A0"/>
    <w:rsid w:val="0074797B"/>
    <w:rsid w:val="00750AF7"/>
    <w:rsid w:val="007511ED"/>
    <w:rsid w:val="00753494"/>
    <w:rsid w:val="007536CE"/>
    <w:rsid w:val="00753B68"/>
    <w:rsid w:val="00753F20"/>
    <w:rsid w:val="007567D9"/>
    <w:rsid w:val="00756A5B"/>
    <w:rsid w:val="00756BF8"/>
    <w:rsid w:val="00756EC6"/>
    <w:rsid w:val="00756F61"/>
    <w:rsid w:val="007579AD"/>
    <w:rsid w:val="00757D8A"/>
    <w:rsid w:val="0076058D"/>
    <w:rsid w:val="00760E07"/>
    <w:rsid w:val="00761EE4"/>
    <w:rsid w:val="007640F7"/>
    <w:rsid w:val="00764534"/>
    <w:rsid w:val="00765683"/>
    <w:rsid w:val="00765BAE"/>
    <w:rsid w:val="00766190"/>
    <w:rsid w:val="00770124"/>
    <w:rsid w:val="00770267"/>
    <w:rsid w:val="0077160A"/>
    <w:rsid w:val="00771A39"/>
    <w:rsid w:val="007723DC"/>
    <w:rsid w:val="00772A8C"/>
    <w:rsid w:val="0077462C"/>
    <w:rsid w:val="00774BEA"/>
    <w:rsid w:val="007758AF"/>
    <w:rsid w:val="00775FE2"/>
    <w:rsid w:val="00781078"/>
    <w:rsid w:val="007813DC"/>
    <w:rsid w:val="007830C8"/>
    <w:rsid w:val="007839C2"/>
    <w:rsid w:val="00783C43"/>
    <w:rsid w:val="00784292"/>
    <w:rsid w:val="00784CEA"/>
    <w:rsid w:val="0078554A"/>
    <w:rsid w:val="0078638C"/>
    <w:rsid w:val="00787453"/>
    <w:rsid w:val="00787656"/>
    <w:rsid w:val="00787B96"/>
    <w:rsid w:val="00790C2D"/>
    <w:rsid w:val="0079306A"/>
    <w:rsid w:val="00793C5B"/>
    <w:rsid w:val="007943FF"/>
    <w:rsid w:val="00794835"/>
    <w:rsid w:val="00796F8A"/>
    <w:rsid w:val="00797903"/>
    <w:rsid w:val="00797A36"/>
    <w:rsid w:val="007A0340"/>
    <w:rsid w:val="007A1C3D"/>
    <w:rsid w:val="007A2A45"/>
    <w:rsid w:val="007A3940"/>
    <w:rsid w:val="007A4266"/>
    <w:rsid w:val="007A46EA"/>
    <w:rsid w:val="007A5BAB"/>
    <w:rsid w:val="007A67BF"/>
    <w:rsid w:val="007A6BDA"/>
    <w:rsid w:val="007A793A"/>
    <w:rsid w:val="007A7AE3"/>
    <w:rsid w:val="007A7EC6"/>
    <w:rsid w:val="007B05DA"/>
    <w:rsid w:val="007B0EF6"/>
    <w:rsid w:val="007B0F58"/>
    <w:rsid w:val="007B2524"/>
    <w:rsid w:val="007B3C99"/>
    <w:rsid w:val="007B4777"/>
    <w:rsid w:val="007B4B86"/>
    <w:rsid w:val="007B681A"/>
    <w:rsid w:val="007B6D75"/>
    <w:rsid w:val="007C07A0"/>
    <w:rsid w:val="007C2D86"/>
    <w:rsid w:val="007C7377"/>
    <w:rsid w:val="007D1143"/>
    <w:rsid w:val="007D34A7"/>
    <w:rsid w:val="007D4A09"/>
    <w:rsid w:val="007D4E4E"/>
    <w:rsid w:val="007D63B4"/>
    <w:rsid w:val="007D679B"/>
    <w:rsid w:val="007E1438"/>
    <w:rsid w:val="007E1E78"/>
    <w:rsid w:val="007E21F1"/>
    <w:rsid w:val="007E3743"/>
    <w:rsid w:val="007E3E26"/>
    <w:rsid w:val="007E4390"/>
    <w:rsid w:val="007E464F"/>
    <w:rsid w:val="007E544E"/>
    <w:rsid w:val="007E5A30"/>
    <w:rsid w:val="007E61B7"/>
    <w:rsid w:val="007E6494"/>
    <w:rsid w:val="007E6B27"/>
    <w:rsid w:val="007E71B9"/>
    <w:rsid w:val="007F03DD"/>
    <w:rsid w:val="007F0FF4"/>
    <w:rsid w:val="007F10A8"/>
    <w:rsid w:val="007F26A4"/>
    <w:rsid w:val="007F442C"/>
    <w:rsid w:val="007F4B44"/>
    <w:rsid w:val="007F4B5E"/>
    <w:rsid w:val="007F51A6"/>
    <w:rsid w:val="007F5258"/>
    <w:rsid w:val="007F6760"/>
    <w:rsid w:val="007F700E"/>
    <w:rsid w:val="007F75EE"/>
    <w:rsid w:val="0080119E"/>
    <w:rsid w:val="008015D9"/>
    <w:rsid w:val="00803079"/>
    <w:rsid w:val="008039D5"/>
    <w:rsid w:val="00804060"/>
    <w:rsid w:val="00804307"/>
    <w:rsid w:val="00805945"/>
    <w:rsid w:val="008075EE"/>
    <w:rsid w:val="00810CEC"/>
    <w:rsid w:val="008117BE"/>
    <w:rsid w:val="008129E8"/>
    <w:rsid w:val="00812C4C"/>
    <w:rsid w:val="00813151"/>
    <w:rsid w:val="00813A8D"/>
    <w:rsid w:val="00814956"/>
    <w:rsid w:val="008165D2"/>
    <w:rsid w:val="008177F0"/>
    <w:rsid w:val="0082265F"/>
    <w:rsid w:val="008237C0"/>
    <w:rsid w:val="00824442"/>
    <w:rsid w:val="00825FDC"/>
    <w:rsid w:val="00826B11"/>
    <w:rsid w:val="00826B8D"/>
    <w:rsid w:val="008270A2"/>
    <w:rsid w:val="008302B7"/>
    <w:rsid w:val="00830F4C"/>
    <w:rsid w:val="00831144"/>
    <w:rsid w:val="0083124F"/>
    <w:rsid w:val="008318F5"/>
    <w:rsid w:val="0083324D"/>
    <w:rsid w:val="00833BE0"/>
    <w:rsid w:val="00833F05"/>
    <w:rsid w:val="0083400E"/>
    <w:rsid w:val="0083409E"/>
    <w:rsid w:val="00834406"/>
    <w:rsid w:val="0083481A"/>
    <w:rsid w:val="00834F68"/>
    <w:rsid w:val="0084007A"/>
    <w:rsid w:val="008420B9"/>
    <w:rsid w:val="0084219B"/>
    <w:rsid w:val="00842D14"/>
    <w:rsid w:val="008431E5"/>
    <w:rsid w:val="00844114"/>
    <w:rsid w:val="00845079"/>
    <w:rsid w:val="008452D2"/>
    <w:rsid w:val="0084550E"/>
    <w:rsid w:val="0084696B"/>
    <w:rsid w:val="008469CC"/>
    <w:rsid w:val="008501D0"/>
    <w:rsid w:val="00850636"/>
    <w:rsid w:val="00850790"/>
    <w:rsid w:val="00850D81"/>
    <w:rsid w:val="00851FC7"/>
    <w:rsid w:val="008528F3"/>
    <w:rsid w:val="0085316A"/>
    <w:rsid w:val="00853D76"/>
    <w:rsid w:val="008552CB"/>
    <w:rsid w:val="008556C3"/>
    <w:rsid w:val="008564E8"/>
    <w:rsid w:val="00857328"/>
    <w:rsid w:val="00857414"/>
    <w:rsid w:val="00857709"/>
    <w:rsid w:val="00857EA5"/>
    <w:rsid w:val="00860659"/>
    <w:rsid w:val="0086070C"/>
    <w:rsid w:val="00861220"/>
    <w:rsid w:val="00861C70"/>
    <w:rsid w:val="008625A7"/>
    <w:rsid w:val="00863250"/>
    <w:rsid w:val="0086591D"/>
    <w:rsid w:val="00866CFE"/>
    <w:rsid w:val="00866F0A"/>
    <w:rsid w:val="008707A8"/>
    <w:rsid w:val="00871006"/>
    <w:rsid w:val="008724A0"/>
    <w:rsid w:val="008736C4"/>
    <w:rsid w:val="008737C6"/>
    <w:rsid w:val="00873B0A"/>
    <w:rsid w:val="00873C21"/>
    <w:rsid w:val="00873CCA"/>
    <w:rsid w:val="00874D40"/>
    <w:rsid w:val="00875132"/>
    <w:rsid w:val="00875B7E"/>
    <w:rsid w:val="00875DDC"/>
    <w:rsid w:val="008760B2"/>
    <w:rsid w:val="008765B2"/>
    <w:rsid w:val="00876BA3"/>
    <w:rsid w:val="00880622"/>
    <w:rsid w:val="00883AD3"/>
    <w:rsid w:val="008849E7"/>
    <w:rsid w:val="00890766"/>
    <w:rsid w:val="008909A6"/>
    <w:rsid w:val="00890CA7"/>
    <w:rsid w:val="00891866"/>
    <w:rsid w:val="00891A12"/>
    <w:rsid w:val="00892EFE"/>
    <w:rsid w:val="0089329F"/>
    <w:rsid w:val="008933DB"/>
    <w:rsid w:val="008936D9"/>
    <w:rsid w:val="00893E9A"/>
    <w:rsid w:val="00894157"/>
    <w:rsid w:val="0089438D"/>
    <w:rsid w:val="008946E6"/>
    <w:rsid w:val="00895135"/>
    <w:rsid w:val="00896595"/>
    <w:rsid w:val="00897B48"/>
    <w:rsid w:val="00897F8D"/>
    <w:rsid w:val="008A0594"/>
    <w:rsid w:val="008A27EB"/>
    <w:rsid w:val="008A35E5"/>
    <w:rsid w:val="008A4309"/>
    <w:rsid w:val="008A49B6"/>
    <w:rsid w:val="008A5553"/>
    <w:rsid w:val="008A7671"/>
    <w:rsid w:val="008B1CA4"/>
    <w:rsid w:val="008B1F8E"/>
    <w:rsid w:val="008B25E1"/>
    <w:rsid w:val="008B2677"/>
    <w:rsid w:val="008B2963"/>
    <w:rsid w:val="008B2F39"/>
    <w:rsid w:val="008B3325"/>
    <w:rsid w:val="008B3B22"/>
    <w:rsid w:val="008B5808"/>
    <w:rsid w:val="008B60EA"/>
    <w:rsid w:val="008B61B9"/>
    <w:rsid w:val="008C0ACA"/>
    <w:rsid w:val="008C557F"/>
    <w:rsid w:val="008C5616"/>
    <w:rsid w:val="008C57B6"/>
    <w:rsid w:val="008C63C9"/>
    <w:rsid w:val="008C67A3"/>
    <w:rsid w:val="008C7DCF"/>
    <w:rsid w:val="008D003B"/>
    <w:rsid w:val="008D0885"/>
    <w:rsid w:val="008D0B80"/>
    <w:rsid w:val="008D0BEF"/>
    <w:rsid w:val="008D0CCF"/>
    <w:rsid w:val="008D1415"/>
    <w:rsid w:val="008D1A92"/>
    <w:rsid w:val="008D2E5B"/>
    <w:rsid w:val="008D3596"/>
    <w:rsid w:val="008D3EAB"/>
    <w:rsid w:val="008D60E8"/>
    <w:rsid w:val="008D746E"/>
    <w:rsid w:val="008E108A"/>
    <w:rsid w:val="008E1AD9"/>
    <w:rsid w:val="008E39F4"/>
    <w:rsid w:val="008E464B"/>
    <w:rsid w:val="008E469A"/>
    <w:rsid w:val="008E5335"/>
    <w:rsid w:val="008F17B1"/>
    <w:rsid w:val="008F2561"/>
    <w:rsid w:val="008F2F1B"/>
    <w:rsid w:val="008F4B03"/>
    <w:rsid w:val="008F501E"/>
    <w:rsid w:val="008F724F"/>
    <w:rsid w:val="008F79F9"/>
    <w:rsid w:val="0090118F"/>
    <w:rsid w:val="0090126B"/>
    <w:rsid w:val="00901D10"/>
    <w:rsid w:val="00904ED1"/>
    <w:rsid w:val="00905607"/>
    <w:rsid w:val="0090614E"/>
    <w:rsid w:val="009114A1"/>
    <w:rsid w:val="009120E9"/>
    <w:rsid w:val="00912777"/>
    <w:rsid w:val="00912F1C"/>
    <w:rsid w:val="009136FD"/>
    <w:rsid w:val="00913806"/>
    <w:rsid w:val="0091545B"/>
    <w:rsid w:val="009167AC"/>
    <w:rsid w:val="009169E0"/>
    <w:rsid w:val="00920AB1"/>
    <w:rsid w:val="00921BCD"/>
    <w:rsid w:val="009229BF"/>
    <w:rsid w:val="00923843"/>
    <w:rsid w:val="00923F53"/>
    <w:rsid w:val="00925D88"/>
    <w:rsid w:val="009279F8"/>
    <w:rsid w:val="00931148"/>
    <w:rsid w:val="009317E8"/>
    <w:rsid w:val="0093418E"/>
    <w:rsid w:val="009350B3"/>
    <w:rsid w:val="00936BBF"/>
    <w:rsid w:val="00936EC2"/>
    <w:rsid w:val="009374E2"/>
    <w:rsid w:val="00937AC7"/>
    <w:rsid w:val="00940611"/>
    <w:rsid w:val="009409E2"/>
    <w:rsid w:val="00940CAB"/>
    <w:rsid w:val="00941DE2"/>
    <w:rsid w:val="009436F8"/>
    <w:rsid w:val="00943F88"/>
    <w:rsid w:val="00944CF0"/>
    <w:rsid w:val="0094538F"/>
    <w:rsid w:val="0094738E"/>
    <w:rsid w:val="00947E21"/>
    <w:rsid w:val="00947E80"/>
    <w:rsid w:val="0095027B"/>
    <w:rsid w:val="00950F49"/>
    <w:rsid w:val="009516B7"/>
    <w:rsid w:val="00951A77"/>
    <w:rsid w:val="009523D2"/>
    <w:rsid w:val="00954B09"/>
    <w:rsid w:val="00955861"/>
    <w:rsid w:val="0095632A"/>
    <w:rsid w:val="009577DD"/>
    <w:rsid w:val="009604D8"/>
    <w:rsid w:val="0096086D"/>
    <w:rsid w:val="00961190"/>
    <w:rsid w:val="0096153B"/>
    <w:rsid w:val="009624F9"/>
    <w:rsid w:val="00963AD8"/>
    <w:rsid w:val="0096680F"/>
    <w:rsid w:val="00966EFE"/>
    <w:rsid w:val="0096760F"/>
    <w:rsid w:val="00967EA5"/>
    <w:rsid w:val="009715D3"/>
    <w:rsid w:val="00971D90"/>
    <w:rsid w:val="00971DC4"/>
    <w:rsid w:val="009724A9"/>
    <w:rsid w:val="009729A7"/>
    <w:rsid w:val="0097310A"/>
    <w:rsid w:val="00974717"/>
    <w:rsid w:val="00974EA8"/>
    <w:rsid w:val="00975258"/>
    <w:rsid w:val="009767B5"/>
    <w:rsid w:val="00977E1B"/>
    <w:rsid w:val="0098074B"/>
    <w:rsid w:val="00982288"/>
    <w:rsid w:val="0098490B"/>
    <w:rsid w:val="009849E5"/>
    <w:rsid w:val="00984FE1"/>
    <w:rsid w:val="0098630B"/>
    <w:rsid w:val="009866D5"/>
    <w:rsid w:val="00986BFD"/>
    <w:rsid w:val="00986F04"/>
    <w:rsid w:val="00987991"/>
    <w:rsid w:val="00990320"/>
    <w:rsid w:val="00991038"/>
    <w:rsid w:val="00991342"/>
    <w:rsid w:val="00993476"/>
    <w:rsid w:val="00994A7C"/>
    <w:rsid w:val="00994BCC"/>
    <w:rsid w:val="0099526F"/>
    <w:rsid w:val="00995547"/>
    <w:rsid w:val="00995A32"/>
    <w:rsid w:val="00996B4F"/>
    <w:rsid w:val="00996F50"/>
    <w:rsid w:val="00997177"/>
    <w:rsid w:val="009A013A"/>
    <w:rsid w:val="009A0351"/>
    <w:rsid w:val="009A0F6D"/>
    <w:rsid w:val="009A3F28"/>
    <w:rsid w:val="009A4462"/>
    <w:rsid w:val="009A6136"/>
    <w:rsid w:val="009A6AB7"/>
    <w:rsid w:val="009A6FC3"/>
    <w:rsid w:val="009B0022"/>
    <w:rsid w:val="009B034B"/>
    <w:rsid w:val="009B0A36"/>
    <w:rsid w:val="009B14E9"/>
    <w:rsid w:val="009B1BD8"/>
    <w:rsid w:val="009B4303"/>
    <w:rsid w:val="009B534F"/>
    <w:rsid w:val="009B72EF"/>
    <w:rsid w:val="009B75B7"/>
    <w:rsid w:val="009B7CAD"/>
    <w:rsid w:val="009B7F98"/>
    <w:rsid w:val="009C0B7D"/>
    <w:rsid w:val="009C1CA7"/>
    <w:rsid w:val="009C2BFF"/>
    <w:rsid w:val="009C379D"/>
    <w:rsid w:val="009C43CD"/>
    <w:rsid w:val="009C7711"/>
    <w:rsid w:val="009C7BC8"/>
    <w:rsid w:val="009D11A9"/>
    <w:rsid w:val="009D24C3"/>
    <w:rsid w:val="009D2832"/>
    <w:rsid w:val="009D2E63"/>
    <w:rsid w:val="009D2EC2"/>
    <w:rsid w:val="009D342A"/>
    <w:rsid w:val="009D37C9"/>
    <w:rsid w:val="009D389D"/>
    <w:rsid w:val="009D5D2E"/>
    <w:rsid w:val="009D792D"/>
    <w:rsid w:val="009E0196"/>
    <w:rsid w:val="009E18D6"/>
    <w:rsid w:val="009E19F9"/>
    <w:rsid w:val="009E270F"/>
    <w:rsid w:val="009E444C"/>
    <w:rsid w:val="009E44AD"/>
    <w:rsid w:val="009E527C"/>
    <w:rsid w:val="009E7B1C"/>
    <w:rsid w:val="009E7C07"/>
    <w:rsid w:val="009E7D52"/>
    <w:rsid w:val="009F14FB"/>
    <w:rsid w:val="009F3523"/>
    <w:rsid w:val="009F4688"/>
    <w:rsid w:val="009F475D"/>
    <w:rsid w:val="009F49B9"/>
    <w:rsid w:val="009F569C"/>
    <w:rsid w:val="009F73F0"/>
    <w:rsid w:val="009F7937"/>
    <w:rsid w:val="00A000C1"/>
    <w:rsid w:val="00A0036B"/>
    <w:rsid w:val="00A01037"/>
    <w:rsid w:val="00A014CE"/>
    <w:rsid w:val="00A014E4"/>
    <w:rsid w:val="00A0158A"/>
    <w:rsid w:val="00A0171A"/>
    <w:rsid w:val="00A02FC0"/>
    <w:rsid w:val="00A03840"/>
    <w:rsid w:val="00A0414D"/>
    <w:rsid w:val="00A04B51"/>
    <w:rsid w:val="00A053DB"/>
    <w:rsid w:val="00A05B44"/>
    <w:rsid w:val="00A060FB"/>
    <w:rsid w:val="00A06870"/>
    <w:rsid w:val="00A06FBC"/>
    <w:rsid w:val="00A0749C"/>
    <w:rsid w:val="00A07E19"/>
    <w:rsid w:val="00A07FB0"/>
    <w:rsid w:val="00A10D1E"/>
    <w:rsid w:val="00A114D7"/>
    <w:rsid w:val="00A11545"/>
    <w:rsid w:val="00A12815"/>
    <w:rsid w:val="00A12D6A"/>
    <w:rsid w:val="00A12ECC"/>
    <w:rsid w:val="00A15675"/>
    <w:rsid w:val="00A15D1C"/>
    <w:rsid w:val="00A15E67"/>
    <w:rsid w:val="00A16613"/>
    <w:rsid w:val="00A170C2"/>
    <w:rsid w:val="00A20051"/>
    <w:rsid w:val="00A204F5"/>
    <w:rsid w:val="00A214C5"/>
    <w:rsid w:val="00A22ED1"/>
    <w:rsid w:val="00A24219"/>
    <w:rsid w:val="00A2430E"/>
    <w:rsid w:val="00A24A0F"/>
    <w:rsid w:val="00A2568E"/>
    <w:rsid w:val="00A25933"/>
    <w:rsid w:val="00A262B4"/>
    <w:rsid w:val="00A26955"/>
    <w:rsid w:val="00A26FB8"/>
    <w:rsid w:val="00A3025F"/>
    <w:rsid w:val="00A30526"/>
    <w:rsid w:val="00A30D3E"/>
    <w:rsid w:val="00A317E0"/>
    <w:rsid w:val="00A31926"/>
    <w:rsid w:val="00A34460"/>
    <w:rsid w:val="00A357CE"/>
    <w:rsid w:val="00A3610A"/>
    <w:rsid w:val="00A36F51"/>
    <w:rsid w:val="00A37018"/>
    <w:rsid w:val="00A37A06"/>
    <w:rsid w:val="00A40EF1"/>
    <w:rsid w:val="00A41686"/>
    <w:rsid w:val="00A41CDA"/>
    <w:rsid w:val="00A42DC7"/>
    <w:rsid w:val="00A43475"/>
    <w:rsid w:val="00A43E24"/>
    <w:rsid w:val="00A4446B"/>
    <w:rsid w:val="00A44923"/>
    <w:rsid w:val="00A44AA9"/>
    <w:rsid w:val="00A45266"/>
    <w:rsid w:val="00A46630"/>
    <w:rsid w:val="00A47109"/>
    <w:rsid w:val="00A47EDF"/>
    <w:rsid w:val="00A50991"/>
    <w:rsid w:val="00A5109D"/>
    <w:rsid w:val="00A512B4"/>
    <w:rsid w:val="00A533F0"/>
    <w:rsid w:val="00A54076"/>
    <w:rsid w:val="00A544B1"/>
    <w:rsid w:val="00A5477A"/>
    <w:rsid w:val="00A54B7C"/>
    <w:rsid w:val="00A5635D"/>
    <w:rsid w:val="00A56D54"/>
    <w:rsid w:val="00A574CA"/>
    <w:rsid w:val="00A577A1"/>
    <w:rsid w:val="00A57C29"/>
    <w:rsid w:val="00A608D4"/>
    <w:rsid w:val="00A60E9E"/>
    <w:rsid w:val="00A61B2A"/>
    <w:rsid w:val="00A623D7"/>
    <w:rsid w:val="00A635EA"/>
    <w:rsid w:val="00A65D75"/>
    <w:rsid w:val="00A662B9"/>
    <w:rsid w:val="00A675D9"/>
    <w:rsid w:val="00A70613"/>
    <w:rsid w:val="00A70DA6"/>
    <w:rsid w:val="00A7288B"/>
    <w:rsid w:val="00A73A67"/>
    <w:rsid w:val="00A73A95"/>
    <w:rsid w:val="00A74CA1"/>
    <w:rsid w:val="00A76A2B"/>
    <w:rsid w:val="00A76FF6"/>
    <w:rsid w:val="00A77124"/>
    <w:rsid w:val="00A775DE"/>
    <w:rsid w:val="00A80B7C"/>
    <w:rsid w:val="00A81348"/>
    <w:rsid w:val="00A81C19"/>
    <w:rsid w:val="00A82191"/>
    <w:rsid w:val="00A824C2"/>
    <w:rsid w:val="00A83196"/>
    <w:rsid w:val="00A84CCD"/>
    <w:rsid w:val="00A84EB7"/>
    <w:rsid w:val="00A86D54"/>
    <w:rsid w:val="00A86F69"/>
    <w:rsid w:val="00A8796F"/>
    <w:rsid w:val="00A87ED5"/>
    <w:rsid w:val="00A91542"/>
    <w:rsid w:val="00A9311D"/>
    <w:rsid w:val="00A94BCF"/>
    <w:rsid w:val="00A95542"/>
    <w:rsid w:val="00A95A2D"/>
    <w:rsid w:val="00A97E74"/>
    <w:rsid w:val="00AA0139"/>
    <w:rsid w:val="00AA0B79"/>
    <w:rsid w:val="00AA13FF"/>
    <w:rsid w:val="00AA16F5"/>
    <w:rsid w:val="00AA219A"/>
    <w:rsid w:val="00AA27F1"/>
    <w:rsid w:val="00AA30B1"/>
    <w:rsid w:val="00AA3238"/>
    <w:rsid w:val="00AA3835"/>
    <w:rsid w:val="00AA4056"/>
    <w:rsid w:val="00AA547A"/>
    <w:rsid w:val="00AA6376"/>
    <w:rsid w:val="00AA64A9"/>
    <w:rsid w:val="00AA6970"/>
    <w:rsid w:val="00AA7AB8"/>
    <w:rsid w:val="00AB0282"/>
    <w:rsid w:val="00AB26E3"/>
    <w:rsid w:val="00AB392F"/>
    <w:rsid w:val="00AB5807"/>
    <w:rsid w:val="00AC007C"/>
    <w:rsid w:val="00AC0156"/>
    <w:rsid w:val="00AC125E"/>
    <w:rsid w:val="00AC163A"/>
    <w:rsid w:val="00AC1C62"/>
    <w:rsid w:val="00AC2C07"/>
    <w:rsid w:val="00AC4068"/>
    <w:rsid w:val="00AC4CE4"/>
    <w:rsid w:val="00AC587F"/>
    <w:rsid w:val="00AC593E"/>
    <w:rsid w:val="00AC7043"/>
    <w:rsid w:val="00AD0D83"/>
    <w:rsid w:val="00AD0F04"/>
    <w:rsid w:val="00AD344B"/>
    <w:rsid w:val="00AD48F4"/>
    <w:rsid w:val="00AD4AD5"/>
    <w:rsid w:val="00AD743D"/>
    <w:rsid w:val="00AE0FE5"/>
    <w:rsid w:val="00AE1622"/>
    <w:rsid w:val="00AE2A47"/>
    <w:rsid w:val="00AE2BC8"/>
    <w:rsid w:val="00AE50E9"/>
    <w:rsid w:val="00AE5945"/>
    <w:rsid w:val="00AE5E00"/>
    <w:rsid w:val="00AE5F88"/>
    <w:rsid w:val="00AE7B70"/>
    <w:rsid w:val="00AF096C"/>
    <w:rsid w:val="00AF0B33"/>
    <w:rsid w:val="00AF3309"/>
    <w:rsid w:val="00AF4635"/>
    <w:rsid w:val="00AF4BFF"/>
    <w:rsid w:val="00AF5432"/>
    <w:rsid w:val="00AF5583"/>
    <w:rsid w:val="00AF73AA"/>
    <w:rsid w:val="00AF7AC5"/>
    <w:rsid w:val="00B003B0"/>
    <w:rsid w:val="00B005A5"/>
    <w:rsid w:val="00B0491D"/>
    <w:rsid w:val="00B06E98"/>
    <w:rsid w:val="00B06F26"/>
    <w:rsid w:val="00B07308"/>
    <w:rsid w:val="00B07A23"/>
    <w:rsid w:val="00B07EE3"/>
    <w:rsid w:val="00B11481"/>
    <w:rsid w:val="00B120B0"/>
    <w:rsid w:val="00B12330"/>
    <w:rsid w:val="00B133F3"/>
    <w:rsid w:val="00B14128"/>
    <w:rsid w:val="00B14288"/>
    <w:rsid w:val="00B16992"/>
    <w:rsid w:val="00B16AD9"/>
    <w:rsid w:val="00B204EA"/>
    <w:rsid w:val="00B23666"/>
    <w:rsid w:val="00B236A5"/>
    <w:rsid w:val="00B24835"/>
    <w:rsid w:val="00B25C01"/>
    <w:rsid w:val="00B26A00"/>
    <w:rsid w:val="00B277B5"/>
    <w:rsid w:val="00B277F7"/>
    <w:rsid w:val="00B304E3"/>
    <w:rsid w:val="00B318D0"/>
    <w:rsid w:val="00B31B64"/>
    <w:rsid w:val="00B31D2B"/>
    <w:rsid w:val="00B3213F"/>
    <w:rsid w:val="00B32A0B"/>
    <w:rsid w:val="00B337E6"/>
    <w:rsid w:val="00B345BC"/>
    <w:rsid w:val="00B34C36"/>
    <w:rsid w:val="00B37930"/>
    <w:rsid w:val="00B37A33"/>
    <w:rsid w:val="00B409EF"/>
    <w:rsid w:val="00B41E03"/>
    <w:rsid w:val="00B421E5"/>
    <w:rsid w:val="00B426D5"/>
    <w:rsid w:val="00B43151"/>
    <w:rsid w:val="00B435C6"/>
    <w:rsid w:val="00B45B0D"/>
    <w:rsid w:val="00B465C1"/>
    <w:rsid w:val="00B473A5"/>
    <w:rsid w:val="00B50424"/>
    <w:rsid w:val="00B52D10"/>
    <w:rsid w:val="00B54798"/>
    <w:rsid w:val="00B54C0C"/>
    <w:rsid w:val="00B555B8"/>
    <w:rsid w:val="00B555F7"/>
    <w:rsid w:val="00B55CB6"/>
    <w:rsid w:val="00B55D03"/>
    <w:rsid w:val="00B56673"/>
    <w:rsid w:val="00B5732C"/>
    <w:rsid w:val="00B60676"/>
    <w:rsid w:val="00B607B1"/>
    <w:rsid w:val="00B6118E"/>
    <w:rsid w:val="00B62AB8"/>
    <w:rsid w:val="00B63248"/>
    <w:rsid w:val="00B6339B"/>
    <w:rsid w:val="00B634EE"/>
    <w:rsid w:val="00B64083"/>
    <w:rsid w:val="00B64110"/>
    <w:rsid w:val="00B6440D"/>
    <w:rsid w:val="00B648BB"/>
    <w:rsid w:val="00B651BC"/>
    <w:rsid w:val="00B65E40"/>
    <w:rsid w:val="00B6643D"/>
    <w:rsid w:val="00B66827"/>
    <w:rsid w:val="00B674DE"/>
    <w:rsid w:val="00B67902"/>
    <w:rsid w:val="00B67C77"/>
    <w:rsid w:val="00B70437"/>
    <w:rsid w:val="00B71443"/>
    <w:rsid w:val="00B7255E"/>
    <w:rsid w:val="00B726CA"/>
    <w:rsid w:val="00B72A3F"/>
    <w:rsid w:val="00B73AFB"/>
    <w:rsid w:val="00B76989"/>
    <w:rsid w:val="00B76BB1"/>
    <w:rsid w:val="00B76BC1"/>
    <w:rsid w:val="00B802C9"/>
    <w:rsid w:val="00B8037C"/>
    <w:rsid w:val="00B80BDF"/>
    <w:rsid w:val="00B810F9"/>
    <w:rsid w:val="00B8324A"/>
    <w:rsid w:val="00B84CE6"/>
    <w:rsid w:val="00B85B4D"/>
    <w:rsid w:val="00B874F1"/>
    <w:rsid w:val="00B900DA"/>
    <w:rsid w:val="00B90193"/>
    <w:rsid w:val="00B905DE"/>
    <w:rsid w:val="00B90E80"/>
    <w:rsid w:val="00B911A3"/>
    <w:rsid w:val="00B9173A"/>
    <w:rsid w:val="00B92667"/>
    <w:rsid w:val="00B9267D"/>
    <w:rsid w:val="00B92FB1"/>
    <w:rsid w:val="00B931E4"/>
    <w:rsid w:val="00B933B8"/>
    <w:rsid w:val="00B958EA"/>
    <w:rsid w:val="00B95BD3"/>
    <w:rsid w:val="00B960C6"/>
    <w:rsid w:val="00B966F1"/>
    <w:rsid w:val="00B97712"/>
    <w:rsid w:val="00BA008A"/>
    <w:rsid w:val="00BA17AA"/>
    <w:rsid w:val="00BA3573"/>
    <w:rsid w:val="00BA5B26"/>
    <w:rsid w:val="00BA6260"/>
    <w:rsid w:val="00BA6B77"/>
    <w:rsid w:val="00BB03FE"/>
    <w:rsid w:val="00BB0DBE"/>
    <w:rsid w:val="00BB222A"/>
    <w:rsid w:val="00BB2976"/>
    <w:rsid w:val="00BB323C"/>
    <w:rsid w:val="00BB3999"/>
    <w:rsid w:val="00BB3B2D"/>
    <w:rsid w:val="00BB3FBC"/>
    <w:rsid w:val="00BB4926"/>
    <w:rsid w:val="00BB4DCF"/>
    <w:rsid w:val="00BB5C8E"/>
    <w:rsid w:val="00BB5FFD"/>
    <w:rsid w:val="00BB7539"/>
    <w:rsid w:val="00BB7907"/>
    <w:rsid w:val="00BC067B"/>
    <w:rsid w:val="00BC06E2"/>
    <w:rsid w:val="00BC218D"/>
    <w:rsid w:val="00BC3C65"/>
    <w:rsid w:val="00BC417F"/>
    <w:rsid w:val="00BC514B"/>
    <w:rsid w:val="00BC56FE"/>
    <w:rsid w:val="00BC6898"/>
    <w:rsid w:val="00BD184F"/>
    <w:rsid w:val="00BD355C"/>
    <w:rsid w:val="00BD59C9"/>
    <w:rsid w:val="00BD7FA6"/>
    <w:rsid w:val="00BE092E"/>
    <w:rsid w:val="00BE1C32"/>
    <w:rsid w:val="00BE3354"/>
    <w:rsid w:val="00BE416D"/>
    <w:rsid w:val="00BE4223"/>
    <w:rsid w:val="00BE5261"/>
    <w:rsid w:val="00BE60C6"/>
    <w:rsid w:val="00BE60E2"/>
    <w:rsid w:val="00BE7698"/>
    <w:rsid w:val="00BE7A16"/>
    <w:rsid w:val="00BE7ACC"/>
    <w:rsid w:val="00BE7D48"/>
    <w:rsid w:val="00BF0263"/>
    <w:rsid w:val="00BF07E8"/>
    <w:rsid w:val="00BF0902"/>
    <w:rsid w:val="00BF099F"/>
    <w:rsid w:val="00BF1A66"/>
    <w:rsid w:val="00BF2B9B"/>
    <w:rsid w:val="00BF4137"/>
    <w:rsid w:val="00BF534C"/>
    <w:rsid w:val="00BF7221"/>
    <w:rsid w:val="00BF75F1"/>
    <w:rsid w:val="00C02484"/>
    <w:rsid w:val="00C03E62"/>
    <w:rsid w:val="00C040CA"/>
    <w:rsid w:val="00C05A71"/>
    <w:rsid w:val="00C07AA8"/>
    <w:rsid w:val="00C10F90"/>
    <w:rsid w:val="00C12780"/>
    <w:rsid w:val="00C14843"/>
    <w:rsid w:val="00C14966"/>
    <w:rsid w:val="00C1528D"/>
    <w:rsid w:val="00C154CC"/>
    <w:rsid w:val="00C15A6F"/>
    <w:rsid w:val="00C1612E"/>
    <w:rsid w:val="00C16CC2"/>
    <w:rsid w:val="00C16DB8"/>
    <w:rsid w:val="00C175F4"/>
    <w:rsid w:val="00C1761B"/>
    <w:rsid w:val="00C17D65"/>
    <w:rsid w:val="00C21A23"/>
    <w:rsid w:val="00C22D49"/>
    <w:rsid w:val="00C2476A"/>
    <w:rsid w:val="00C25144"/>
    <w:rsid w:val="00C25C25"/>
    <w:rsid w:val="00C2606C"/>
    <w:rsid w:val="00C2638D"/>
    <w:rsid w:val="00C2671A"/>
    <w:rsid w:val="00C26B94"/>
    <w:rsid w:val="00C276B4"/>
    <w:rsid w:val="00C27E1C"/>
    <w:rsid w:val="00C30BE6"/>
    <w:rsid w:val="00C31BE0"/>
    <w:rsid w:val="00C31E1C"/>
    <w:rsid w:val="00C31ED2"/>
    <w:rsid w:val="00C31EF0"/>
    <w:rsid w:val="00C32975"/>
    <w:rsid w:val="00C34746"/>
    <w:rsid w:val="00C364F8"/>
    <w:rsid w:val="00C37623"/>
    <w:rsid w:val="00C40213"/>
    <w:rsid w:val="00C40D72"/>
    <w:rsid w:val="00C40EFC"/>
    <w:rsid w:val="00C4144C"/>
    <w:rsid w:val="00C41948"/>
    <w:rsid w:val="00C426A0"/>
    <w:rsid w:val="00C42969"/>
    <w:rsid w:val="00C449A7"/>
    <w:rsid w:val="00C44B39"/>
    <w:rsid w:val="00C44FEB"/>
    <w:rsid w:val="00C459C1"/>
    <w:rsid w:val="00C466EE"/>
    <w:rsid w:val="00C46D82"/>
    <w:rsid w:val="00C50058"/>
    <w:rsid w:val="00C50211"/>
    <w:rsid w:val="00C5219D"/>
    <w:rsid w:val="00C53A41"/>
    <w:rsid w:val="00C551C5"/>
    <w:rsid w:val="00C55374"/>
    <w:rsid w:val="00C55645"/>
    <w:rsid w:val="00C561C4"/>
    <w:rsid w:val="00C56F96"/>
    <w:rsid w:val="00C578C0"/>
    <w:rsid w:val="00C6027B"/>
    <w:rsid w:val="00C60923"/>
    <w:rsid w:val="00C6156C"/>
    <w:rsid w:val="00C61916"/>
    <w:rsid w:val="00C619CA"/>
    <w:rsid w:val="00C61A75"/>
    <w:rsid w:val="00C61B69"/>
    <w:rsid w:val="00C64609"/>
    <w:rsid w:val="00C65477"/>
    <w:rsid w:val="00C673B3"/>
    <w:rsid w:val="00C70176"/>
    <w:rsid w:val="00C718FF"/>
    <w:rsid w:val="00C724AF"/>
    <w:rsid w:val="00C75525"/>
    <w:rsid w:val="00C7559B"/>
    <w:rsid w:val="00C75B57"/>
    <w:rsid w:val="00C770BD"/>
    <w:rsid w:val="00C8242D"/>
    <w:rsid w:val="00C82ABF"/>
    <w:rsid w:val="00C84254"/>
    <w:rsid w:val="00C8510F"/>
    <w:rsid w:val="00C8543B"/>
    <w:rsid w:val="00C87236"/>
    <w:rsid w:val="00C8729D"/>
    <w:rsid w:val="00C87E54"/>
    <w:rsid w:val="00C90594"/>
    <w:rsid w:val="00C93F13"/>
    <w:rsid w:val="00C93F2B"/>
    <w:rsid w:val="00C94448"/>
    <w:rsid w:val="00C95731"/>
    <w:rsid w:val="00C9678D"/>
    <w:rsid w:val="00C970D9"/>
    <w:rsid w:val="00C975DE"/>
    <w:rsid w:val="00CA043A"/>
    <w:rsid w:val="00CA07B1"/>
    <w:rsid w:val="00CA472D"/>
    <w:rsid w:val="00CA6895"/>
    <w:rsid w:val="00CB0058"/>
    <w:rsid w:val="00CB010B"/>
    <w:rsid w:val="00CB1402"/>
    <w:rsid w:val="00CB1B58"/>
    <w:rsid w:val="00CB1BA1"/>
    <w:rsid w:val="00CB24BA"/>
    <w:rsid w:val="00CB46E0"/>
    <w:rsid w:val="00CB7235"/>
    <w:rsid w:val="00CC301B"/>
    <w:rsid w:val="00CC3174"/>
    <w:rsid w:val="00CC4B38"/>
    <w:rsid w:val="00CC580B"/>
    <w:rsid w:val="00CC5C83"/>
    <w:rsid w:val="00CC6B48"/>
    <w:rsid w:val="00CC7662"/>
    <w:rsid w:val="00CD11EC"/>
    <w:rsid w:val="00CD2F48"/>
    <w:rsid w:val="00CD3071"/>
    <w:rsid w:val="00CD30A3"/>
    <w:rsid w:val="00CD32D4"/>
    <w:rsid w:val="00CD45ED"/>
    <w:rsid w:val="00CD5C50"/>
    <w:rsid w:val="00CD5CB0"/>
    <w:rsid w:val="00CD6CE2"/>
    <w:rsid w:val="00CE04D7"/>
    <w:rsid w:val="00CE1881"/>
    <w:rsid w:val="00CE19E2"/>
    <w:rsid w:val="00CE4744"/>
    <w:rsid w:val="00CE4777"/>
    <w:rsid w:val="00CE5B91"/>
    <w:rsid w:val="00CE5F4B"/>
    <w:rsid w:val="00CE64F5"/>
    <w:rsid w:val="00CE6F6A"/>
    <w:rsid w:val="00CE7182"/>
    <w:rsid w:val="00CE7C87"/>
    <w:rsid w:val="00CF0661"/>
    <w:rsid w:val="00CF1AF9"/>
    <w:rsid w:val="00CF34C8"/>
    <w:rsid w:val="00CF40F0"/>
    <w:rsid w:val="00CF4606"/>
    <w:rsid w:val="00CF56C6"/>
    <w:rsid w:val="00CF7CA2"/>
    <w:rsid w:val="00CF7E66"/>
    <w:rsid w:val="00CF7F33"/>
    <w:rsid w:val="00D01795"/>
    <w:rsid w:val="00D03A06"/>
    <w:rsid w:val="00D053BA"/>
    <w:rsid w:val="00D072AF"/>
    <w:rsid w:val="00D07C68"/>
    <w:rsid w:val="00D11838"/>
    <w:rsid w:val="00D1369E"/>
    <w:rsid w:val="00D14C8F"/>
    <w:rsid w:val="00D14CDD"/>
    <w:rsid w:val="00D15B08"/>
    <w:rsid w:val="00D15DB4"/>
    <w:rsid w:val="00D16020"/>
    <w:rsid w:val="00D169CF"/>
    <w:rsid w:val="00D16DBB"/>
    <w:rsid w:val="00D17889"/>
    <w:rsid w:val="00D20136"/>
    <w:rsid w:val="00D21D83"/>
    <w:rsid w:val="00D22A88"/>
    <w:rsid w:val="00D22E55"/>
    <w:rsid w:val="00D24729"/>
    <w:rsid w:val="00D2514E"/>
    <w:rsid w:val="00D26438"/>
    <w:rsid w:val="00D26A26"/>
    <w:rsid w:val="00D26CBE"/>
    <w:rsid w:val="00D30605"/>
    <w:rsid w:val="00D32413"/>
    <w:rsid w:val="00D33C4F"/>
    <w:rsid w:val="00D342D2"/>
    <w:rsid w:val="00D348AA"/>
    <w:rsid w:val="00D365D6"/>
    <w:rsid w:val="00D36A65"/>
    <w:rsid w:val="00D37949"/>
    <w:rsid w:val="00D40A81"/>
    <w:rsid w:val="00D40F81"/>
    <w:rsid w:val="00D40FA9"/>
    <w:rsid w:val="00D42157"/>
    <w:rsid w:val="00D422C9"/>
    <w:rsid w:val="00D4238B"/>
    <w:rsid w:val="00D4344B"/>
    <w:rsid w:val="00D43454"/>
    <w:rsid w:val="00D44495"/>
    <w:rsid w:val="00D44505"/>
    <w:rsid w:val="00D44A4A"/>
    <w:rsid w:val="00D4520D"/>
    <w:rsid w:val="00D45A1A"/>
    <w:rsid w:val="00D45E47"/>
    <w:rsid w:val="00D46109"/>
    <w:rsid w:val="00D46618"/>
    <w:rsid w:val="00D50C5F"/>
    <w:rsid w:val="00D52853"/>
    <w:rsid w:val="00D52AEA"/>
    <w:rsid w:val="00D52C49"/>
    <w:rsid w:val="00D54069"/>
    <w:rsid w:val="00D56873"/>
    <w:rsid w:val="00D57A33"/>
    <w:rsid w:val="00D57A87"/>
    <w:rsid w:val="00D60193"/>
    <w:rsid w:val="00D609DD"/>
    <w:rsid w:val="00D60E5A"/>
    <w:rsid w:val="00D62D25"/>
    <w:rsid w:val="00D63493"/>
    <w:rsid w:val="00D63A24"/>
    <w:rsid w:val="00D6432C"/>
    <w:rsid w:val="00D64C39"/>
    <w:rsid w:val="00D6522A"/>
    <w:rsid w:val="00D658A4"/>
    <w:rsid w:val="00D660B8"/>
    <w:rsid w:val="00D66B5D"/>
    <w:rsid w:val="00D70C0B"/>
    <w:rsid w:val="00D71005"/>
    <w:rsid w:val="00D7106E"/>
    <w:rsid w:val="00D71478"/>
    <w:rsid w:val="00D719A4"/>
    <w:rsid w:val="00D728E4"/>
    <w:rsid w:val="00D7316C"/>
    <w:rsid w:val="00D73191"/>
    <w:rsid w:val="00D75864"/>
    <w:rsid w:val="00D760EE"/>
    <w:rsid w:val="00D77ADE"/>
    <w:rsid w:val="00D801CB"/>
    <w:rsid w:val="00D81C40"/>
    <w:rsid w:val="00D82C26"/>
    <w:rsid w:val="00D8386E"/>
    <w:rsid w:val="00D84075"/>
    <w:rsid w:val="00D855F5"/>
    <w:rsid w:val="00D85B18"/>
    <w:rsid w:val="00D85EEB"/>
    <w:rsid w:val="00D86299"/>
    <w:rsid w:val="00D86C4D"/>
    <w:rsid w:val="00D876FE"/>
    <w:rsid w:val="00D926C6"/>
    <w:rsid w:val="00D93A94"/>
    <w:rsid w:val="00D93C4D"/>
    <w:rsid w:val="00D94362"/>
    <w:rsid w:val="00D9600E"/>
    <w:rsid w:val="00D9718E"/>
    <w:rsid w:val="00DA0D5D"/>
    <w:rsid w:val="00DA1CC1"/>
    <w:rsid w:val="00DA4EC0"/>
    <w:rsid w:val="00DB0C28"/>
    <w:rsid w:val="00DB0ECB"/>
    <w:rsid w:val="00DB22A6"/>
    <w:rsid w:val="00DB2591"/>
    <w:rsid w:val="00DB3C35"/>
    <w:rsid w:val="00DB4048"/>
    <w:rsid w:val="00DB420D"/>
    <w:rsid w:val="00DB457A"/>
    <w:rsid w:val="00DB4ABA"/>
    <w:rsid w:val="00DB5EE8"/>
    <w:rsid w:val="00DB61BE"/>
    <w:rsid w:val="00DB6372"/>
    <w:rsid w:val="00DB6D36"/>
    <w:rsid w:val="00DB77A8"/>
    <w:rsid w:val="00DB7BA2"/>
    <w:rsid w:val="00DB7C32"/>
    <w:rsid w:val="00DB7EFC"/>
    <w:rsid w:val="00DC05A3"/>
    <w:rsid w:val="00DC1391"/>
    <w:rsid w:val="00DC1484"/>
    <w:rsid w:val="00DC168F"/>
    <w:rsid w:val="00DC211A"/>
    <w:rsid w:val="00DC2B49"/>
    <w:rsid w:val="00DC2F6C"/>
    <w:rsid w:val="00DC3064"/>
    <w:rsid w:val="00DC33A0"/>
    <w:rsid w:val="00DC395C"/>
    <w:rsid w:val="00DC4A42"/>
    <w:rsid w:val="00DC5540"/>
    <w:rsid w:val="00DC5B8D"/>
    <w:rsid w:val="00DC5E8A"/>
    <w:rsid w:val="00DC6141"/>
    <w:rsid w:val="00DC649E"/>
    <w:rsid w:val="00DC6720"/>
    <w:rsid w:val="00DD13FA"/>
    <w:rsid w:val="00DD1C7F"/>
    <w:rsid w:val="00DD23FE"/>
    <w:rsid w:val="00DD35BF"/>
    <w:rsid w:val="00DD385D"/>
    <w:rsid w:val="00DD4BAE"/>
    <w:rsid w:val="00DD6544"/>
    <w:rsid w:val="00DD77A6"/>
    <w:rsid w:val="00DE164F"/>
    <w:rsid w:val="00DE1C3C"/>
    <w:rsid w:val="00DE1CC5"/>
    <w:rsid w:val="00DE2038"/>
    <w:rsid w:val="00DE2F91"/>
    <w:rsid w:val="00DE4C36"/>
    <w:rsid w:val="00DE5BB9"/>
    <w:rsid w:val="00DE7F70"/>
    <w:rsid w:val="00DF0A57"/>
    <w:rsid w:val="00DF2B6D"/>
    <w:rsid w:val="00DF5576"/>
    <w:rsid w:val="00DF5702"/>
    <w:rsid w:val="00DF5917"/>
    <w:rsid w:val="00E00D8F"/>
    <w:rsid w:val="00E00E5A"/>
    <w:rsid w:val="00E01168"/>
    <w:rsid w:val="00E01245"/>
    <w:rsid w:val="00E0170C"/>
    <w:rsid w:val="00E01BFD"/>
    <w:rsid w:val="00E04267"/>
    <w:rsid w:val="00E043D1"/>
    <w:rsid w:val="00E05AA0"/>
    <w:rsid w:val="00E07A55"/>
    <w:rsid w:val="00E10B18"/>
    <w:rsid w:val="00E14283"/>
    <w:rsid w:val="00E142E4"/>
    <w:rsid w:val="00E1483D"/>
    <w:rsid w:val="00E16B4A"/>
    <w:rsid w:val="00E21225"/>
    <w:rsid w:val="00E2174B"/>
    <w:rsid w:val="00E2245D"/>
    <w:rsid w:val="00E23627"/>
    <w:rsid w:val="00E23BE0"/>
    <w:rsid w:val="00E25ED8"/>
    <w:rsid w:val="00E30288"/>
    <w:rsid w:val="00E302C6"/>
    <w:rsid w:val="00E302EA"/>
    <w:rsid w:val="00E3083F"/>
    <w:rsid w:val="00E30BE8"/>
    <w:rsid w:val="00E31305"/>
    <w:rsid w:val="00E34DED"/>
    <w:rsid w:val="00E362CC"/>
    <w:rsid w:val="00E3649E"/>
    <w:rsid w:val="00E36BF9"/>
    <w:rsid w:val="00E40472"/>
    <w:rsid w:val="00E4342D"/>
    <w:rsid w:val="00E43B4A"/>
    <w:rsid w:val="00E45035"/>
    <w:rsid w:val="00E45887"/>
    <w:rsid w:val="00E4600C"/>
    <w:rsid w:val="00E46B55"/>
    <w:rsid w:val="00E51F7C"/>
    <w:rsid w:val="00E52765"/>
    <w:rsid w:val="00E53BEB"/>
    <w:rsid w:val="00E54297"/>
    <w:rsid w:val="00E556BF"/>
    <w:rsid w:val="00E60343"/>
    <w:rsid w:val="00E611E0"/>
    <w:rsid w:val="00E6155D"/>
    <w:rsid w:val="00E62439"/>
    <w:rsid w:val="00E65D17"/>
    <w:rsid w:val="00E666E3"/>
    <w:rsid w:val="00E67354"/>
    <w:rsid w:val="00E67FA9"/>
    <w:rsid w:val="00E70409"/>
    <w:rsid w:val="00E714F2"/>
    <w:rsid w:val="00E71FAA"/>
    <w:rsid w:val="00E727E5"/>
    <w:rsid w:val="00E729A8"/>
    <w:rsid w:val="00E72A1D"/>
    <w:rsid w:val="00E72CB1"/>
    <w:rsid w:val="00E72D7A"/>
    <w:rsid w:val="00E7333F"/>
    <w:rsid w:val="00E737AF"/>
    <w:rsid w:val="00E738FC"/>
    <w:rsid w:val="00E7394B"/>
    <w:rsid w:val="00E74609"/>
    <w:rsid w:val="00E74764"/>
    <w:rsid w:val="00E7483F"/>
    <w:rsid w:val="00E7524E"/>
    <w:rsid w:val="00E752E1"/>
    <w:rsid w:val="00E75884"/>
    <w:rsid w:val="00E7590B"/>
    <w:rsid w:val="00E75A73"/>
    <w:rsid w:val="00E75ECC"/>
    <w:rsid w:val="00E802F2"/>
    <w:rsid w:val="00E806BE"/>
    <w:rsid w:val="00E8091C"/>
    <w:rsid w:val="00E80C8E"/>
    <w:rsid w:val="00E80D18"/>
    <w:rsid w:val="00E81C04"/>
    <w:rsid w:val="00E81F09"/>
    <w:rsid w:val="00E82799"/>
    <w:rsid w:val="00E8451E"/>
    <w:rsid w:val="00E85B4A"/>
    <w:rsid w:val="00E86384"/>
    <w:rsid w:val="00E90711"/>
    <w:rsid w:val="00E908C4"/>
    <w:rsid w:val="00E91CE2"/>
    <w:rsid w:val="00E945E5"/>
    <w:rsid w:val="00E947C4"/>
    <w:rsid w:val="00E947E4"/>
    <w:rsid w:val="00E963FB"/>
    <w:rsid w:val="00E972DE"/>
    <w:rsid w:val="00EA06F8"/>
    <w:rsid w:val="00EA0AEC"/>
    <w:rsid w:val="00EA0E6B"/>
    <w:rsid w:val="00EA2115"/>
    <w:rsid w:val="00EA2339"/>
    <w:rsid w:val="00EA29E7"/>
    <w:rsid w:val="00EA2FF4"/>
    <w:rsid w:val="00EA3166"/>
    <w:rsid w:val="00EA3E30"/>
    <w:rsid w:val="00EA4A40"/>
    <w:rsid w:val="00EA4BE6"/>
    <w:rsid w:val="00EA5575"/>
    <w:rsid w:val="00EA6760"/>
    <w:rsid w:val="00EA6B54"/>
    <w:rsid w:val="00EA76D6"/>
    <w:rsid w:val="00EB0CA6"/>
    <w:rsid w:val="00EB416D"/>
    <w:rsid w:val="00EB60D4"/>
    <w:rsid w:val="00EB669D"/>
    <w:rsid w:val="00EC0297"/>
    <w:rsid w:val="00EC10F7"/>
    <w:rsid w:val="00EC1D93"/>
    <w:rsid w:val="00EC22BB"/>
    <w:rsid w:val="00EC4FE9"/>
    <w:rsid w:val="00EC52D2"/>
    <w:rsid w:val="00EC56AE"/>
    <w:rsid w:val="00EC56E2"/>
    <w:rsid w:val="00EC58E1"/>
    <w:rsid w:val="00EC7A2F"/>
    <w:rsid w:val="00ED1AC0"/>
    <w:rsid w:val="00ED1D74"/>
    <w:rsid w:val="00ED297A"/>
    <w:rsid w:val="00ED501F"/>
    <w:rsid w:val="00ED60C7"/>
    <w:rsid w:val="00ED6AD1"/>
    <w:rsid w:val="00ED6F2A"/>
    <w:rsid w:val="00ED6FD9"/>
    <w:rsid w:val="00EE02A1"/>
    <w:rsid w:val="00EE0FD5"/>
    <w:rsid w:val="00EE1163"/>
    <w:rsid w:val="00EE1CF1"/>
    <w:rsid w:val="00EE2F9F"/>
    <w:rsid w:val="00EE41FF"/>
    <w:rsid w:val="00EE48A7"/>
    <w:rsid w:val="00EE5ED2"/>
    <w:rsid w:val="00EE627B"/>
    <w:rsid w:val="00EE6A9E"/>
    <w:rsid w:val="00EF03E2"/>
    <w:rsid w:val="00EF052D"/>
    <w:rsid w:val="00EF3A32"/>
    <w:rsid w:val="00EF3B33"/>
    <w:rsid w:val="00EF3BF8"/>
    <w:rsid w:val="00EF5F21"/>
    <w:rsid w:val="00EF7FDE"/>
    <w:rsid w:val="00F00745"/>
    <w:rsid w:val="00F0093E"/>
    <w:rsid w:val="00F00CFB"/>
    <w:rsid w:val="00F02100"/>
    <w:rsid w:val="00F03682"/>
    <w:rsid w:val="00F03E39"/>
    <w:rsid w:val="00F0520D"/>
    <w:rsid w:val="00F05F93"/>
    <w:rsid w:val="00F102E1"/>
    <w:rsid w:val="00F10AF3"/>
    <w:rsid w:val="00F11D68"/>
    <w:rsid w:val="00F121E4"/>
    <w:rsid w:val="00F12D40"/>
    <w:rsid w:val="00F1353A"/>
    <w:rsid w:val="00F13CCC"/>
    <w:rsid w:val="00F14190"/>
    <w:rsid w:val="00F149BC"/>
    <w:rsid w:val="00F14BBC"/>
    <w:rsid w:val="00F155DC"/>
    <w:rsid w:val="00F16D63"/>
    <w:rsid w:val="00F16F6B"/>
    <w:rsid w:val="00F172AA"/>
    <w:rsid w:val="00F211EC"/>
    <w:rsid w:val="00F21AA5"/>
    <w:rsid w:val="00F22151"/>
    <w:rsid w:val="00F22860"/>
    <w:rsid w:val="00F22F83"/>
    <w:rsid w:val="00F24981"/>
    <w:rsid w:val="00F261CD"/>
    <w:rsid w:val="00F268FC"/>
    <w:rsid w:val="00F26BA0"/>
    <w:rsid w:val="00F30515"/>
    <w:rsid w:val="00F337C7"/>
    <w:rsid w:val="00F33AF7"/>
    <w:rsid w:val="00F340AC"/>
    <w:rsid w:val="00F34BB0"/>
    <w:rsid w:val="00F3557A"/>
    <w:rsid w:val="00F35C65"/>
    <w:rsid w:val="00F35DA9"/>
    <w:rsid w:val="00F3734F"/>
    <w:rsid w:val="00F40CC1"/>
    <w:rsid w:val="00F40DFF"/>
    <w:rsid w:val="00F41C7F"/>
    <w:rsid w:val="00F429A1"/>
    <w:rsid w:val="00F44696"/>
    <w:rsid w:val="00F44853"/>
    <w:rsid w:val="00F45613"/>
    <w:rsid w:val="00F475E3"/>
    <w:rsid w:val="00F47F8B"/>
    <w:rsid w:val="00F51105"/>
    <w:rsid w:val="00F52338"/>
    <w:rsid w:val="00F5312B"/>
    <w:rsid w:val="00F53648"/>
    <w:rsid w:val="00F5374E"/>
    <w:rsid w:val="00F54E95"/>
    <w:rsid w:val="00F5668F"/>
    <w:rsid w:val="00F6039A"/>
    <w:rsid w:val="00F6056E"/>
    <w:rsid w:val="00F60F3E"/>
    <w:rsid w:val="00F610B1"/>
    <w:rsid w:val="00F611FC"/>
    <w:rsid w:val="00F61E3E"/>
    <w:rsid w:val="00F62198"/>
    <w:rsid w:val="00F62E0E"/>
    <w:rsid w:val="00F63186"/>
    <w:rsid w:val="00F63917"/>
    <w:rsid w:val="00F6413A"/>
    <w:rsid w:val="00F65070"/>
    <w:rsid w:val="00F6798D"/>
    <w:rsid w:val="00F67ED5"/>
    <w:rsid w:val="00F71AF4"/>
    <w:rsid w:val="00F71EC3"/>
    <w:rsid w:val="00F74C9F"/>
    <w:rsid w:val="00F766B4"/>
    <w:rsid w:val="00F77B99"/>
    <w:rsid w:val="00F8120C"/>
    <w:rsid w:val="00F812BB"/>
    <w:rsid w:val="00F8207F"/>
    <w:rsid w:val="00F8348E"/>
    <w:rsid w:val="00F83D01"/>
    <w:rsid w:val="00F841F5"/>
    <w:rsid w:val="00F859FE"/>
    <w:rsid w:val="00F86027"/>
    <w:rsid w:val="00F863EE"/>
    <w:rsid w:val="00F9090C"/>
    <w:rsid w:val="00F90D41"/>
    <w:rsid w:val="00F911AD"/>
    <w:rsid w:val="00F9131E"/>
    <w:rsid w:val="00F91D39"/>
    <w:rsid w:val="00F92047"/>
    <w:rsid w:val="00F94052"/>
    <w:rsid w:val="00F96166"/>
    <w:rsid w:val="00F97600"/>
    <w:rsid w:val="00F97C28"/>
    <w:rsid w:val="00F97EEE"/>
    <w:rsid w:val="00FA0CF1"/>
    <w:rsid w:val="00FA0D1C"/>
    <w:rsid w:val="00FA12C5"/>
    <w:rsid w:val="00FA181E"/>
    <w:rsid w:val="00FA24CD"/>
    <w:rsid w:val="00FA2748"/>
    <w:rsid w:val="00FA3276"/>
    <w:rsid w:val="00FA35F0"/>
    <w:rsid w:val="00FA38FE"/>
    <w:rsid w:val="00FA4707"/>
    <w:rsid w:val="00FA47F0"/>
    <w:rsid w:val="00FA55F7"/>
    <w:rsid w:val="00FA570E"/>
    <w:rsid w:val="00FA5F24"/>
    <w:rsid w:val="00FA68EF"/>
    <w:rsid w:val="00FA6B47"/>
    <w:rsid w:val="00FA780B"/>
    <w:rsid w:val="00FA7FC7"/>
    <w:rsid w:val="00FB034E"/>
    <w:rsid w:val="00FB0B42"/>
    <w:rsid w:val="00FB1191"/>
    <w:rsid w:val="00FB126F"/>
    <w:rsid w:val="00FB2C19"/>
    <w:rsid w:val="00FB38F1"/>
    <w:rsid w:val="00FB3F41"/>
    <w:rsid w:val="00FB550D"/>
    <w:rsid w:val="00FB5721"/>
    <w:rsid w:val="00FB6834"/>
    <w:rsid w:val="00FB6C25"/>
    <w:rsid w:val="00FB7CD9"/>
    <w:rsid w:val="00FC145D"/>
    <w:rsid w:val="00FC1F47"/>
    <w:rsid w:val="00FC29AC"/>
    <w:rsid w:val="00FC2FC1"/>
    <w:rsid w:val="00FC3B2B"/>
    <w:rsid w:val="00FC42F3"/>
    <w:rsid w:val="00FD03ED"/>
    <w:rsid w:val="00FD29F1"/>
    <w:rsid w:val="00FD2D3E"/>
    <w:rsid w:val="00FD419B"/>
    <w:rsid w:val="00FD453A"/>
    <w:rsid w:val="00FD51B2"/>
    <w:rsid w:val="00FD5FB4"/>
    <w:rsid w:val="00FD74BB"/>
    <w:rsid w:val="00FE2A30"/>
    <w:rsid w:val="00FE3098"/>
    <w:rsid w:val="00FE350B"/>
    <w:rsid w:val="00FE41C9"/>
    <w:rsid w:val="00FE48C5"/>
    <w:rsid w:val="00FE531B"/>
    <w:rsid w:val="00FE53EB"/>
    <w:rsid w:val="00FE59B4"/>
    <w:rsid w:val="00FE5AA5"/>
    <w:rsid w:val="00FE5D24"/>
    <w:rsid w:val="00FE7F03"/>
    <w:rsid w:val="00FE7F40"/>
    <w:rsid w:val="00FF00A7"/>
    <w:rsid w:val="00FF0CC9"/>
    <w:rsid w:val="00FF32C5"/>
    <w:rsid w:val="00FF3889"/>
    <w:rsid w:val="00FF39C8"/>
    <w:rsid w:val="00FF4D0B"/>
    <w:rsid w:val="00FF59F5"/>
    <w:rsid w:val="00FF5A0F"/>
    <w:rsid w:val="00FF771D"/>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D8AD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75"/>
  </w:style>
  <w:style w:type="paragraph" w:styleId="Heading1">
    <w:name w:val="heading 1"/>
    <w:basedOn w:val="Normal"/>
    <w:next w:val="Normal"/>
    <w:link w:val="Heading1Char"/>
    <w:autoRedefine/>
    <w:uiPriority w:val="9"/>
    <w:qFormat/>
    <w:rsid w:val="001D004A"/>
    <w:pPr>
      <w:keepNext/>
      <w:spacing w:before="240" w:after="240"/>
      <w:jc w:val="center"/>
      <w:outlineLvl w:val="0"/>
    </w:pPr>
    <w:rPr>
      <w:rFonts w:eastAsia="Times New Roman" w:cs="Arial"/>
      <w:b/>
      <w:bCs/>
      <w:kern w:val="32"/>
      <w:sz w:val="44"/>
      <w:szCs w:val="44"/>
    </w:rPr>
  </w:style>
  <w:style w:type="paragraph" w:styleId="Heading2">
    <w:name w:val="heading 2"/>
    <w:basedOn w:val="Normal"/>
    <w:next w:val="Normal"/>
    <w:link w:val="Heading2Char"/>
    <w:autoRedefine/>
    <w:unhideWhenUsed/>
    <w:qFormat/>
    <w:rsid w:val="00E43B4A"/>
    <w:pPr>
      <w:keepNext/>
      <w:spacing w:before="240" w:after="240"/>
      <w:outlineLvl w:val="1"/>
    </w:pPr>
    <w:rPr>
      <w:rFonts w:eastAsia="Times New Roman" w:cs="Arial"/>
      <w:b/>
      <w:bCs/>
      <w:iCs/>
      <w:sz w:val="40"/>
      <w:szCs w:val="40"/>
    </w:rPr>
  </w:style>
  <w:style w:type="paragraph" w:styleId="Heading3">
    <w:name w:val="heading 3"/>
    <w:basedOn w:val="Normal"/>
    <w:next w:val="Normal"/>
    <w:link w:val="Heading3Char"/>
    <w:autoRedefine/>
    <w:uiPriority w:val="9"/>
    <w:unhideWhenUsed/>
    <w:qFormat/>
    <w:rsid w:val="00F67ED5"/>
    <w:pPr>
      <w:spacing w:before="240" w:after="240"/>
      <w:outlineLvl w:val="2"/>
    </w:pPr>
    <w:rPr>
      <w:b/>
      <w:snapToGrid w:val="0"/>
      <w:sz w:val="36"/>
      <w:szCs w:val="36"/>
    </w:rPr>
  </w:style>
  <w:style w:type="paragraph" w:styleId="Heading4">
    <w:name w:val="heading 4"/>
    <w:basedOn w:val="Normal"/>
    <w:next w:val="Normal"/>
    <w:link w:val="Heading4Char"/>
    <w:autoRedefine/>
    <w:uiPriority w:val="9"/>
    <w:unhideWhenUsed/>
    <w:qFormat/>
    <w:rsid w:val="00DE2038"/>
    <w:pPr>
      <w:keepNext/>
      <w:keepLines/>
      <w:spacing w:before="40" w:after="240"/>
      <w:outlineLvl w:val="3"/>
    </w:pPr>
    <w:rPr>
      <w:rFonts w:eastAsiaTheme="majorEastAsia" w:cstheme="majorBidi"/>
      <w:iCs/>
      <w:sz w:val="28"/>
      <w:szCs w:val="28"/>
    </w:rPr>
  </w:style>
  <w:style w:type="paragraph" w:styleId="Heading5">
    <w:name w:val="heading 5"/>
    <w:basedOn w:val="Normal"/>
    <w:next w:val="Normal"/>
    <w:link w:val="Heading5Char"/>
    <w:autoRedefine/>
    <w:uiPriority w:val="9"/>
    <w:unhideWhenUsed/>
    <w:qFormat/>
    <w:rsid w:val="008A49B6"/>
    <w:pPr>
      <w:keepNext/>
      <w:keepLines/>
      <w:spacing w:before="40" w:after="240"/>
      <w:ind w:left="72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A5407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List1,List11,Step Paragraph"/>
    <w:basedOn w:val="Normal"/>
    <w:link w:val="ListParagraphChar"/>
    <w:uiPriority w:val="34"/>
    <w:qFormat/>
    <w:rsid w:val="002910E6"/>
    <w:pPr>
      <w:ind w:left="720"/>
      <w:contextualSpacing/>
    </w:pPr>
  </w:style>
  <w:style w:type="character" w:styleId="Hyperlink">
    <w:name w:val="Hyperlink"/>
    <w:uiPriority w:val="99"/>
    <w:unhideWhenUsed/>
    <w:rsid w:val="00EC52D2"/>
    <w:rPr>
      <w:color w:val="0000FF"/>
      <w:u w:val="single"/>
    </w:rPr>
  </w:style>
  <w:style w:type="paragraph" w:styleId="Header">
    <w:name w:val="header"/>
    <w:basedOn w:val="Normal"/>
    <w:link w:val="HeaderChar"/>
    <w:uiPriority w:val="99"/>
    <w:unhideWhenUsed/>
    <w:rsid w:val="002113D4"/>
    <w:pPr>
      <w:tabs>
        <w:tab w:val="center" w:pos="4680"/>
        <w:tab w:val="right" w:pos="9360"/>
      </w:tabs>
    </w:pPr>
  </w:style>
  <w:style w:type="character" w:customStyle="1" w:styleId="HeaderChar">
    <w:name w:val="Header Char"/>
    <w:basedOn w:val="DefaultParagraphFont"/>
    <w:link w:val="Header"/>
    <w:uiPriority w:val="99"/>
    <w:rsid w:val="002113D4"/>
  </w:style>
  <w:style w:type="paragraph" w:styleId="Footer">
    <w:name w:val="footer"/>
    <w:basedOn w:val="Normal"/>
    <w:link w:val="FooterChar"/>
    <w:uiPriority w:val="99"/>
    <w:unhideWhenUsed/>
    <w:rsid w:val="002113D4"/>
    <w:pPr>
      <w:tabs>
        <w:tab w:val="center" w:pos="4680"/>
        <w:tab w:val="right" w:pos="9360"/>
      </w:tabs>
    </w:pPr>
  </w:style>
  <w:style w:type="character" w:customStyle="1" w:styleId="FooterChar">
    <w:name w:val="Footer Char"/>
    <w:basedOn w:val="DefaultParagraphFont"/>
    <w:link w:val="Footer"/>
    <w:uiPriority w:val="99"/>
    <w:rsid w:val="002113D4"/>
  </w:style>
  <w:style w:type="paragraph" w:styleId="BalloonText">
    <w:name w:val="Balloon Text"/>
    <w:basedOn w:val="Normal"/>
    <w:link w:val="BalloonTextChar"/>
    <w:uiPriority w:val="99"/>
    <w:semiHidden/>
    <w:unhideWhenUsed/>
    <w:rsid w:val="004A4075"/>
    <w:rPr>
      <w:rFonts w:ascii="Calibri" w:hAnsi="Calibri" w:cs="Tahoma"/>
      <w:sz w:val="20"/>
      <w:szCs w:val="16"/>
    </w:rPr>
  </w:style>
  <w:style w:type="character" w:customStyle="1" w:styleId="BalloonTextChar">
    <w:name w:val="Balloon Text Char"/>
    <w:link w:val="BalloonText"/>
    <w:uiPriority w:val="99"/>
    <w:semiHidden/>
    <w:rsid w:val="004A4075"/>
    <w:rPr>
      <w:rFonts w:ascii="Calibri" w:hAnsi="Calibri" w:cs="Tahoma"/>
      <w:szCs w:val="16"/>
    </w:rPr>
  </w:style>
  <w:style w:type="character" w:styleId="FollowedHyperlink">
    <w:name w:val="FollowedHyperlink"/>
    <w:uiPriority w:val="99"/>
    <w:semiHidden/>
    <w:unhideWhenUsed/>
    <w:rsid w:val="00A662B9"/>
    <w:rPr>
      <w:color w:val="800080"/>
      <w:u w:val="single"/>
    </w:rPr>
  </w:style>
  <w:style w:type="paragraph" w:styleId="List4">
    <w:name w:val="List 4"/>
    <w:basedOn w:val="Normal"/>
    <w:rsid w:val="0009408F"/>
    <w:pPr>
      <w:ind w:left="1440" w:hanging="360"/>
    </w:pPr>
    <w:rPr>
      <w:rFonts w:ascii="Times New Roman" w:eastAsia="Times New Roman" w:hAnsi="Times New Roman"/>
      <w:szCs w:val="20"/>
    </w:rPr>
  </w:style>
  <w:style w:type="paragraph" w:customStyle="1" w:styleId="CM88">
    <w:name w:val="CM88"/>
    <w:basedOn w:val="Normal"/>
    <w:next w:val="Normal"/>
    <w:uiPriority w:val="99"/>
    <w:rsid w:val="00D660B8"/>
    <w:pPr>
      <w:widowControl w:val="0"/>
      <w:autoSpaceDE w:val="0"/>
      <w:autoSpaceDN w:val="0"/>
      <w:adjustRightInd w:val="0"/>
    </w:pPr>
    <w:rPr>
      <w:rFonts w:ascii="MKJJO B+ New Century Schlbk" w:eastAsia="Times New Roman" w:hAnsi="MKJJO B+ New Century Schlbk"/>
      <w:szCs w:val="24"/>
    </w:rPr>
  </w:style>
  <w:style w:type="paragraph" w:customStyle="1" w:styleId="WPDefaults">
    <w:name w:val="WP Defaults"/>
    <w:rsid w:val="00287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rFonts w:ascii="Courier" w:eastAsia="Times New Roman" w:hAnsi="Courier"/>
    </w:rPr>
  </w:style>
  <w:style w:type="character" w:styleId="CommentReference">
    <w:name w:val="annotation reference"/>
    <w:uiPriority w:val="99"/>
    <w:semiHidden/>
    <w:unhideWhenUsed/>
    <w:rsid w:val="00B62AB8"/>
    <w:rPr>
      <w:sz w:val="16"/>
      <w:szCs w:val="16"/>
    </w:rPr>
  </w:style>
  <w:style w:type="paragraph" w:styleId="CommentText">
    <w:name w:val="annotation text"/>
    <w:basedOn w:val="Normal"/>
    <w:link w:val="CommentTextChar"/>
    <w:uiPriority w:val="99"/>
    <w:unhideWhenUsed/>
    <w:rsid w:val="00B62AB8"/>
    <w:rPr>
      <w:sz w:val="20"/>
      <w:szCs w:val="20"/>
    </w:rPr>
  </w:style>
  <w:style w:type="character" w:customStyle="1" w:styleId="CommentTextChar">
    <w:name w:val="Comment Text Char"/>
    <w:basedOn w:val="DefaultParagraphFont"/>
    <w:link w:val="CommentText"/>
    <w:uiPriority w:val="99"/>
    <w:rsid w:val="00B62AB8"/>
  </w:style>
  <w:style w:type="paragraph" w:styleId="CommentSubject">
    <w:name w:val="annotation subject"/>
    <w:basedOn w:val="CommentText"/>
    <w:next w:val="CommentText"/>
    <w:link w:val="CommentSubjectChar"/>
    <w:uiPriority w:val="99"/>
    <w:semiHidden/>
    <w:unhideWhenUsed/>
    <w:rsid w:val="00B62AB8"/>
    <w:rPr>
      <w:b/>
      <w:bCs/>
    </w:rPr>
  </w:style>
  <w:style w:type="character" w:customStyle="1" w:styleId="CommentSubjectChar">
    <w:name w:val="Comment Subject Char"/>
    <w:link w:val="CommentSubject"/>
    <w:uiPriority w:val="99"/>
    <w:semiHidden/>
    <w:rsid w:val="00B62AB8"/>
    <w:rPr>
      <w:b/>
      <w:bCs/>
    </w:rPr>
  </w:style>
  <w:style w:type="paragraph" w:styleId="List3">
    <w:name w:val="List 3"/>
    <w:basedOn w:val="Normal"/>
    <w:rsid w:val="00582C2F"/>
    <w:pPr>
      <w:widowControl w:val="0"/>
      <w:ind w:left="1080" w:hanging="360"/>
      <w:contextualSpacing/>
    </w:pPr>
    <w:rPr>
      <w:rFonts w:eastAsia="Times New Roman"/>
      <w:snapToGrid w:val="0"/>
      <w:szCs w:val="20"/>
    </w:rPr>
  </w:style>
  <w:style w:type="paragraph" w:styleId="Revision">
    <w:name w:val="Revision"/>
    <w:hidden/>
    <w:uiPriority w:val="99"/>
    <w:semiHidden/>
    <w:rsid w:val="002150FE"/>
  </w:style>
  <w:style w:type="paragraph" w:styleId="BodyTextIndent2">
    <w:name w:val="Body Text Indent 2"/>
    <w:basedOn w:val="Normal"/>
    <w:link w:val="BodyTextIndent2Char"/>
    <w:rsid w:val="002150FE"/>
    <w:pPr>
      <w:widowControl w:val="0"/>
      <w:ind w:left="2250"/>
      <w:jc w:val="both"/>
    </w:pPr>
    <w:rPr>
      <w:rFonts w:ascii="CG Times" w:eastAsia="Times New Roman" w:hAnsi="CG Times"/>
      <w:snapToGrid w:val="0"/>
      <w:szCs w:val="20"/>
    </w:rPr>
  </w:style>
  <w:style w:type="character" w:customStyle="1" w:styleId="BodyTextIndent2Char">
    <w:name w:val="Body Text Indent 2 Char"/>
    <w:link w:val="BodyTextIndent2"/>
    <w:rsid w:val="002150FE"/>
    <w:rPr>
      <w:rFonts w:ascii="CG Times" w:eastAsia="Times New Roman" w:hAnsi="CG Times"/>
      <w:snapToGrid w:val="0"/>
      <w:sz w:val="24"/>
    </w:rPr>
  </w:style>
  <w:style w:type="paragraph" w:styleId="BodyTextIndent3">
    <w:name w:val="Body Text Indent 3"/>
    <w:basedOn w:val="Normal"/>
    <w:link w:val="BodyTextIndent3Char"/>
    <w:rsid w:val="002150FE"/>
    <w:pPr>
      <w:widowControl w:val="0"/>
      <w:tabs>
        <w:tab w:val="left" w:pos="-1440"/>
      </w:tabs>
      <w:ind w:left="1890" w:hanging="1170"/>
      <w:jc w:val="both"/>
    </w:pPr>
    <w:rPr>
      <w:rFonts w:ascii="CG Times" w:eastAsia="Times New Roman" w:hAnsi="CG Times"/>
      <w:snapToGrid w:val="0"/>
      <w:szCs w:val="20"/>
    </w:rPr>
  </w:style>
  <w:style w:type="character" w:customStyle="1" w:styleId="BodyTextIndent3Char">
    <w:name w:val="Body Text Indent 3 Char"/>
    <w:link w:val="BodyTextIndent3"/>
    <w:rsid w:val="002150FE"/>
    <w:rPr>
      <w:rFonts w:ascii="CG Times" w:eastAsia="Times New Roman" w:hAnsi="CG Times"/>
      <w:snapToGrid w:val="0"/>
      <w:sz w:val="24"/>
    </w:rPr>
  </w:style>
  <w:style w:type="paragraph" w:styleId="BodyText">
    <w:name w:val="Body Text"/>
    <w:basedOn w:val="Normal"/>
    <w:link w:val="BodyTextChar"/>
    <w:rsid w:val="002150FE"/>
    <w:pPr>
      <w:widowControl w:val="0"/>
      <w:jc w:val="both"/>
    </w:pPr>
    <w:rPr>
      <w:rFonts w:eastAsia="Times New Roman" w:cs="Arial"/>
      <w:snapToGrid w:val="0"/>
      <w:szCs w:val="20"/>
    </w:rPr>
  </w:style>
  <w:style w:type="character" w:customStyle="1" w:styleId="BodyTextChar">
    <w:name w:val="Body Text Char"/>
    <w:link w:val="BodyText"/>
    <w:rsid w:val="002150FE"/>
    <w:rPr>
      <w:rFonts w:eastAsia="Times New Roman" w:cs="Arial"/>
      <w:snapToGrid w:val="0"/>
      <w:sz w:val="24"/>
    </w:rPr>
  </w:style>
  <w:style w:type="character" w:styleId="PageNumber">
    <w:name w:val="page number"/>
    <w:rsid w:val="002150FE"/>
  </w:style>
  <w:style w:type="paragraph" w:customStyle="1" w:styleId="Heading11">
    <w:name w:val="Heading 1.1"/>
    <w:basedOn w:val="Header"/>
    <w:rsid w:val="00FC2FC1"/>
    <w:pPr>
      <w:widowControl w:val="0"/>
      <w:tabs>
        <w:tab w:val="clear" w:pos="4680"/>
        <w:tab w:val="clear" w:pos="9360"/>
        <w:tab w:val="center" w:pos="4320"/>
        <w:tab w:val="right" w:pos="8640"/>
      </w:tabs>
    </w:pPr>
    <w:rPr>
      <w:rFonts w:eastAsia="Times New Roman"/>
      <w:b/>
      <w:snapToGrid w:val="0"/>
      <w:sz w:val="40"/>
      <w:szCs w:val="20"/>
    </w:rPr>
  </w:style>
  <w:style w:type="paragraph" w:customStyle="1" w:styleId="Normal1">
    <w:name w:val="Normal1"/>
    <w:basedOn w:val="Normal"/>
    <w:rsid w:val="00775FE2"/>
    <w:pPr>
      <w:spacing w:after="160" w:line="240" w:lineRule="atLeast"/>
    </w:pPr>
    <w:rPr>
      <w:rFonts w:ascii="Calibri" w:eastAsia="Times New Roman" w:hAnsi="Calibri"/>
      <w:sz w:val="22"/>
    </w:rPr>
  </w:style>
  <w:style w:type="character" w:customStyle="1" w:styleId="normalchar1">
    <w:name w:val="normal__char1"/>
    <w:rsid w:val="00775FE2"/>
    <w:rPr>
      <w:rFonts w:ascii="Calibri" w:hAnsi="Calibri" w:hint="default"/>
      <w:sz w:val="22"/>
      <w:szCs w:val="22"/>
    </w:rPr>
  </w:style>
  <w:style w:type="paragraph" w:customStyle="1" w:styleId="Default">
    <w:name w:val="Default"/>
    <w:rsid w:val="00AB26E3"/>
    <w:pPr>
      <w:autoSpaceDE w:val="0"/>
      <w:autoSpaceDN w:val="0"/>
      <w:adjustRightInd w:val="0"/>
    </w:pPr>
    <w:rPr>
      <w:rFonts w:ascii="AvantGarde" w:hAnsi="AvantGarde" w:cs="AvantGarde"/>
      <w:color w:val="000000"/>
      <w:szCs w:val="24"/>
    </w:rPr>
  </w:style>
  <w:style w:type="paragraph" w:customStyle="1" w:styleId="rfasub-title">
    <w:name w:val="rfasub-title"/>
    <w:basedOn w:val="Normal"/>
    <w:rsid w:val="007E21F1"/>
    <w:pPr>
      <w:spacing w:before="100" w:beforeAutospacing="1" w:after="100" w:afterAutospacing="1"/>
    </w:pPr>
    <w:rPr>
      <w:rFonts w:ascii="Arial Unicode MS" w:eastAsia="Arial Unicode MS" w:hAnsi="Arial Unicode MS" w:cs="Arial Unicode MS"/>
      <w:szCs w:val="24"/>
    </w:rPr>
  </w:style>
  <w:style w:type="character" w:customStyle="1" w:styleId="Heading1Char">
    <w:name w:val="Heading 1 Char"/>
    <w:link w:val="Heading1"/>
    <w:uiPriority w:val="9"/>
    <w:rsid w:val="001D004A"/>
    <w:rPr>
      <w:rFonts w:eastAsia="Times New Roman" w:cs="Arial"/>
      <w:b/>
      <w:bCs/>
      <w:kern w:val="32"/>
      <w:sz w:val="44"/>
      <w:szCs w:val="44"/>
    </w:rPr>
  </w:style>
  <w:style w:type="paragraph" w:styleId="TOCHeading">
    <w:name w:val="TOC Heading"/>
    <w:basedOn w:val="Heading1"/>
    <w:next w:val="Normal"/>
    <w:uiPriority w:val="39"/>
    <w:unhideWhenUsed/>
    <w:qFormat/>
    <w:rsid w:val="00BF2B9B"/>
    <w:pPr>
      <w:keepLines/>
      <w:spacing w:line="259" w:lineRule="auto"/>
      <w:outlineLvl w:val="9"/>
    </w:pPr>
    <w:rPr>
      <w:b w:val="0"/>
      <w:bCs w:val="0"/>
      <w:color w:val="2E74B5"/>
      <w:kern w:val="0"/>
    </w:rPr>
  </w:style>
  <w:style w:type="paragraph" w:styleId="TOC1">
    <w:name w:val="toc 1"/>
    <w:basedOn w:val="Normal"/>
    <w:next w:val="Normal"/>
    <w:autoRedefine/>
    <w:uiPriority w:val="39"/>
    <w:unhideWhenUsed/>
    <w:rsid w:val="008933DB"/>
    <w:pPr>
      <w:tabs>
        <w:tab w:val="right" w:leader="dot" w:pos="10344"/>
      </w:tabs>
    </w:pPr>
  </w:style>
  <w:style w:type="character" w:customStyle="1" w:styleId="Heading2Char">
    <w:name w:val="Heading 2 Char"/>
    <w:link w:val="Heading2"/>
    <w:rsid w:val="00E43B4A"/>
    <w:rPr>
      <w:rFonts w:eastAsia="Times New Roman" w:cs="Arial"/>
      <w:b/>
      <w:bCs/>
      <w:iCs/>
      <w:sz w:val="40"/>
      <w:szCs w:val="40"/>
    </w:rPr>
  </w:style>
  <w:style w:type="paragraph" w:styleId="TOC2">
    <w:name w:val="toc 2"/>
    <w:basedOn w:val="Normal"/>
    <w:next w:val="Normal"/>
    <w:autoRedefine/>
    <w:uiPriority w:val="39"/>
    <w:unhideWhenUsed/>
    <w:rsid w:val="008933DB"/>
    <w:pPr>
      <w:tabs>
        <w:tab w:val="right" w:leader="dot" w:pos="10344"/>
      </w:tabs>
      <w:ind w:left="240"/>
    </w:pPr>
  </w:style>
  <w:style w:type="character" w:customStyle="1" w:styleId="Heading3Char">
    <w:name w:val="Heading 3 Char"/>
    <w:basedOn w:val="DefaultParagraphFont"/>
    <w:link w:val="Heading3"/>
    <w:uiPriority w:val="9"/>
    <w:rsid w:val="00F67ED5"/>
    <w:rPr>
      <w:b/>
      <w:snapToGrid w:val="0"/>
      <w:sz w:val="36"/>
      <w:szCs w:val="36"/>
    </w:rPr>
  </w:style>
  <w:style w:type="paragraph" w:styleId="BodyTextIndent">
    <w:name w:val="Body Text Indent"/>
    <w:basedOn w:val="Normal"/>
    <w:link w:val="BodyTextIndentChar"/>
    <w:uiPriority w:val="99"/>
    <w:semiHidden/>
    <w:unhideWhenUsed/>
    <w:rsid w:val="00B54C0C"/>
    <w:pPr>
      <w:spacing w:after="120"/>
      <w:ind w:left="360"/>
    </w:pPr>
  </w:style>
  <w:style w:type="character" w:customStyle="1" w:styleId="BodyTextIndentChar">
    <w:name w:val="Body Text Indent Char"/>
    <w:basedOn w:val="DefaultParagraphFont"/>
    <w:link w:val="BodyTextIndent"/>
    <w:uiPriority w:val="99"/>
    <w:semiHidden/>
    <w:rsid w:val="00B54C0C"/>
    <w:rPr>
      <w:sz w:val="24"/>
      <w:szCs w:val="22"/>
    </w:rPr>
  </w:style>
  <w:style w:type="paragraph" w:customStyle="1" w:styleId="RFAsub-title0">
    <w:name w:val="RFA ### sub-title"/>
    <w:basedOn w:val="Normal"/>
    <w:rsid w:val="00B54C0C"/>
    <w:pPr>
      <w:ind w:left="2160"/>
    </w:pPr>
    <w:rPr>
      <w:rFonts w:ascii="Times New Roman" w:hAnsi="Times New Roman"/>
      <w:sz w:val="20"/>
      <w:szCs w:val="20"/>
    </w:rPr>
  </w:style>
  <w:style w:type="character" w:styleId="FootnoteReference">
    <w:name w:val="footnote reference"/>
    <w:semiHidden/>
    <w:rsid w:val="00D15B08"/>
  </w:style>
  <w:style w:type="paragraph" w:styleId="Title">
    <w:name w:val="Title"/>
    <w:basedOn w:val="Heading1"/>
    <w:next w:val="Normal"/>
    <w:link w:val="TitleChar"/>
    <w:uiPriority w:val="10"/>
    <w:qFormat/>
    <w:rsid w:val="00937AC7"/>
    <w:pPr>
      <w:spacing w:before="0"/>
    </w:pPr>
    <w:rPr>
      <w:sz w:val="40"/>
      <w:szCs w:val="40"/>
    </w:rPr>
  </w:style>
  <w:style w:type="character" w:customStyle="1" w:styleId="TitleChar">
    <w:name w:val="Title Char"/>
    <w:basedOn w:val="DefaultParagraphFont"/>
    <w:link w:val="Title"/>
    <w:uiPriority w:val="10"/>
    <w:rsid w:val="00937AC7"/>
    <w:rPr>
      <w:rFonts w:eastAsia="Times New Roman" w:cs="Arial"/>
      <w:b/>
      <w:bCs/>
      <w:kern w:val="32"/>
      <w:sz w:val="40"/>
      <w:szCs w:val="40"/>
    </w:rPr>
  </w:style>
  <w:style w:type="paragraph" w:styleId="Subtitle">
    <w:name w:val="Subtitle"/>
    <w:basedOn w:val="Normal"/>
    <w:next w:val="Normal"/>
    <w:link w:val="SubtitleChar"/>
    <w:uiPriority w:val="11"/>
    <w:qFormat/>
    <w:rsid w:val="00937AC7"/>
    <w:pPr>
      <w:autoSpaceDE w:val="0"/>
      <w:autoSpaceDN w:val="0"/>
      <w:adjustRightInd w:val="0"/>
      <w:jc w:val="center"/>
    </w:pPr>
    <w:rPr>
      <w:rFonts w:cs="Arial"/>
      <w:color w:val="000000"/>
      <w:sz w:val="36"/>
      <w:szCs w:val="36"/>
    </w:rPr>
  </w:style>
  <w:style w:type="character" w:customStyle="1" w:styleId="SubtitleChar">
    <w:name w:val="Subtitle Char"/>
    <w:basedOn w:val="DefaultParagraphFont"/>
    <w:link w:val="Subtitle"/>
    <w:uiPriority w:val="11"/>
    <w:rsid w:val="00937AC7"/>
    <w:rPr>
      <w:rFonts w:cs="Arial"/>
      <w:color w:val="000000"/>
      <w:sz w:val="36"/>
      <w:szCs w:val="36"/>
    </w:rPr>
  </w:style>
  <w:style w:type="paragraph" w:customStyle="1" w:styleId="ContactInformation">
    <w:name w:val="Contact Information"/>
    <w:basedOn w:val="Normal"/>
    <w:link w:val="ContactInformationChar"/>
    <w:qFormat/>
    <w:rsid w:val="00937AC7"/>
    <w:pPr>
      <w:jc w:val="center"/>
    </w:pPr>
    <w:rPr>
      <w:rFonts w:cs="Arial"/>
      <w:sz w:val="36"/>
      <w:szCs w:val="36"/>
    </w:rPr>
  </w:style>
  <w:style w:type="character" w:customStyle="1" w:styleId="ContactInformationChar">
    <w:name w:val="Contact Information Char"/>
    <w:basedOn w:val="DefaultParagraphFont"/>
    <w:link w:val="ContactInformation"/>
    <w:rsid w:val="00937AC7"/>
    <w:rPr>
      <w:rFonts w:cs="Arial"/>
      <w:sz w:val="36"/>
      <w:szCs w:val="36"/>
    </w:rPr>
  </w:style>
  <w:style w:type="table" w:styleId="TableGrid">
    <w:name w:val="Table Grid"/>
    <w:basedOn w:val="TableNormal"/>
    <w:uiPriority w:val="59"/>
    <w:rsid w:val="00205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3C35"/>
    <w:pPr>
      <w:spacing w:before="150" w:after="150"/>
    </w:pPr>
    <w:rPr>
      <w:rFonts w:ascii="Times New Roman" w:eastAsia="Times New Roman" w:hAnsi="Times New Roman"/>
      <w:szCs w:val="24"/>
    </w:rPr>
  </w:style>
  <w:style w:type="character" w:styleId="Strong">
    <w:name w:val="Strong"/>
    <w:basedOn w:val="DefaultParagraphFont"/>
    <w:uiPriority w:val="22"/>
    <w:qFormat/>
    <w:rsid w:val="008237C0"/>
    <w:rPr>
      <w:rFonts w:ascii="Arial" w:hAnsi="Arial"/>
      <w:b/>
      <w:bCs/>
    </w:rPr>
  </w:style>
  <w:style w:type="paragraph" w:styleId="NoSpacing">
    <w:name w:val="No Spacing"/>
    <w:uiPriority w:val="1"/>
    <w:qFormat/>
    <w:rsid w:val="00DE1CC5"/>
  </w:style>
  <w:style w:type="character" w:customStyle="1" w:styleId="Heading4Char">
    <w:name w:val="Heading 4 Char"/>
    <w:basedOn w:val="DefaultParagraphFont"/>
    <w:link w:val="Heading4"/>
    <w:uiPriority w:val="9"/>
    <w:rsid w:val="00DE2038"/>
    <w:rPr>
      <w:rFonts w:eastAsiaTheme="majorEastAsia" w:cstheme="majorBidi"/>
      <w:iCs/>
      <w:sz w:val="28"/>
      <w:szCs w:val="28"/>
    </w:rPr>
  </w:style>
  <w:style w:type="character" w:customStyle="1" w:styleId="Heading5Char">
    <w:name w:val="Heading 5 Char"/>
    <w:basedOn w:val="DefaultParagraphFont"/>
    <w:link w:val="Heading5"/>
    <w:uiPriority w:val="9"/>
    <w:rsid w:val="008A49B6"/>
    <w:rPr>
      <w:rFonts w:eastAsiaTheme="majorEastAsia" w:cstheme="majorBidi"/>
      <w:i/>
      <w:sz w:val="28"/>
    </w:rPr>
  </w:style>
  <w:style w:type="paragraph" w:styleId="Quote">
    <w:name w:val="Quote"/>
    <w:basedOn w:val="Normal"/>
    <w:next w:val="Normal"/>
    <w:link w:val="QuoteChar"/>
    <w:autoRedefine/>
    <w:uiPriority w:val="29"/>
    <w:qFormat/>
    <w:rsid w:val="008237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37C0"/>
    <w:rPr>
      <w:i/>
      <w:iCs/>
      <w:color w:val="404040" w:themeColor="text1" w:themeTint="BF"/>
    </w:rPr>
  </w:style>
  <w:style w:type="paragraph" w:styleId="TOC3">
    <w:name w:val="toc 3"/>
    <w:basedOn w:val="Normal"/>
    <w:next w:val="Normal"/>
    <w:autoRedefine/>
    <w:uiPriority w:val="39"/>
    <w:unhideWhenUsed/>
    <w:rsid w:val="003616B1"/>
    <w:pPr>
      <w:spacing w:after="100"/>
      <w:ind w:left="480"/>
    </w:pPr>
  </w:style>
  <w:style w:type="character" w:customStyle="1" w:styleId="Heading6Char">
    <w:name w:val="Heading 6 Char"/>
    <w:basedOn w:val="DefaultParagraphFont"/>
    <w:link w:val="Heading6"/>
    <w:uiPriority w:val="9"/>
    <w:rsid w:val="00A54076"/>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A262B4"/>
    <w:rPr>
      <w:i/>
      <w:iCs/>
    </w:rPr>
  </w:style>
  <w:style w:type="character" w:styleId="UnresolvedMention">
    <w:name w:val="Unresolved Mention"/>
    <w:basedOn w:val="DefaultParagraphFont"/>
    <w:uiPriority w:val="99"/>
    <w:semiHidden/>
    <w:unhideWhenUsed/>
    <w:rsid w:val="008528F3"/>
    <w:rPr>
      <w:color w:val="605E5C"/>
      <w:shd w:val="clear" w:color="auto" w:fill="E1DFDD"/>
    </w:rPr>
  </w:style>
  <w:style w:type="character" w:customStyle="1" w:styleId="ListParagraphChar">
    <w:name w:val="List Paragraph Char"/>
    <w:aliases w:val="list Char,List1 Char,List11 Char,Step Paragraph Char"/>
    <w:link w:val="ListParagraph"/>
    <w:uiPriority w:val="34"/>
    <w:locked/>
    <w:rsid w:val="006C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83">
      <w:bodyDiv w:val="1"/>
      <w:marLeft w:val="0"/>
      <w:marRight w:val="0"/>
      <w:marTop w:val="0"/>
      <w:marBottom w:val="0"/>
      <w:divBdr>
        <w:top w:val="none" w:sz="0" w:space="0" w:color="auto"/>
        <w:left w:val="none" w:sz="0" w:space="0" w:color="auto"/>
        <w:bottom w:val="none" w:sz="0" w:space="0" w:color="auto"/>
        <w:right w:val="none" w:sz="0" w:space="0" w:color="auto"/>
      </w:divBdr>
    </w:div>
    <w:div w:id="75253547">
      <w:bodyDiv w:val="1"/>
      <w:marLeft w:val="0"/>
      <w:marRight w:val="0"/>
      <w:marTop w:val="0"/>
      <w:marBottom w:val="0"/>
      <w:divBdr>
        <w:top w:val="none" w:sz="0" w:space="0" w:color="auto"/>
        <w:left w:val="none" w:sz="0" w:space="0" w:color="auto"/>
        <w:bottom w:val="none" w:sz="0" w:space="0" w:color="auto"/>
        <w:right w:val="none" w:sz="0" w:space="0" w:color="auto"/>
      </w:divBdr>
    </w:div>
    <w:div w:id="81143599">
      <w:bodyDiv w:val="1"/>
      <w:marLeft w:val="0"/>
      <w:marRight w:val="0"/>
      <w:marTop w:val="0"/>
      <w:marBottom w:val="0"/>
      <w:divBdr>
        <w:top w:val="none" w:sz="0" w:space="0" w:color="auto"/>
        <w:left w:val="none" w:sz="0" w:space="0" w:color="auto"/>
        <w:bottom w:val="none" w:sz="0" w:space="0" w:color="auto"/>
        <w:right w:val="none" w:sz="0" w:space="0" w:color="auto"/>
      </w:divBdr>
    </w:div>
    <w:div w:id="134032855">
      <w:bodyDiv w:val="1"/>
      <w:marLeft w:val="0"/>
      <w:marRight w:val="0"/>
      <w:marTop w:val="0"/>
      <w:marBottom w:val="0"/>
      <w:divBdr>
        <w:top w:val="none" w:sz="0" w:space="0" w:color="auto"/>
        <w:left w:val="none" w:sz="0" w:space="0" w:color="auto"/>
        <w:bottom w:val="none" w:sz="0" w:space="0" w:color="auto"/>
        <w:right w:val="none" w:sz="0" w:space="0" w:color="auto"/>
      </w:divBdr>
    </w:div>
    <w:div w:id="155346888">
      <w:bodyDiv w:val="1"/>
      <w:marLeft w:val="0"/>
      <w:marRight w:val="0"/>
      <w:marTop w:val="0"/>
      <w:marBottom w:val="0"/>
      <w:divBdr>
        <w:top w:val="none" w:sz="0" w:space="0" w:color="auto"/>
        <w:left w:val="none" w:sz="0" w:space="0" w:color="auto"/>
        <w:bottom w:val="none" w:sz="0" w:space="0" w:color="auto"/>
        <w:right w:val="none" w:sz="0" w:space="0" w:color="auto"/>
      </w:divBdr>
    </w:div>
    <w:div w:id="169804858">
      <w:bodyDiv w:val="1"/>
      <w:marLeft w:val="0"/>
      <w:marRight w:val="0"/>
      <w:marTop w:val="0"/>
      <w:marBottom w:val="0"/>
      <w:divBdr>
        <w:top w:val="none" w:sz="0" w:space="0" w:color="auto"/>
        <w:left w:val="none" w:sz="0" w:space="0" w:color="auto"/>
        <w:bottom w:val="none" w:sz="0" w:space="0" w:color="auto"/>
        <w:right w:val="none" w:sz="0" w:space="0" w:color="auto"/>
      </w:divBdr>
    </w:div>
    <w:div w:id="198517894">
      <w:bodyDiv w:val="1"/>
      <w:marLeft w:val="0"/>
      <w:marRight w:val="0"/>
      <w:marTop w:val="0"/>
      <w:marBottom w:val="0"/>
      <w:divBdr>
        <w:top w:val="none" w:sz="0" w:space="0" w:color="auto"/>
        <w:left w:val="none" w:sz="0" w:space="0" w:color="auto"/>
        <w:bottom w:val="none" w:sz="0" w:space="0" w:color="auto"/>
        <w:right w:val="none" w:sz="0" w:space="0" w:color="auto"/>
      </w:divBdr>
    </w:div>
    <w:div w:id="257450779">
      <w:bodyDiv w:val="1"/>
      <w:marLeft w:val="0"/>
      <w:marRight w:val="0"/>
      <w:marTop w:val="0"/>
      <w:marBottom w:val="0"/>
      <w:divBdr>
        <w:top w:val="none" w:sz="0" w:space="0" w:color="auto"/>
        <w:left w:val="none" w:sz="0" w:space="0" w:color="auto"/>
        <w:bottom w:val="none" w:sz="0" w:space="0" w:color="auto"/>
        <w:right w:val="none" w:sz="0" w:space="0" w:color="auto"/>
      </w:divBdr>
    </w:div>
    <w:div w:id="463542125">
      <w:bodyDiv w:val="1"/>
      <w:marLeft w:val="0"/>
      <w:marRight w:val="0"/>
      <w:marTop w:val="0"/>
      <w:marBottom w:val="0"/>
      <w:divBdr>
        <w:top w:val="none" w:sz="0" w:space="0" w:color="auto"/>
        <w:left w:val="none" w:sz="0" w:space="0" w:color="auto"/>
        <w:bottom w:val="none" w:sz="0" w:space="0" w:color="auto"/>
        <w:right w:val="none" w:sz="0" w:space="0" w:color="auto"/>
      </w:divBdr>
    </w:div>
    <w:div w:id="498276139">
      <w:bodyDiv w:val="1"/>
      <w:marLeft w:val="1440"/>
      <w:marRight w:val="1440"/>
      <w:marTop w:val="1440"/>
      <w:marBottom w:val="1440"/>
      <w:divBdr>
        <w:top w:val="none" w:sz="0" w:space="0" w:color="auto"/>
        <w:left w:val="none" w:sz="0" w:space="0" w:color="auto"/>
        <w:bottom w:val="none" w:sz="0" w:space="0" w:color="auto"/>
        <w:right w:val="none" w:sz="0" w:space="0" w:color="auto"/>
      </w:divBdr>
    </w:div>
    <w:div w:id="622854428">
      <w:bodyDiv w:val="1"/>
      <w:marLeft w:val="0"/>
      <w:marRight w:val="0"/>
      <w:marTop w:val="0"/>
      <w:marBottom w:val="0"/>
      <w:divBdr>
        <w:top w:val="none" w:sz="0" w:space="0" w:color="auto"/>
        <w:left w:val="none" w:sz="0" w:space="0" w:color="auto"/>
        <w:bottom w:val="none" w:sz="0" w:space="0" w:color="auto"/>
        <w:right w:val="none" w:sz="0" w:space="0" w:color="auto"/>
      </w:divBdr>
    </w:div>
    <w:div w:id="626090032">
      <w:bodyDiv w:val="1"/>
      <w:marLeft w:val="0"/>
      <w:marRight w:val="0"/>
      <w:marTop w:val="0"/>
      <w:marBottom w:val="0"/>
      <w:divBdr>
        <w:top w:val="none" w:sz="0" w:space="0" w:color="auto"/>
        <w:left w:val="none" w:sz="0" w:space="0" w:color="auto"/>
        <w:bottom w:val="none" w:sz="0" w:space="0" w:color="auto"/>
        <w:right w:val="none" w:sz="0" w:space="0" w:color="auto"/>
      </w:divBdr>
      <w:divsChild>
        <w:div w:id="1880776204">
          <w:marLeft w:val="0"/>
          <w:marRight w:val="0"/>
          <w:marTop w:val="0"/>
          <w:marBottom w:val="450"/>
          <w:divBdr>
            <w:top w:val="none" w:sz="0" w:space="0" w:color="auto"/>
            <w:left w:val="none" w:sz="0" w:space="0" w:color="auto"/>
            <w:bottom w:val="none" w:sz="0" w:space="0" w:color="auto"/>
            <w:right w:val="none" w:sz="0" w:space="0" w:color="auto"/>
          </w:divBdr>
          <w:divsChild>
            <w:div w:id="6391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9600">
      <w:bodyDiv w:val="1"/>
      <w:marLeft w:val="0"/>
      <w:marRight w:val="0"/>
      <w:marTop w:val="0"/>
      <w:marBottom w:val="0"/>
      <w:divBdr>
        <w:top w:val="none" w:sz="0" w:space="0" w:color="auto"/>
        <w:left w:val="none" w:sz="0" w:space="0" w:color="auto"/>
        <w:bottom w:val="none" w:sz="0" w:space="0" w:color="auto"/>
        <w:right w:val="none" w:sz="0" w:space="0" w:color="auto"/>
      </w:divBdr>
    </w:div>
    <w:div w:id="735975157">
      <w:bodyDiv w:val="1"/>
      <w:marLeft w:val="0"/>
      <w:marRight w:val="0"/>
      <w:marTop w:val="0"/>
      <w:marBottom w:val="0"/>
      <w:divBdr>
        <w:top w:val="none" w:sz="0" w:space="0" w:color="auto"/>
        <w:left w:val="none" w:sz="0" w:space="0" w:color="auto"/>
        <w:bottom w:val="none" w:sz="0" w:space="0" w:color="auto"/>
        <w:right w:val="none" w:sz="0" w:space="0" w:color="auto"/>
      </w:divBdr>
    </w:div>
    <w:div w:id="787118321">
      <w:bodyDiv w:val="1"/>
      <w:marLeft w:val="0"/>
      <w:marRight w:val="0"/>
      <w:marTop w:val="0"/>
      <w:marBottom w:val="0"/>
      <w:divBdr>
        <w:top w:val="none" w:sz="0" w:space="0" w:color="auto"/>
        <w:left w:val="none" w:sz="0" w:space="0" w:color="auto"/>
        <w:bottom w:val="none" w:sz="0" w:space="0" w:color="auto"/>
        <w:right w:val="none" w:sz="0" w:space="0" w:color="auto"/>
      </w:divBdr>
    </w:div>
    <w:div w:id="1132403395">
      <w:bodyDiv w:val="1"/>
      <w:marLeft w:val="0"/>
      <w:marRight w:val="0"/>
      <w:marTop w:val="0"/>
      <w:marBottom w:val="0"/>
      <w:divBdr>
        <w:top w:val="none" w:sz="0" w:space="0" w:color="auto"/>
        <w:left w:val="none" w:sz="0" w:space="0" w:color="auto"/>
        <w:bottom w:val="none" w:sz="0" w:space="0" w:color="auto"/>
        <w:right w:val="none" w:sz="0" w:space="0" w:color="auto"/>
      </w:divBdr>
    </w:div>
    <w:div w:id="1364744070">
      <w:bodyDiv w:val="1"/>
      <w:marLeft w:val="0"/>
      <w:marRight w:val="0"/>
      <w:marTop w:val="0"/>
      <w:marBottom w:val="0"/>
      <w:divBdr>
        <w:top w:val="none" w:sz="0" w:space="0" w:color="auto"/>
        <w:left w:val="none" w:sz="0" w:space="0" w:color="auto"/>
        <w:bottom w:val="none" w:sz="0" w:space="0" w:color="auto"/>
        <w:right w:val="none" w:sz="0" w:space="0" w:color="auto"/>
      </w:divBdr>
    </w:div>
    <w:div w:id="1581283937">
      <w:bodyDiv w:val="1"/>
      <w:marLeft w:val="0"/>
      <w:marRight w:val="0"/>
      <w:marTop w:val="0"/>
      <w:marBottom w:val="0"/>
      <w:divBdr>
        <w:top w:val="none" w:sz="0" w:space="0" w:color="auto"/>
        <w:left w:val="none" w:sz="0" w:space="0" w:color="auto"/>
        <w:bottom w:val="none" w:sz="0" w:space="0" w:color="auto"/>
        <w:right w:val="none" w:sz="0" w:space="0" w:color="auto"/>
      </w:divBdr>
    </w:div>
    <w:div w:id="1691755887">
      <w:bodyDiv w:val="1"/>
      <w:marLeft w:val="0"/>
      <w:marRight w:val="0"/>
      <w:marTop w:val="0"/>
      <w:marBottom w:val="0"/>
      <w:divBdr>
        <w:top w:val="none" w:sz="0" w:space="0" w:color="auto"/>
        <w:left w:val="none" w:sz="0" w:space="0" w:color="auto"/>
        <w:bottom w:val="none" w:sz="0" w:space="0" w:color="auto"/>
        <w:right w:val="none" w:sz="0" w:space="0" w:color="auto"/>
      </w:divBdr>
    </w:div>
    <w:div w:id="19287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OLS/Resources/Page-Content/Office-of-Legal-Services-Resources-List-Folder/Standard-Contract-Language" TargetMode="External"/><Relationship Id="rId18" Type="http://schemas.openxmlformats.org/officeDocument/2006/relationships/hyperlink" Target="https://caleprocure.ca.gov/pages/PublicSearch/supplier-search.aspx" TargetMode="External"/><Relationship Id="rId26" Type="http://schemas.openxmlformats.org/officeDocument/2006/relationships/hyperlink" Target="https://www.calhr.ca.gov/employees/pages/travel-reimbursements.aspx" TargetMode="External"/><Relationship Id="rId39" Type="http://schemas.openxmlformats.org/officeDocument/2006/relationships/hyperlink" Target="https://www.dgs.ca.gov/OLS/Resources/Page-Content/Office-of-Legal-Services-Resources-List-Folder/Standard-Contract-Language" TargetMode="External"/><Relationship Id="rId3" Type="http://schemas.openxmlformats.org/officeDocument/2006/relationships/styles" Target="styles.xml"/><Relationship Id="rId21" Type="http://schemas.openxmlformats.org/officeDocument/2006/relationships/hyperlink" Target="https://caleprocure.ca.gov/pages/PublicSearch/supplier-search.aspx" TargetMode="External"/><Relationship Id="rId34" Type="http://schemas.openxmlformats.org/officeDocument/2006/relationships/hyperlink" Target="mailto:OLSProtests@dgs.ca.gov" TargetMode="External"/><Relationship Id="rId42" Type="http://schemas.openxmlformats.org/officeDocument/2006/relationships/hyperlink" Target="http://nces.ed.gov/pubs2011/2011603.pdf" TargetMode="External"/><Relationship Id="rId47" Type="http://schemas.openxmlformats.org/officeDocument/2006/relationships/hyperlink" Target="https://leginfo.legislature.ca.gov/faces/codes_displaySection.xhtml?sectionNum=999.5.&amp;lawCode=MVC"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leprocure.ca.gov/pages/PublicSearch/supplier-search.aspx" TargetMode="External"/><Relationship Id="rId17" Type="http://schemas.openxmlformats.org/officeDocument/2006/relationships/hyperlink" Target="https://www.documents.dgs.ca.gov/dgs/fmc/gs/pd/gspd05-105.pdf" TargetMode="External"/><Relationship Id="rId25" Type="http://schemas.openxmlformats.org/officeDocument/2006/relationships/hyperlink" Target="https://www.calhr.ca.gov/employees/pages/travel-reimbursements.aspx" TargetMode="External"/><Relationship Id="rId33" Type="http://schemas.openxmlformats.org/officeDocument/2006/relationships/hyperlink" Target="mailto:CONTRACTSOFFICE@cde.ca.gov" TargetMode="External"/><Relationship Id="rId38" Type="http://schemas.openxmlformats.org/officeDocument/2006/relationships/hyperlink" Target="mailto:nmiddleton@cde.ca.gov" TargetMode="External"/><Relationship Id="rId46" Type="http://schemas.openxmlformats.org/officeDocument/2006/relationships/hyperlink" Target="https://leginfo.legislature.ca.gov/faces/codes_displaySection.xhtml?sectionNum=999.&amp;lawCode=MVC" TargetMode="External"/><Relationship Id="rId2" Type="http://schemas.openxmlformats.org/officeDocument/2006/relationships/numbering" Target="numbering.xml"/><Relationship Id="rId16" Type="http://schemas.openxmlformats.org/officeDocument/2006/relationships/hyperlink" Target="https://caleprocure.ca.gov/pages/PublicSearch/supplier-search.aspx" TargetMode="External"/><Relationship Id="rId20" Type="http://schemas.openxmlformats.org/officeDocument/2006/relationships/hyperlink" Target="https://www.documents.dgs.ca.gov/dgs/fmc/gs/pd/gspd05-105.pdf" TargetMode="External"/><Relationship Id="rId29" Type="http://schemas.openxmlformats.org/officeDocument/2006/relationships/hyperlink" Target="https://caleprocure.ca.gov/pages/Events-BS3/event-search.aspx" TargetMode="External"/><Relationship Id="rId41" Type="http://schemas.openxmlformats.org/officeDocument/2006/relationships/hyperlink" Target="mailto:ISO@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ments.dgs.ca.gov/dgs/fmc/gs/pd/gspd05-105.pdf" TargetMode="External"/><Relationship Id="rId24" Type="http://schemas.openxmlformats.org/officeDocument/2006/relationships/hyperlink" Target="http://www.documents.dgs.ca.gov/dgs/fmc/pdf/std830.pdf" TargetMode="External"/><Relationship Id="rId32" Type="http://schemas.openxmlformats.org/officeDocument/2006/relationships/hyperlink" Target="mailto:JaBrown@cde.ca.gov" TargetMode="External"/><Relationship Id="rId37" Type="http://schemas.openxmlformats.org/officeDocument/2006/relationships/hyperlink" Target="http://www.cde.ca.gov/re/di/ws/webstandards.asp" TargetMode="External"/><Relationship Id="rId40" Type="http://schemas.openxmlformats.org/officeDocument/2006/relationships/hyperlink" Target="https://www.cde.ca.gov/re/di/ws/webstandards.asp" TargetMode="External"/><Relationship Id="rId45" Type="http://schemas.openxmlformats.org/officeDocument/2006/relationships/hyperlink" Target="https://www.cde.ca.gov/re/di/ws/webartproc.asp" TargetMode="External"/><Relationship Id="rId5" Type="http://schemas.openxmlformats.org/officeDocument/2006/relationships/webSettings" Target="webSettings.xml"/><Relationship Id="rId15" Type="http://schemas.openxmlformats.org/officeDocument/2006/relationships/hyperlink" Target="https://www.documents.dgs.ca.gov/dgs/fmc/pdf/std205.pdf" TargetMode="External"/><Relationship Id="rId23" Type="http://schemas.openxmlformats.org/officeDocument/2006/relationships/hyperlink" Target="https://www.dgs.ca.gov/PD/Services/Page-Content/Procurement-Division-Services-List-Folder/Request-Target-Area-Contract-Preference" TargetMode="External"/><Relationship Id="rId28" Type="http://schemas.openxmlformats.org/officeDocument/2006/relationships/hyperlink" Target="mailto:CONTRACTSOFFICE@cde.ca.gov" TargetMode="External"/><Relationship Id="rId36" Type="http://schemas.openxmlformats.org/officeDocument/2006/relationships/hyperlink" Target="http://www.cde.ca.gov/re/di/ws/webstandards.asp" TargetMode="External"/><Relationship Id="rId49" Type="http://schemas.openxmlformats.org/officeDocument/2006/relationships/hyperlink" Target="https://leginfo.legislature.ca.gov/faces/codes_displaySection.xhtml?sectionNum=10115.10.&amp;lawCode=PCC" TargetMode="External"/><Relationship Id="rId10" Type="http://schemas.openxmlformats.org/officeDocument/2006/relationships/hyperlink" Target="mailto:NMiddleton@cde.ca.gov" TargetMode="External"/><Relationship Id="rId19" Type="http://schemas.openxmlformats.org/officeDocument/2006/relationships/hyperlink" Target="https://www.dgs.ca.gov/PD/Resources/Page-Content/Procurement-Division-Resources-List-Folder/How-to-do-business-with-the-state-of-California" TargetMode="External"/><Relationship Id="rId31" Type="http://schemas.openxmlformats.org/officeDocument/2006/relationships/hyperlink" Target="http://www.cde.ca.gov/fg/fo/af" TargetMode="External"/><Relationship Id="rId44" Type="http://schemas.openxmlformats.org/officeDocument/2006/relationships/hyperlink" Target="https://www.cde.ca.gov/re/di/ws/webstandards.as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os.ca.gov/business-programs/business-entities/information-requests/" TargetMode="External"/><Relationship Id="rId14" Type="http://schemas.openxmlformats.org/officeDocument/2006/relationships/hyperlink" Target="http://www.documents.dgs.ca.gov/dgs/fmc/pdf/std204.pdf" TargetMode="External"/><Relationship Id="rId22" Type="http://schemas.openxmlformats.org/officeDocument/2006/relationships/hyperlink" Target="https://www.documents.dgs.ca.gov/dgs/fmc/gs/pd/pd_843.pdf" TargetMode="External"/><Relationship Id="rId27" Type="http://schemas.openxmlformats.org/officeDocument/2006/relationships/hyperlink" Target="https://www.dgs.ca.gov/OLS/Resources/Page-Content/Office-of-Legal-Services-Resources-List-Folder/Standard-Contract-Language" TargetMode="External"/><Relationship Id="rId30" Type="http://schemas.openxmlformats.org/officeDocument/2006/relationships/hyperlink" Target="http://www.cde.ca.gov/fg/fo/af" TargetMode="External"/><Relationship Id="rId35" Type="http://schemas.openxmlformats.org/officeDocument/2006/relationships/hyperlink" Target="http://www.cde.ca.gov/re/pn/st/" TargetMode="External"/><Relationship Id="rId43" Type="http://schemas.openxmlformats.org/officeDocument/2006/relationships/hyperlink" Target="http://www.w3.org/TR/WCAG20/" TargetMode="External"/><Relationship Id="rId48" Type="http://schemas.openxmlformats.org/officeDocument/2006/relationships/hyperlink" Target="https://leginfo.legislature.ca.gov/faces/codes_displaySection.xhtml?sectionNum=999.9.&amp;lawCode=MVC" TargetMode="External"/><Relationship Id="rId8" Type="http://schemas.openxmlformats.org/officeDocument/2006/relationships/hyperlink" Target="mailto:NMiddleton@cde.ca.gov"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C2DF-DDB7-4953-ADB5-6DCACCC7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27645</Words>
  <Characters>154261</Characters>
  <Application>Microsoft Office Word</Application>
  <DocSecurity>0</DocSecurity>
  <Lines>2448</Lines>
  <Paragraphs>932</Paragraphs>
  <ScaleCrop>false</ScaleCrop>
  <HeadingPairs>
    <vt:vector size="2" baseType="variant">
      <vt:variant>
        <vt:lpstr>Title</vt:lpstr>
      </vt:variant>
      <vt:variant>
        <vt:i4>1</vt:i4>
      </vt:variant>
    </vt:vector>
  </HeadingPairs>
  <TitlesOfParts>
    <vt:vector size="1" baseType="lpstr">
      <vt:lpstr>Request for Proposals - Federal Liaison Officer (CA Dept of Education)</vt:lpstr>
    </vt:vector>
  </TitlesOfParts>
  <Company/>
  <LinksUpToDate>false</LinksUpToDate>
  <CharactersWithSpaces>180974</CharactersWithSpaces>
  <SharedDoc>false</SharedDoc>
  <HLinks>
    <vt:vector size="204" baseType="variant">
      <vt:variant>
        <vt:i4>2883638</vt:i4>
      </vt:variant>
      <vt:variant>
        <vt:i4>141</vt:i4>
      </vt:variant>
      <vt:variant>
        <vt:i4>0</vt:i4>
      </vt:variant>
      <vt:variant>
        <vt:i4>5</vt:i4>
      </vt:variant>
      <vt:variant>
        <vt:lpwstr>http://www.documents.dgs.ca.gov/ols/GTC-610.doc</vt:lpwstr>
      </vt:variant>
      <vt:variant>
        <vt:lpwstr/>
      </vt:variant>
      <vt:variant>
        <vt:i4>4063331</vt:i4>
      </vt:variant>
      <vt:variant>
        <vt:i4>138</vt:i4>
      </vt:variant>
      <vt:variant>
        <vt:i4>0</vt:i4>
      </vt:variant>
      <vt:variant>
        <vt:i4>5</vt:i4>
      </vt:variant>
      <vt:variant>
        <vt:lpwstr>http://nces.ed.gov/pubs2011/2011603.pdf</vt:lpwstr>
      </vt:variant>
      <vt:variant>
        <vt:lpwstr/>
      </vt:variant>
      <vt:variant>
        <vt:i4>2752629</vt:i4>
      </vt:variant>
      <vt:variant>
        <vt:i4>135</vt:i4>
      </vt:variant>
      <vt:variant>
        <vt:i4>0</vt:i4>
      </vt:variant>
      <vt:variant>
        <vt:i4>5</vt:i4>
      </vt:variant>
      <vt:variant>
        <vt:lpwstr>http://www.cde.ca.gov/re/di/ws/webstandards.asp</vt:lpwstr>
      </vt:variant>
      <vt:variant>
        <vt:lpwstr/>
      </vt:variant>
      <vt:variant>
        <vt:i4>917580</vt:i4>
      </vt:variant>
      <vt:variant>
        <vt:i4>132</vt:i4>
      </vt:variant>
      <vt:variant>
        <vt:i4>0</vt:i4>
      </vt:variant>
      <vt:variant>
        <vt:i4>5</vt:i4>
      </vt:variant>
      <vt:variant>
        <vt:lpwstr>http://www.cde.ca.gov/fg/fo/</vt:lpwstr>
      </vt:variant>
      <vt:variant>
        <vt:lpwstr/>
      </vt:variant>
      <vt:variant>
        <vt:i4>6815789</vt:i4>
      </vt:variant>
      <vt:variant>
        <vt:i4>129</vt:i4>
      </vt:variant>
      <vt:variant>
        <vt:i4>0</vt:i4>
      </vt:variant>
      <vt:variant>
        <vt:i4>5</vt:i4>
      </vt:variant>
      <vt:variant>
        <vt:lpwstr>http://www.cde.ca.gov/fg/fo/af/</vt:lpwstr>
      </vt:variant>
      <vt:variant>
        <vt:lpwstr/>
      </vt:variant>
      <vt:variant>
        <vt:i4>1179652</vt:i4>
      </vt:variant>
      <vt:variant>
        <vt:i4>126</vt:i4>
      </vt:variant>
      <vt:variant>
        <vt:i4>0</vt:i4>
      </vt:variant>
      <vt:variant>
        <vt:i4>5</vt:i4>
      </vt:variant>
      <vt:variant>
        <vt:lpwstr>https://caleprocure.ca.gov/pages/Events-BS3/event-search.aspx</vt:lpwstr>
      </vt:variant>
      <vt:variant>
        <vt:lpwstr/>
      </vt:variant>
      <vt:variant>
        <vt:i4>2883638</vt:i4>
      </vt:variant>
      <vt:variant>
        <vt:i4>123</vt:i4>
      </vt:variant>
      <vt:variant>
        <vt:i4>0</vt:i4>
      </vt:variant>
      <vt:variant>
        <vt:i4>5</vt:i4>
      </vt:variant>
      <vt:variant>
        <vt:lpwstr>http://www.documents.dgs.ca.gov/ols/GTC-610.doc</vt:lpwstr>
      </vt:variant>
      <vt:variant>
        <vt:lpwstr/>
      </vt:variant>
      <vt:variant>
        <vt:i4>7667757</vt:i4>
      </vt:variant>
      <vt:variant>
        <vt:i4>120</vt:i4>
      </vt:variant>
      <vt:variant>
        <vt:i4>0</vt:i4>
      </vt:variant>
      <vt:variant>
        <vt:i4>5</vt:i4>
      </vt:variant>
      <vt:variant>
        <vt:lpwstr>http://www.dgs.ca.gov/pd/Home.aspx</vt:lpwstr>
      </vt:variant>
      <vt:variant>
        <vt:lpwstr/>
      </vt:variant>
      <vt:variant>
        <vt:i4>7667757</vt:i4>
      </vt:variant>
      <vt:variant>
        <vt:i4>117</vt:i4>
      </vt:variant>
      <vt:variant>
        <vt:i4>0</vt:i4>
      </vt:variant>
      <vt:variant>
        <vt:i4>5</vt:i4>
      </vt:variant>
      <vt:variant>
        <vt:lpwstr>http://www.dgs.ca.gov/pd/Home.aspx</vt:lpwstr>
      </vt:variant>
      <vt:variant>
        <vt:lpwstr/>
      </vt:variant>
      <vt:variant>
        <vt:i4>2097207</vt:i4>
      </vt:variant>
      <vt:variant>
        <vt:i4>114</vt:i4>
      </vt:variant>
      <vt:variant>
        <vt:i4>0</vt:i4>
      </vt:variant>
      <vt:variant>
        <vt:i4>5</vt:i4>
      </vt:variant>
      <vt:variant>
        <vt:lpwstr>http://www.documents.dgs.ca.gov/pd/delegations/GSPD105.pdf</vt:lpwstr>
      </vt:variant>
      <vt:variant>
        <vt:lpwstr/>
      </vt:variant>
      <vt:variant>
        <vt:i4>3866667</vt:i4>
      </vt:variant>
      <vt:variant>
        <vt:i4>111</vt:i4>
      </vt:variant>
      <vt:variant>
        <vt:i4>0</vt:i4>
      </vt:variant>
      <vt:variant>
        <vt:i4>5</vt:i4>
      </vt:variant>
      <vt:variant>
        <vt:lpwstr>http://www.documents.dgs.ca.gov/osp/pdf/std830.pdf</vt:lpwstr>
      </vt:variant>
      <vt:variant>
        <vt:lpwstr/>
      </vt:variant>
      <vt:variant>
        <vt:i4>3473448</vt:i4>
      </vt:variant>
      <vt:variant>
        <vt:i4>108</vt:i4>
      </vt:variant>
      <vt:variant>
        <vt:i4>0</vt:i4>
      </vt:variant>
      <vt:variant>
        <vt:i4>5</vt:i4>
      </vt:variant>
      <vt:variant>
        <vt:lpwstr>http://www.documents.dgs.ca.gov/osp/pdf/std204.pdf</vt:lpwstr>
      </vt:variant>
      <vt:variant>
        <vt:lpwstr/>
      </vt:variant>
      <vt:variant>
        <vt:i4>2293802</vt:i4>
      </vt:variant>
      <vt:variant>
        <vt:i4>105</vt:i4>
      </vt:variant>
      <vt:variant>
        <vt:i4>0</vt:i4>
      </vt:variant>
      <vt:variant>
        <vt:i4>5</vt:i4>
      </vt:variant>
      <vt:variant>
        <vt:lpwstr>https://caleprocure.ca.gov/pages/PublicSearch/supplier-search.aspx</vt:lpwstr>
      </vt:variant>
      <vt:variant>
        <vt:lpwstr/>
      </vt:variant>
      <vt:variant>
        <vt:i4>2097207</vt:i4>
      </vt:variant>
      <vt:variant>
        <vt:i4>102</vt:i4>
      </vt:variant>
      <vt:variant>
        <vt:i4>0</vt:i4>
      </vt:variant>
      <vt:variant>
        <vt:i4>5</vt:i4>
      </vt:variant>
      <vt:variant>
        <vt:lpwstr>http://www.documents.dgs.ca.gov/pd/delegations/GSPD105.pdf</vt:lpwstr>
      </vt:variant>
      <vt:variant>
        <vt:lpwstr/>
      </vt:variant>
      <vt:variant>
        <vt:i4>2293802</vt:i4>
      </vt:variant>
      <vt:variant>
        <vt:i4>99</vt:i4>
      </vt:variant>
      <vt:variant>
        <vt:i4>0</vt:i4>
      </vt:variant>
      <vt:variant>
        <vt:i4>5</vt:i4>
      </vt:variant>
      <vt:variant>
        <vt:lpwstr>https://caleprocure.ca.gov/pages/PublicSearch/supplier-search.aspx</vt:lpwstr>
      </vt:variant>
      <vt:variant>
        <vt:lpwstr/>
      </vt:variant>
      <vt:variant>
        <vt:i4>4325444</vt:i4>
      </vt:variant>
      <vt:variant>
        <vt:i4>96</vt:i4>
      </vt:variant>
      <vt:variant>
        <vt:i4>0</vt:i4>
      </vt:variant>
      <vt:variant>
        <vt:i4>5</vt:i4>
      </vt:variant>
      <vt:variant>
        <vt:lpwstr>http://www.dgs.ca.gov/ols/Resources/StandardContractLanguage.aspx</vt:lpwstr>
      </vt:variant>
      <vt:variant>
        <vt:lpwstr/>
      </vt:variant>
      <vt:variant>
        <vt:i4>3014772</vt:i4>
      </vt:variant>
      <vt:variant>
        <vt:i4>93</vt:i4>
      </vt:variant>
      <vt:variant>
        <vt:i4>0</vt:i4>
      </vt:variant>
      <vt:variant>
        <vt:i4>5</vt:i4>
      </vt:variant>
      <vt:variant>
        <vt:lpwstr>http://www.sos.ca.gov/business/be/information-requests.htm</vt:lpwstr>
      </vt:variant>
      <vt:variant>
        <vt:lpwstr/>
      </vt:variant>
      <vt:variant>
        <vt:i4>720984</vt:i4>
      </vt:variant>
      <vt:variant>
        <vt:i4>90</vt:i4>
      </vt:variant>
      <vt:variant>
        <vt:i4>0</vt:i4>
      </vt:variant>
      <vt:variant>
        <vt:i4>5</vt:i4>
      </vt:variant>
      <vt:variant>
        <vt:lpwstr>http://www.cde.ca.gov/re/di/ws/webaccessstds.asp</vt:lpwstr>
      </vt:variant>
      <vt:variant>
        <vt:lpwstr/>
      </vt:variant>
      <vt:variant>
        <vt:i4>2359400</vt:i4>
      </vt:variant>
      <vt:variant>
        <vt:i4>87</vt:i4>
      </vt:variant>
      <vt:variant>
        <vt:i4>0</vt:i4>
      </vt:variant>
      <vt:variant>
        <vt:i4>5</vt:i4>
      </vt:variant>
      <vt:variant>
        <vt:lpwstr>http://www.calpro-online.org/competencies/managementselfassessment.asp</vt:lpwstr>
      </vt:variant>
      <vt:variant>
        <vt:lpwstr/>
      </vt:variant>
      <vt:variant>
        <vt:i4>3735659</vt:i4>
      </vt:variant>
      <vt:variant>
        <vt:i4>84</vt:i4>
      </vt:variant>
      <vt:variant>
        <vt:i4>0</vt:i4>
      </vt:variant>
      <vt:variant>
        <vt:i4>5</vt:i4>
      </vt:variant>
      <vt:variant>
        <vt:lpwstr>http://www.calpro-online.org/competencies/instructorselfassessment.asp</vt:lpwstr>
      </vt:variant>
      <vt:variant>
        <vt:lpwstr/>
      </vt:variant>
      <vt:variant>
        <vt:i4>2752629</vt:i4>
      </vt:variant>
      <vt:variant>
        <vt:i4>81</vt:i4>
      </vt:variant>
      <vt:variant>
        <vt:i4>0</vt:i4>
      </vt:variant>
      <vt:variant>
        <vt:i4>5</vt:i4>
      </vt:variant>
      <vt:variant>
        <vt:lpwstr>http://www.cde.ca.gov/re/di/ws/webstandards.asp</vt:lpwstr>
      </vt:variant>
      <vt:variant>
        <vt:lpwstr/>
      </vt:variant>
      <vt:variant>
        <vt:i4>1376308</vt:i4>
      </vt:variant>
      <vt:variant>
        <vt:i4>74</vt:i4>
      </vt:variant>
      <vt:variant>
        <vt:i4>0</vt:i4>
      </vt:variant>
      <vt:variant>
        <vt:i4>5</vt:i4>
      </vt:variant>
      <vt:variant>
        <vt:lpwstr/>
      </vt:variant>
      <vt:variant>
        <vt:lpwstr>_Toc500424329</vt:lpwstr>
      </vt:variant>
      <vt:variant>
        <vt:i4>1376308</vt:i4>
      </vt:variant>
      <vt:variant>
        <vt:i4>68</vt:i4>
      </vt:variant>
      <vt:variant>
        <vt:i4>0</vt:i4>
      </vt:variant>
      <vt:variant>
        <vt:i4>5</vt:i4>
      </vt:variant>
      <vt:variant>
        <vt:lpwstr/>
      </vt:variant>
      <vt:variant>
        <vt:lpwstr>_Toc500424328</vt:lpwstr>
      </vt:variant>
      <vt:variant>
        <vt:i4>1376308</vt:i4>
      </vt:variant>
      <vt:variant>
        <vt:i4>62</vt:i4>
      </vt:variant>
      <vt:variant>
        <vt:i4>0</vt:i4>
      </vt:variant>
      <vt:variant>
        <vt:i4>5</vt:i4>
      </vt:variant>
      <vt:variant>
        <vt:lpwstr/>
      </vt:variant>
      <vt:variant>
        <vt:lpwstr>_Toc500424327</vt:lpwstr>
      </vt:variant>
      <vt:variant>
        <vt:i4>1376308</vt:i4>
      </vt:variant>
      <vt:variant>
        <vt:i4>56</vt:i4>
      </vt:variant>
      <vt:variant>
        <vt:i4>0</vt:i4>
      </vt:variant>
      <vt:variant>
        <vt:i4>5</vt:i4>
      </vt:variant>
      <vt:variant>
        <vt:lpwstr/>
      </vt:variant>
      <vt:variant>
        <vt:lpwstr>_Toc500424326</vt:lpwstr>
      </vt:variant>
      <vt:variant>
        <vt:i4>1376308</vt:i4>
      </vt:variant>
      <vt:variant>
        <vt:i4>50</vt:i4>
      </vt:variant>
      <vt:variant>
        <vt:i4>0</vt:i4>
      </vt:variant>
      <vt:variant>
        <vt:i4>5</vt:i4>
      </vt:variant>
      <vt:variant>
        <vt:lpwstr/>
      </vt:variant>
      <vt:variant>
        <vt:lpwstr>_Toc500424325</vt:lpwstr>
      </vt:variant>
      <vt:variant>
        <vt:i4>1376308</vt:i4>
      </vt:variant>
      <vt:variant>
        <vt:i4>44</vt:i4>
      </vt:variant>
      <vt:variant>
        <vt:i4>0</vt:i4>
      </vt:variant>
      <vt:variant>
        <vt:i4>5</vt:i4>
      </vt:variant>
      <vt:variant>
        <vt:lpwstr/>
      </vt:variant>
      <vt:variant>
        <vt:lpwstr>_Toc500424324</vt:lpwstr>
      </vt:variant>
      <vt:variant>
        <vt:i4>1376308</vt:i4>
      </vt:variant>
      <vt:variant>
        <vt:i4>38</vt:i4>
      </vt:variant>
      <vt:variant>
        <vt:i4>0</vt:i4>
      </vt:variant>
      <vt:variant>
        <vt:i4>5</vt:i4>
      </vt:variant>
      <vt:variant>
        <vt:lpwstr/>
      </vt:variant>
      <vt:variant>
        <vt:lpwstr>_Toc500424323</vt:lpwstr>
      </vt:variant>
      <vt:variant>
        <vt:i4>1376308</vt:i4>
      </vt:variant>
      <vt:variant>
        <vt:i4>32</vt:i4>
      </vt:variant>
      <vt:variant>
        <vt:i4>0</vt:i4>
      </vt:variant>
      <vt:variant>
        <vt:i4>5</vt:i4>
      </vt:variant>
      <vt:variant>
        <vt:lpwstr/>
      </vt:variant>
      <vt:variant>
        <vt:lpwstr>_Toc500424322</vt:lpwstr>
      </vt:variant>
      <vt:variant>
        <vt:i4>1376308</vt:i4>
      </vt:variant>
      <vt:variant>
        <vt:i4>26</vt:i4>
      </vt:variant>
      <vt:variant>
        <vt:i4>0</vt:i4>
      </vt:variant>
      <vt:variant>
        <vt:i4>5</vt:i4>
      </vt:variant>
      <vt:variant>
        <vt:lpwstr/>
      </vt:variant>
      <vt:variant>
        <vt:lpwstr>_Toc500424321</vt:lpwstr>
      </vt:variant>
      <vt:variant>
        <vt:i4>1376308</vt:i4>
      </vt:variant>
      <vt:variant>
        <vt:i4>20</vt:i4>
      </vt:variant>
      <vt:variant>
        <vt:i4>0</vt:i4>
      </vt:variant>
      <vt:variant>
        <vt:i4>5</vt:i4>
      </vt:variant>
      <vt:variant>
        <vt:lpwstr/>
      </vt:variant>
      <vt:variant>
        <vt:lpwstr>_Toc500424320</vt:lpwstr>
      </vt:variant>
      <vt:variant>
        <vt:i4>1441844</vt:i4>
      </vt:variant>
      <vt:variant>
        <vt:i4>14</vt:i4>
      </vt:variant>
      <vt:variant>
        <vt:i4>0</vt:i4>
      </vt:variant>
      <vt:variant>
        <vt:i4>5</vt:i4>
      </vt:variant>
      <vt:variant>
        <vt:lpwstr/>
      </vt:variant>
      <vt:variant>
        <vt:lpwstr>_Toc500424319</vt:lpwstr>
      </vt:variant>
      <vt:variant>
        <vt:i4>1441844</vt:i4>
      </vt:variant>
      <vt:variant>
        <vt:i4>8</vt:i4>
      </vt:variant>
      <vt:variant>
        <vt:i4>0</vt:i4>
      </vt:variant>
      <vt:variant>
        <vt:i4>5</vt:i4>
      </vt:variant>
      <vt:variant>
        <vt:lpwstr/>
      </vt:variant>
      <vt:variant>
        <vt:lpwstr>_Toc500424318</vt:lpwstr>
      </vt:variant>
      <vt:variant>
        <vt:i4>1441844</vt:i4>
      </vt:variant>
      <vt:variant>
        <vt:i4>2</vt:i4>
      </vt:variant>
      <vt:variant>
        <vt:i4>0</vt:i4>
      </vt:variant>
      <vt:variant>
        <vt:i4>5</vt:i4>
      </vt:variant>
      <vt:variant>
        <vt:lpwstr/>
      </vt:variant>
      <vt:variant>
        <vt:lpwstr>_Toc500424317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RFP-26: Federal Liaison Officer (CA Dept of Education)</dc:title>
  <dc:subject>California Department of Education Request for Proposals (RFP) Federal Liaison Officer.</dc:subject>
  <dc:creator/>
  <cp:keywords/>
  <dc:description/>
  <cp:lastModifiedBy/>
  <cp:revision>1</cp:revision>
  <dcterms:created xsi:type="dcterms:W3CDTF">2026-04-01T23:05:00Z</dcterms:created>
  <dcterms:modified xsi:type="dcterms:W3CDTF">2026-04-01T23:52:00Z</dcterms:modified>
</cp:coreProperties>
</file>