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CB378" w14:textId="77777777" w:rsidR="00F2694D" w:rsidRPr="007D74EE" w:rsidRDefault="00556813" w:rsidP="001455D6">
      <w:pPr>
        <w:pStyle w:val="Title"/>
        <w:jc w:val="center"/>
      </w:pPr>
      <w:r w:rsidRPr="007D74EE">
        <w:rPr>
          <w:noProof/>
        </w:rPr>
        <w:drawing>
          <wp:inline distT="0" distB="0" distL="0" distR="0" wp14:anchorId="67B91765" wp14:editId="42C359EE">
            <wp:extent cx="7315200" cy="1597152"/>
            <wp:effectExtent l="0" t="0" r="0" b="3175"/>
            <wp:docPr id="1" name="Picture 1" descr="California Department of Education letterhead with official seal. Tony  Thurmond State Superintendent of Public Instruction 1430 N Street, Sacramento, CA 95814-5901, 916-319-0800, www.cde.c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E Letterhead_Thurmond-2.jpg"/>
                    <pic:cNvPicPr/>
                  </pic:nvPicPr>
                  <pic:blipFill>
                    <a:blip r:embed="rId8">
                      <a:extLst>
                        <a:ext uri="{28A0092B-C50C-407E-A947-70E740481C1C}">
                          <a14:useLocalDpi xmlns:a14="http://schemas.microsoft.com/office/drawing/2010/main" val="0"/>
                        </a:ext>
                      </a:extLst>
                    </a:blip>
                    <a:stretch>
                      <a:fillRect/>
                    </a:stretch>
                  </pic:blipFill>
                  <pic:spPr>
                    <a:xfrm>
                      <a:off x="0" y="0"/>
                      <a:ext cx="7315200" cy="1597152"/>
                    </a:xfrm>
                    <a:prstGeom prst="rect">
                      <a:avLst/>
                    </a:prstGeom>
                  </pic:spPr>
                </pic:pic>
              </a:graphicData>
            </a:graphic>
          </wp:inline>
        </w:drawing>
      </w:r>
    </w:p>
    <w:p w14:paraId="69BDC3B4" w14:textId="6DD24780" w:rsidR="00077A9C" w:rsidRPr="007D74EE" w:rsidRDefault="0040640E" w:rsidP="00077A9C">
      <w:pPr>
        <w:jc w:val="center"/>
      </w:pPr>
      <w:r w:rsidRPr="007D74EE">
        <w:t xml:space="preserve">December 20, </w:t>
      </w:r>
      <w:r w:rsidR="00077A9C" w:rsidRPr="007D74EE">
        <w:t>2019</w:t>
      </w:r>
    </w:p>
    <w:p w14:paraId="3009CAAD" w14:textId="05043455" w:rsidR="00077A9C" w:rsidRPr="007D74EE" w:rsidRDefault="00077A9C" w:rsidP="00077A9C">
      <w:pPr>
        <w:pStyle w:val="Heading1"/>
        <w:spacing w:after="240" w:line="240" w:lineRule="auto"/>
        <w:jc w:val="left"/>
      </w:pPr>
      <w:r w:rsidRPr="007D74EE">
        <w:t xml:space="preserve">Adult Education </w:t>
      </w:r>
      <w:r w:rsidR="0040640E" w:rsidRPr="007D74EE">
        <w:t>Professional Development</w:t>
      </w:r>
      <w:r w:rsidRPr="007D74EE">
        <w:t xml:space="preserve"> Request for Proposals Question and Answer Document</w:t>
      </w:r>
    </w:p>
    <w:p w14:paraId="02B1131D" w14:textId="4BB03D87" w:rsidR="00077A9C" w:rsidRPr="007D74EE" w:rsidRDefault="00077A9C" w:rsidP="00077A9C">
      <w:pPr>
        <w:spacing w:before="240" w:after="240" w:line="240" w:lineRule="auto"/>
      </w:pPr>
      <w:r w:rsidRPr="007D74EE">
        <w:t xml:space="preserve">All references to Request for Proposals (RFP) in this document are to the Adult Education </w:t>
      </w:r>
      <w:r w:rsidR="0040640E" w:rsidRPr="007D74EE">
        <w:t>Professional Development</w:t>
      </w:r>
      <w:r w:rsidRPr="007D74EE">
        <w:t xml:space="preserve"> Request for Proposals that was released on </w:t>
      </w:r>
      <w:r w:rsidR="0040640E" w:rsidRPr="007D74EE">
        <w:t>November 13</w:t>
      </w:r>
      <w:r w:rsidRPr="007D74EE">
        <w:t>, 2019. The answers have been organized by sections of the RFP, as submitted by the potential bidders, without reference to the individual or company asking the question.</w:t>
      </w:r>
    </w:p>
    <w:p w14:paraId="5E36DEDB" w14:textId="7F89B6FB" w:rsidR="007C482B" w:rsidRPr="007D74EE" w:rsidRDefault="00B822DA" w:rsidP="007C482B">
      <w:pPr>
        <w:pStyle w:val="Heading2"/>
        <w:spacing w:before="240" w:after="240" w:line="240" w:lineRule="auto"/>
        <w:contextualSpacing/>
      </w:pPr>
      <w:r>
        <w:t xml:space="preserve">Section 3 – </w:t>
      </w:r>
      <w:r w:rsidR="007C482B" w:rsidRPr="007D74EE">
        <w:t>SCOPE OF PROJECT</w:t>
      </w:r>
    </w:p>
    <w:p w14:paraId="7A104E8D" w14:textId="77777777" w:rsidR="00077A9C" w:rsidRPr="007D74EE" w:rsidRDefault="00077A9C" w:rsidP="007C482B">
      <w:pPr>
        <w:pStyle w:val="Heading3"/>
      </w:pPr>
      <w:r w:rsidRPr="007D74EE">
        <w:t>Task 1 – COORDINATION AND COMMUNICATIONS WITH THE CDE</w:t>
      </w:r>
    </w:p>
    <w:p w14:paraId="66F53B6B" w14:textId="26AF9A5C" w:rsidR="00E134DD" w:rsidRPr="007D74EE" w:rsidRDefault="00B71593" w:rsidP="00E65853">
      <w:pPr>
        <w:pStyle w:val="ListParagraph"/>
        <w:numPr>
          <w:ilvl w:val="0"/>
          <w:numId w:val="17"/>
        </w:numPr>
        <w:spacing w:before="240"/>
        <w:ind w:left="1800"/>
      </w:pPr>
      <w:r w:rsidRPr="007D74EE">
        <w:t xml:space="preserve">Question: </w:t>
      </w:r>
      <w:r w:rsidR="00E134DD" w:rsidRPr="007D74EE">
        <w:t>There are discrepancies within the RFP task numbers. Please confirm that these are typos:</w:t>
      </w:r>
    </w:p>
    <w:p w14:paraId="7FF63CA5" w14:textId="092BFFA6" w:rsidR="00E134DD" w:rsidRDefault="006852DA" w:rsidP="00E65853">
      <w:pPr>
        <w:pStyle w:val="ListParagraph"/>
        <w:numPr>
          <w:ilvl w:val="0"/>
          <w:numId w:val="18"/>
        </w:numPr>
        <w:spacing w:before="240"/>
        <w:ind w:left="2160"/>
      </w:pPr>
      <w:r>
        <w:t>RFP</w:t>
      </w:r>
      <w:r w:rsidRPr="007D74EE">
        <w:t xml:space="preserve"> </w:t>
      </w:r>
      <w:r w:rsidR="00E134DD" w:rsidRPr="007D74EE">
        <w:t xml:space="preserve">page 8, </w:t>
      </w:r>
      <w:r w:rsidR="00686600" w:rsidRPr="00686600">
        <w:t>Section 3 Scope of Project, Task 1 Coordination and Communication with the CDE</w:t>
      </w:r>
      <w:r w:rsidR="004A6580">
        <w:t>,</w:t>
      </w:r>
      <w:r w:rsidR="00686600" w:rsidRPr="00686600">
        <w:t xml:space="preserve"> </w:t>
      </w:r>
      <w:r w:rsidR="00686600">
        <w:t>Subtask</w:t>
      </w:r>
      <w:r w:rsidR="00E134DD" w:rsidRPr="007D74EE">
        <w:t xml:space="preserve"> Task 2 Reports, Invoices, and Data File Requirements</w:t>
      </w:r>
      <w:r w:rsidR="00E03A1D">
        <w:t xml:space="preserve">: </w:t>
      </w:r>
      <w:r w:rsidR="00E134DD" w:rsidRPr="007D74EE">
        <w:t>This section refers to Task 1.6 as the CDE Approval Schedule Requirements however per the RFP this is task 1.5.</w:t>
      </w:r>
    </w:p>
    <w:p w14:paraId="20D8A96A" w14:textId="357441B0" w:rsidR="00E03A1D" w:rsidRPr="007D74EE" w:rsidRDefault="00E03A1D" w:rsidP="00E65853">
      <w:pPr>
        <w:pStyle w:val="ListParagraph"/>
        <w:numPr>
          <w:ilvl w:val="0"/>
          <w:numId w:val="18"/>
        </w:numPr>
        <w:spacing w:before="240"/>
        <w:ind w:left="2160"/>
      </w:pPr>
      <w:r w:rsidRPr="00E03A1D">
        <w:t xml:space="preserve">RFP page 12, </w:t>
      </w:r>
      <w:r w:rsidR="004A6580" w:rsidRPr="004A6580">
        <w:t>Section 3 Scope of Project, Task 1 Coordination and Communication with the CDE</w:t>
      </w:r>
      <w:r w:rsidR="004A6580">
        <w:t>,</w:t>
      </w:r>
      <w:r w:rsidR="004A6580" w:rsidRPr="004A6580">
        <w:t xml:space="preserve"> </w:t>
      </w:r>
      <w:r w:rsidR="00686600">
        <w:t>Subtask</w:t>
      </w:r>
      <w:r w:rsidRPr="00E03A1D">
        <w:t xml:space="preserve"> 1.6 Transition of Contracts: This section refers to this task as 1.7 but 1.7 does not exist.</w:t>
      </w:r>
    </w:p>
    <w:p w14:paraId="196B5AF3" w14:textId="4808CC96" w:rsidR="00E134DD" w:rsidRPr="007D74EE" w:rsidRDefault="00E134DD" w:rsidP="00E65853">
      <w:pPr>
        <w:pStyle w:val="ListParagraph"/>
        <w:numPr>
          <w:ilvl w:val="0"/>
          <w:numId w:val="18"/>
        </w:numPr>
        <w:spacing w:before="240"/>
        <w:ind w:left="2160"/>
      </w:pPr>
      <w:r w:rsidRPr="007D74EE">
        <w:t xml:space="preserve">RFP page 15, </w:t>
      </w:r>
      <w:r w:rsidR="004A6580">
        <w:t xml:space="preserve">Section 3 Scope of Project, Task 2 Reports, Invoices, and Data File Requirements, </w:t>
      </w:r>
      <w:r w:rsidR="00686600">
        <w:t>Subtask</w:t>
      </w:r>
      <w:r w:rsidRPr="007D74EE">
        <w:t xml:space="preserve"> 2.3 Data Files, Reports, and Final Documents</w:t>
      </w:r>
      <w:r w:rsidR="00E03A1D">
        <w:t xml:space="preserve">: </w:t>
      </w:r>
      <w:r w:rsidRPr="007D74EE">
        <w:t>This section refers to Task 1.6 as the CDE Approval Schedule Requirements however per the RFP this is task 1.5.</w:t>
      </w:r>
    </w:p>
    <w:p w14:paraId="66509F12" w14:textId="194604EC" w:rsidR="00792582" w:rsidRPr="007D74EE" w:rsidRDefault="00E134DD" w:rsidP="00E65853">
      <w:pPr>
        <w:pStyle w:val="ListParagraph"/>
        <w:numPr>
          <w:ilvl w:val="0"/>
          <w:numId w:val="18"/>
        </w:numPr>
        <w:spacing w:before="240"/>
        <w:ind w:left="2160"/>
      </w:pPr>
      <w:r w:rsidRPr="007D74EE">
        <w:t xml:space="preserve">RFP page 16, </w:t>
      </w:r>
      <w:r w:rsidR="004A6580" w:rsidRPr="004A6580">
        <w:t xml:space="preserve">Section 3 Scope of Project, Task 2 Reports, Invoices, and Data File Requirements, </w:t>
      </w:r>
      <w:r w:rsidR="00686600">
        <w:t>Subtask</w:t>
      </w:r>
      <w:r w:rsidRPr="007D74EE">
        <w:t xml:space="preserve"> 3.1 Narrative Schedule and Timeline</w:t>
      </w:r>
      <w:r w:rsidR="00E03A1D">
        <w:t xml:space="preserve">: </w:t>
      </w:r>
      <w:r w:rsidRPr="007D74EE">
        <w:t>This section refers to Task 1.6 as the CDE Approval Schedule Requirements however per the RFP this is task 1.5.</w:t>
      </w:r>
    </w:p>
    <w:p w14:paraId="6AB2DE09" w14:textId="0B0BBC85" w:rsidR="00E134DD" w:rsidRPr="007D74EE" w:rsidRDefault="004A6580" w:rsidP="00E65853">
      <w:pPr>
        <w:pStyle w:val="ListParagraph"/>
        <w:numPr>
          <w:ilvl w:val="0"/>
          <w:numId w:val="18"/>
        </w:numPr>
        <w:spacing w:before="240"/>
        <w:ind w:left="2160"/>
      </w:pPr>
      <w:r>
        <w:t>P</w:t>
      </w:r>
      <w:r w:rsidR="00E134DD" w:rsidRPr="007D74EE">
        <w:t>age 4</w:t>
      </w:r>
      <w:r>
        <w:t xml:space="preserve"> of 14</w:t>
      </w:r>
      <w:r w:rsidR="00E134DD" w:rsidRPr="007D74EE">
        <w:t>,</w:t>
      </w:r>
      <w:r w:rsidRPr="004A6580">
        <w:t xml:space="preserve"> Attachment 15, </w:t>
      </w:r>
      <w:r>
        <w:t xml:space="preserve">RFP </w:t>
      </w:r>
      <w:r w:rsidR="00E134DD" w:rsidRPr="007D74EE">
        <w:t>Section 3. Scope of Project, Task 1 Coordination and Communications with the CDE</w:t>
      </w:r>
      <w:r w:rsidR="00E03A1D">
        <w:t xml:space="preserve">: </w:t>
      </w:r>
      <w:r w:rsidR="00E134DD" w:rsidRPr="007D74EE">
        <w:t>This section refers to Task 1.6 as the CDE Approval Schedule Requirements however per the RFP this is task 1.5.</w:t>
      </w:r>
    </w:p>
    <w:p w14:paraId="18D31B15" w14:textId="6523D3BE" w:rsidR="00E134DD" w:rsidRPr="007D74EE" w:rsidRDefault="004A6580" w:rsidP="00E65853">
      <w:pPr>
        <w:pStyle w:val="ListParagraph"/>
        <w:numPr>
          <w:ilvl w:val="0"/>
          <w:numId w:val="18"/>
        </w:numPr>
        <w:spacing w:before="240"/>
        <w:ind w:left="2160"/>
      </w:pPr>
      <w:r w:rsidRPr="004A6580">
        <w:lastRenderedPageBreak/>
        <w:t>Page 4 of 14, Attachment 15, RFP</w:t>
      </w:r>
      <w:r>
        <w:t>,</w:t>
      </w:r>
      <w:r w:rsidRPr="004A6580">
        <w:t xml:space="preserve"> </w:t>
      </w:r>
      <w:r w:rsidR="00E134DD" w:rsidRPr="007D74EE">
        <w:t xml:space="preserve">Section 3. Scope of Project, Task 1 </w:t>
      </w:r>
      <w:r>
        <w:t xml:space="preserve">– </w:t>
      </w:r>
      <w:r w:rsidR="00E134DD" w:rsidRPr="007D74EE">
        <w:t>Coordination and Communications with the CDE</w:t>
      </w:r>
      <w:r>
        <w:t xml:space="preserve">: </w:t>
      </w:r>
      <w:r w:rsidR="00E134DD" w:rsidRPr="007D74EE">
        <w:t>This section refers to Task 1.7 however this task does not exist.</w:t>
      </w:r>
    </w:p>
    <w:p w14:paraId="20431362" w14:textId="333276A9" w:rsidR="00E134DD" w:rsidRPr="007D74EE" w:rsidRDefault="00E65853" w:rsidP="00E65853">
      <w:pPr>
        <w:spacing w:before="240"/>
        <w:ind w:left="1800"/>
      </w:pPr>
      <w:r>
        <w:t>Answer</w:t>
      </w:r>
      <w:r w:rsidR="00E134DD" w:rsidRPr="007D74EE">
        <w:t>:</w:t>
      </w:r>
      <w:r w:rsidR="007555C4" w:rsidRPr="007D74EE">
        <w:t xml:space="preserve"> </w:t>
      </w:r>
      <w:r w:rsidR="00D51D2F">
        <w:t xml:space="preserve">Please </w:t>
      </w:r>
      <w:r w:rsidR="006942D4">
        <w:t>s</w:t>
      </w:r>
      <w:r w:rsidR="007555C4" w:rsidRPr="007D74EE">
        <w:t>ee Addendum</w:t>
      </w:r>
      <w:r w:rsidR="00CA5669">
        <w:t xml:space="preserve"> </w:t>
      </w:r>
      <w:r w:rsidR="006942D4">
        <w:t>#</w:t>
      </w:r>
      <w:r w:rsidR="00A95268">
        <w:t>1</w:t>
      </w:r>
      <w:r w:rsidR="006942D4">
        <w:t>.</w:t>
      </w:r>
    </w:p>
    <w:p w14:paraId="1C8B1ABF" w14:textId="1AD15C3B" w:rsidR="00E134DD" w:rsidRPr="007D74EE" w:rsidRDefault="00E134DD" w:rsidP="00E65853">
      <w:pPr>
        <w:pStyle w:val="ListParagraph"/>
        <w:numPr>
          <w:ilvl w:val="0"/>
          <w:numId w:val="17"/>
        </w:numPr>
        <w:spacing w:before="240"/>
        <w:ind w:left="1800"/>
      </w:pPr>
      <w:r w:rsidRPr="007D74EE">
        <w:t xml:space="preserve">Question: Page 10, </w:t>
      </w:r>
      <w:r w:rsidR="00964F30">
        <w:t>Section 3 Scope of Project, Task 1 Coordination and Communication with the CDE, Subtask</w:t>
      </w:r>
      <w:r w:rsidRPr="007D74EE">
        <w:t xml:space="preserve"> 1.5 CDE Approval Schedule Requirements:  What are the approval procedures for deliverables</w:t>
      </w:r>
      <w:r w:rsidR="007555C4" w:rsidRPr="007D74EE">
        <w:t>?</w:t>
      </w:r>
    </w:p>
    <w:p w14:paraId="69D96BA8" w14:textId="5F5456D3" w:rsidR="00E134DD" w:rsidRPr="007D74EE" w:rsidRDefault="00E65853" w:rsidP="00E65853">
      <w:pPr>
        <w:pStyle w:val="ListParagraph"/>
        <w:numPr>
          <w:ilvl w:val="0"/>
          <w:numId w:val="0"/>
        </w:numPr>
        <w:spacing w:before="240"/>
        <w:ind w:left="1800"/>
      </w:pPr>
      <w:r>
        <w:t>Answer</w:t>
      </w:r>
      <w:r w:rsidR="00E134DD" w:rsidRPr="007D74EE">
        <w:t>:</w:t>
      </w:r>
      <w:r w:rsidR="006F4462">
        <w:t xml:space="preserve"> Refer to </w:t>
      </w:r>
      <w:r w:rsidR="008C4D20">
        <w:t xml:space="preserve">RFP, </w:t>
      </w:r>
      <w:r w:rsidR="00443D2B" w:rsidRPr="0041708B">
        <w:t>Page 10</w:t>
      </w:r>
      <w:r w:rsidR="00443D2B">
        <w:t xml:space="preserve">, </w:t>
      </w:r>
      <w:r w:rsidR="008C4D20">
        <w:t xml:space="preserve">Section </w:t>
      </w:r>
      <w:r w:rsidR="00434ECE">
        <w:t xml:space="preserve">3 Scope of Project, </w:t>
      </w:r>
      <w:r w:rsidR="006A0CEE">
        <w:t xml:space="preserve">Subtask </w:t>
      </w:r>
      <w:r w:rsidR="008C4D20">
        <w:t>1.5 Approval Schedule Requirements</w:t>
      </w:r>
      <w:r w:rsidR="006942D4">
        <w:t>.</w:t>
      </w:r>
    </w:p>
    <w:p w14:paraId="529CEE8A" w14:textId="4FC84077" w:rsidR="00E134DD" w:rsidRPr="007D74EE" w:rsidRDefault="00E134DD" w:rsidP="00E65853">
      <w:pPr>
        <w:pStyle w:val="ListParagraph"/>
        <w:numPr>
          <w:ilvl w:val="0"/>
          <w:numId w:val="17"/>
        </w:numPr>
        <w:spacing w:before="240"/>
        <w:ind w:left="1800"/>
      </w:pPr>
      <w:r w:rsidRPr="007D74EE">
        <w:t xml:space="preserve">Question: Page 12, </w:t>
      </w:r>
      <w:r w:rsidR="00964F30" w:rsidRPr="00964F30">
        <w:t>Section 3 Scope of Project, Task 1 Coordination and Communication with the CDE,</w:t>
      </w:r>
      <w:r w:rsidR="00964F30">
        <w:t xml:space="preserve"> Subtask </w:t>
      </w:r>
      <w:r w:rsidRPr="007D74EE">
        <w:t xml:space="preserve">1.6 Transition of Contracts: Will a new successful bidder have full access to the existing modules, assessment tools, and technology (web and online platforms) that are part of the current </w:t>
      </w:r>
      <w:proofErr w:type="spellStart"/>
      <w:r w:rsidRPr="007D74EE">
        <w:t>CalPro</w:t>
      </w:r>
      <w:proofErr w:type="spellEnd"/>
      <w:r w:rsidRPr="007D74EE">
        <w:t xml:space="preserve"> project as part of the transition to a new vendor?</w:t>
      </w:r>
    </w:p>
    <w:p w14:paraId="415C4336" w14:textId="2330752C" w:rsidR="000E02A3" w:rsidRPr="007D74EE" w:rsidRDefault="00E65853" w:rsidP="00E65853">
      <w:pPr>
        <w:pStyle w:val="ListParagraph"/>
        <w:numPr>
          <w:ilvl w:val="0"/>
          <w:numId w:val="0"/>
        </w:numPr>
        <w:spacing w:before="240"/>
        <w:ind w:left="1800"/>
      </w:pPr>
      <w:r>
        <w:t>Answer</w:t>
      </w:r>
      <w:r w:rsidR="00E134DD" w:rsidRPr="007D74EE">
        <w:t>:</w:t>
      </w:r>
      <w:r w:rsidR="008C4D20">
        <w:t xml:space="preserve"> </w:t>
      </w:r>
      <w:r w:rsidR="00C30F63">
        <w:t>Please see Addendum # 1</w:t>
      </w:r>
      <w:r w:rsidR="00434ECE">
        <w:t>.</w:t>
      </w:r>
    </w:p>
    <w:p w14:paraId="309280DC" w14:textId="093E395F" w:rsidR="00E134DD" w:rsidRPr="007D74EE" w:rsidRDefault="00E134DD" w:rsidP="00E65853">
      <w:pPr>
        <w:pStyle w:val="ListParagraph"/>
        <w:numPr>
          <w:ilvl w:val="0"/>
          <w:numId w:val="17"/>
        </w:numPr>
        <w:spacing w:before="240"/>
        <w:ind w:left="1800"/>
      </w:pPr>
      <w:r w:rsidRPr="007D74EE">
        <w:t xml:space="preserve">Question: Page 17, </w:t>
      </w:r>
      <w:r w:rsidR="00964F30">
        <w:t>Section 3 Scope of Project, Task 4 Professional Development Activities, Subtask</w:t>
      </w:r>
      <w:r w:rsidR="000E02A3" w:rsidRPr="007D74EE">
        <w:t xml:space="preserve"> 4.1 General Services to Support Professional Development: </w:t>
      </w:r>
      <w:r w:rsidRPr="007D74EE">
        <w:t>What is required for approvals reg</w:t>
      </w:r>
      <w:r w:rsidR="000E02A3" w:rsidRPr="007D74EE">
        <w:t>arding facilitators or trainers</w:t>
      </w:r>
      <w:r w:rsidRPr="007D74EE">
        <w:t>?</w:t>
      </w:r>
    </w:p>
    <w:p w14:paraId="5EFC6138" w14:textId="4C358529" w:rsidR="000E02A3" w:rsidRPr="007D74EE" w:rsidRDefault="00E65853" w:rsidP="00E65853">
      <w:pPr>
        <w:pStyle w:val="ListParagraph"/>
        <w:numPr>
          <w:ilvl w:val="0"/>
          <w:numId w:val="0"/>
        </w:numPr>
        <w:spacing w:before="240"/>
        <w:ind w:left="1800"/>
      </w:pPr>
      <w:r>
        <w:t>Answer</w:t>
      </w:r>
      <w:r w:rsidR="000E02A3" w:rsidRPr="007D74EE">
        <w:t>:</w:t>
      </w:r>
      <w:r w:rsidR="006942D4">
        <w:t xml:space="preserve"> Refer to RFP</w:t>
      </w:r>
      <w:r w:rsidR="006942D4" w:rsidRPr="0041708B">
        <w:t xml:space="preserve">, </w:t>
      </w:r>
      <w:r w:rsidR="00443D2B" w:rsidRPr="0041708B">
        <w:t>Page 10</w:t>
      </w:r>
      <w:r w:rsidR="00443D2B">
        <w:t xml:space="preserve">, </w:t>
      </w:r>
      <w:r w:rsidR="006942D4">
        <w:t xml:space="preserve">Section 3 Scope of Project, </w:t>
      </w:r>
      <w:r w:rsidR="006A0CEE">
        <w:t xml:space="preserve">Subtask </w:t>
      </w:r>
      <w:r w:rsidR="006942D4" w:rsidRPr="006942D4">
        <w:t>1.5 CDE Approval Schedule Requirements</w:t>
      </w:r>
      <w:r w:rsidR="006A0CEE">
        <w:t>. Please also refer to</w:t>
      </w:r>
      <w:r w:rsidR="005820F3">
        <w:t xml:space="preserve"> </w:t>
      </w:r>
      <w:r w:rsidR="00CE30C8">
        <w:t xml:space="preserve">Page 17, </w:t>
      </w:r>
      <w:r w:rsidR="006A0CEE">
        <w:t xml:space="preserve">Section 3 Scope of Project, Subtask </w:t>
      </w:r>
      <w:r w:rsidR="00A612FB" w:rsidRPr="00A612FB">
        <w:t>4.1 General Services to Support Professional Development</w:t>
      </w:r>
      <w:r w:rsidR="00A612FB">
        <w:t>.</w:t>
      </w:r>
    </w:p>
    <w:p w14:paraId="3D0E2710" w14:textId="427BE83B" w:rsidR="00E36238" w:rsidRDefault="000E02A3" w:rsidP="00E65853">
      <w:pPr>
        <w:pStyle w:val="ListParagraph"/>
        <w:numPr>
          <w:ilvl w:val="0"/>
          <w:numId w:val="17"/>
        </w:numPr>
        <w:spacing w:before="240"/>
        <w:ind w:left="1800"/>
      </w:pPr>
      <w:r w:rsidRPr="007D74EE">
        <w:t xml:space="preserve">Pages 19-21, </w:t>
      </w:r>
      <w:r w:rsidR="00964F30" w:rsidRPr="00964F30">
        <w:t>Section 3 Scope of Project, Task 4 Professional Development Activities,</w:t>
      </w:r>
      <w:r w:rsidR="00634D8F">
        <w:t xml:space="preserve"> Subtask 4.4 Face-to-Face Professional Development Trainings:</w:t>
      </w:r>
      <w:r w:rsidR="00964F30" w:rsidRPr="00964F30">
        <w:t xml:space="preserve"> </w:t>
      </w:r>
      <w:r w:rsidR="00634D8F" w:rsidRPr="00634D8F">
        <w:t xml:space="preserve">To clarify our understanding of the requirement to budget by subtask, does this mean to budget to the level of Tasks 1.1, 1.2, etc.? (Section 5.3.1, page 48) Subtask 4.4, for example, is further broken down into 4.4.1-4.4.4. Is it acceptable to budget at the 4.4 level for this subtask, or does CDE expect individual budgets for 4.4.1, 4.4.2, 4.4.3, and 4.4.4? </w:t>
      </w:r>
    </w:p>
    <w:p w14:paraId="3D141F19" w14:textId="785ECE86" w:rsidR="000E02A3" w:rsidRPr="007D74EE" w:rsidRDefault="00E65853" w:rsidP="00E65853">
      <w:pPr>
        <w:pStyle w:val="ListParagraph"/>
        <w:numPr>
          <w:ilvl w:val="0"/>
          <w:numId w:val="0"/>
        </w:numPr>
        <w:spacing w:before="240"/>
        <w:ind w:left="1800"/>
      </w:pPr>
      <w:r>
        <w:t>Answer</w:t>
      </w:r>
      <w:r w:rsidR="000E02A3" w:rsidRPr="007D74EE">
        <w:t>:</w:t>
      </w:r>
      <w:r w:rsidR="00434ECE">
        <w:t xml:space="preserve"> </w:t>
      </w:r>
      <w:r w:rsidR="006C4297">
        <w:t>S</w:t>
      </w:r>
      <w:r w:rsidR="003F5633">
        <w:t xml:space="preserve">ee RFP, </w:t>
      </w:r>
      <w:r w:rsidR="00CE30C8">
        <w:t xml:space="preserve">Page 50, </w:t>
      </w:r>
      <w:r w:rsidR="00F24F02">
        <w:t xml:space="preserve">Section </w:t>
      </w:r>
      <w:r w:rsidR="00F57CB2">
        <w:t xml:space="preserve">5 Proposal Specifications, </w:t>
      </w:r>
      <w:r w:rsidR="003F5633">
        <w:t>5.3</w:t>
      </w:r>
      <w:r w:rsidR="006A0CEE">
        <w:t xml:space="preserve"> Cost Proposal Requirements, 5.3</w:t>
      </w:r>
      <w:r w:rsidR="003F5633">
        <w:t xml:space="preserve">.4 </w:t>
      </w:r>
      <w:r w:rsidR="003F5633" w:rsidRPr="003F5633">
        <w:t>Task and Subtask Detail for Contractor and for Each Subcontractor for Each Fiscal Year</w:t>
      </w:r>
      <w:r w:rsidR="003F5633">
        <w:t>.</w:t>
      </w:r>
    </w:p>
    <w:p w14:paraId="029B890F" w14:textId="77777777" w:rsidR="006A0CEE" w:rsidRDefault="006A0CEE">
      <w:pPr>
        <w:spacing w:after="0" w:line="240" w:lineRule="auto"/>
        <w:ind w:left="0" w:right="0"/>
      </w:pPr>
      <w:r>
        <w:br w:type="page"/>
      </w:r>
    </w:p>
    <w:p w14:paraId="25A48484" w14:textId="1A712B6C" w:rsidR="000E02A3" w:rsidRPr="007D74EE" w:rsidRDefault="000E02A3" w:rsidP="00E65853">
      <w:pPr>
        <w:pStyle w:val="ListParagraph"/>
        <w:numPr>
          <w:ilvl w:val="0"/>
          <w:numId w:val="17"/>
        </w:numPr>
        <w:spacing w:before="240"/>
        <w:ind w:left="1800"/>
      </w:pPr>
      <w:r w:rsidRPr="007D74EE">
        <w:lastRenderedPageBreak/>
        <w:t xml:space="preserve">Question: Pages 19, </w:t>
      </w:r>
      <w:r w:rsidR="00E36238" w:rsidRPr="00E36238">
        <w:t>Section 3 Scope of Project, Task 4 Professional Development Activities, Subtask</w:t>
      </w:r>
      <w:r w:rsidR="007D74EE" w:rsidRPr="007D74EE">
        <w:t xml:space="preserve"> 4.4 Face-to-Face Professional Development Trainings</w:t>
      </w:r>
      <w:r w:rsidR="00E36238">
        <w:t>, Page 23, Subtask 4.6 Administrative Leadership Professional Development Activities:</w:t>
      </w:r>
      <w:r w:rsidR="007D74EE">
        <w:t xml:space="preserve"> </w:t>
      </w:r>
      <w:r w:rsidRPr="007D74EE">
        <w:t>Did CDE omit the requirement to reimburse participant travel for face-to-face events occurring under sub task 4.4 (beginning page 19) and sub task 4.6 (beginning page 23), or is the bidder to understand that participants will be responsible for their own travel costs for events occurring under those two sub tasks?</w:t>
      </w:r>
    </w:p>
    <w:p w14:paraId="0E86C0A8" w14:textId="26E7467C" w:rsidR="000E02A3" w:rsidRPr="007D74EE" w:rsidRDefault="00E65853" w:rsidP="00E65853">
      <w:pPr>
        <w:pStyle w:val="ListParagraph"/>
        <w:numPr>
          <w:ilvl w:val="0"/>
          <w:numId w:val="0"/>
        </w:numPr>
        <w:spacing w:before="240"/>
        <w:ind w:left="1800"/>
      </w:pPr>
      <w:r>
        <w:t>Answer</w:t>
      </w:r>
      <w:r w:rsidR="000E02A3" w:rsidRPr="007D74EE">
        <w:t>:</w:t>
      </w:r>
      <w:r w:rsidR="00434ECE">
        <w:t xml:space="preserve"> </w:t>
      </w:r>
      <w:r w:rsidR="00C5317B">
        <w:t>Please see Addendum #1.</w:t>
      </w:r>
    </w:p>
    <w:p w14:paraId="4DF47FFB" w14:textId="12B65B21" w:rsidR="000E02A3" w:rsidRPr="007D74EE" w:rsidRDefault="003163B6" w:rsidP="00E65853">
      <w:pPr>
        <w:pStyle w:val="ListParagraph"/>
        <w:numPr>
          <w:ilvl w:val="0"/>
          <w:numId w:val="17"/>
        </w:numPr>
        <w:spacing w:before="240"/>
        <w:ind w:left="1800"/>
      </w:pPr>
      <w:r w:rsidRPr="007D74EE">
        <w:t>Question: Pages 21</w:t>
      </w:r>
      <w:r w:rsidR="007D74EE">
        <w:t xml:space="preserve">, </w:t>
      </w:r>
      <w:r w:rsidR="00E36238" w:rsidRPr="00E36238">
        <w:t>Section 3 Scope of Project, Task 4 Professional Development Activities, Subtask</w:t>
      </w:r>
      <w:r w:rsidR="007D74EE" w:rsidRPr="007D74EE">
        <w:t xml:space="preserve"> 4.4 Face-to-Face Professional Development Trainings</w:t>
      </w:r>
      <w:r w:rsidR="007D74EE">
        <w:t xml:space="preserve">, Page 23, </w:t>
      </w:r>
      <w:r w:rsidR="00E36238">
        <w:t>Subtask</w:t>
      </w:r>
      <w:r w:rsidR="007D74EE">
        <w:t xml:space="preserve"> 4.6 Administrative Leadership Professional Development Activities:</w:t>
      </w:r>
      <w:r w:rsidRPr="007D74EE">
        <w:t xml:space="preserve"> In instances where it is not stated e.g., Trainer of Trainers Institute, Annual Leadership Institute is it assumed that participants cover their own travel costs? For these longer meetings/training events is food an allowable expense (Task 4.6.1 Annual Leadership Institute page 23; Task 4.4.4 Trainer of Trainers Institute page 21)?</w:t>
      </w:r>
    </w:p>
    <w:p w14:paraId="484B996A" w14:textId="24DE03D2" w:rsidR="003163B6" w:rsidRPr="007D74EE" w:rsidRDefault="00E65853" w:rsidP="00E65853">
      <w:pPr>
        <w:pStyle w:val="ListParagraph"/>
        <w:numPr>
          <w:ilvl w:val="0"/>
          <w:numId w:val="0"/>
        </w:numPr>
        <w:spacing w:before="240"/>
        <w:ind w:left="1800"/>
      </w:pPr>
      <w:r>
        <w:t>Answer</w:t>
      </w:r>
      <w:r w:rsidR="003163B6" w:rsidRPr="007D74EE">
        <w:t>:</w:t>
      </w:r>
      <w:r w:rsidR="002A55D2">
        <w:t xml:space="preserve"> </w:t>
      </w:r>
      <w:r w:rsidR="00C5317B">
        <w:t>Please s</w:t>
      </w:r>
      <w:r w:rsidR="003F5633">
        <w:t>ee Addendum # 1</w:t>
      </w:r>
      <w:r w:rsidR="000B03C3">
        <w:t xml:space="preserve">.Please also refer to RFP, </w:t>
      </w:r>
      <w:r w:rsidR="003F5633">
        <w:t xml:space="preserve">Attachment 14 – </w:t>
      </w:r>
      <w:r w:rsidR="00530866">
        <w:t>California State Travel Program.</w:t>
      </w:r>
    </w:p>
    <w:p w14:paraId="13DEAF60" w14:textId="7F7F30EA" w:rsidR="003163B6" w:rsidRPr="007D74EE" w:rsidRDefault="003163B6" w:rsidP="00E65853">
      <w:pPr>
        <w:pStyle w:val="ListParagraph"/>
        <w:numPr>
          <w:ilvl w:val="0"/>
          <w:numId w:val="17"/>
        </w:numPr>
        <w:spacing w:before="240"/>
        <w:ind w:left="1800"/>
      </w:pPr>
      <w:r w:rsidRPr="007D74EE">
        <w:t>Question: Pages 25</w:t>
      </w:r>
      <w:r w:rsidR="00E36238">
        <w:t>–</w:t>
      </w:r>
      <w:r w:rsidRPr="007D74EE">
        <w:t>26</w:t>
      </w:r>
      <w:r w:rsidR="00EC436A">
        <w:t>,</w:t>
      </w:r>
      <w:r w:rsidRPr="007D74EE">
        <w:t xml:space="preserve"> </w:t>
      </w:r>
      <w:r w:rsidR="00E36238" w:rsidRPr="00E36238">
        <w:t>Section 3 Scope of Project, Task 4 Professional Development Activities, Subtask</w:t>
      </w:r>
      <w:r w:rsidR="00E36238">
        <w:t xml:space="preserve"> 4.8 CAEP Consortiums (State Funded Option), Subtask 4.9</w:t>
      </w:r>
      <w:r w:rsidR="00567AE5">
        <w:t>:</w:t>
      </w:r>
      <w:r w:rsidR="00E36238">
        <w:t xml:space="preserve"> </w:t>
      </w:r>
      <w:r w:rsidR="00E36238" w:rsidRPr="00E36238">
        <w:t xml:space="preserve"> </w:t>
      </w:r>
      <w:r w:rsidRPr="007D74EE">
        <w:t>Will the vendor be taking over both the role of the current Adult Education Professional Development Vendor providing services under WIOA Title II and the role of the CAEP Technical Assistance Provider currently supported through State of California CAEP funding (Tasks 4.8 and 4.9; Pages 25-26)</w:t>
      </w:r>
    </w:p>
    <w:p w14:paraId="52AFEFD2" w14:textId="24C63D53" w:rsidR="003163B6" w:rsidRPr="007D74EE" w:rsidRDefault="00E65853" w:rsidP="00E65853">
      <w:pPr>
        <w:pStyle w:val="ListParagraph"/>
        <w:numPr>
          <w:ilvl w:val="0"/>
          <w:numId w:val="0"/>
        </w:numPr>
        <w:spacing w:before="240"/>
        <w:ind w:left="1800"/>
      </w:pPr>
      <w:r>
        <w:t>Answer</w:t>
      </w:r>
      <w:r w:rsidR="003163B6" w:rsidRPr="007D74EE">
        <w:t>:</w:t>
      </w:r>
      <w:r w:rsidR="00221B90">
        <w:t xml:space="preserve"> No.</w:t>
      </w:r>
    </w:p>
    <w:p w14:paraId="300627D8" w14:textId="6304AC30" w:rsidR="003163B6" w:rsidRPr="007D74EE" w:rsidRDefault="003163B6" w:rsidP="00E65853">
      <w:pPr>
        <w:pStyle w:val="ListParagraph"/>
        <w:numPr>
          <w:ilvl w:val="0"/>
          <w:numId w:val="17"/>
        </w:numPr>
        <w:spacing w:before="240"/>
        <w:ind w:left="1800"/>
      </w:pPr>
      <w:r w:rsidRPr="007D74EE">
        <w:t xml:space="preserve">Question: Pages 25-26 </w:t>
      </w:r>
      <w:r w:rsidR="00E36238" w:rsidRPr="00E36238">
        <w:t>Section 3 Scope of Project, Task 4 Professional Development Activities, Subtask</w:t>
      </w:r>
      <w:r w:rsidR="00567AE5">
        <w:t xml:space="preserve"> 4.8 CAEP Consortiums (State Funded Option):</w:t>
      </w:r>
      <w:r w:rsidR="00E36238" w:rsidRPr="00E36238">
        <w:t xml:space="preserve"> </w:t>
      </w:r>
      <w:r w:rsidRPr="007D74EE">
        <w:t>Is the intention of CDE and the CAEP Office to fully integrate the technical assistance activities funded under WIOA Title II with those of the CAEP TAP as a single project (Tasks 4.8 and 4.9; Pages 25-26)?</w:t>
      </w:r>
    </w:p>
    <w:p w14:paraId="53DC0AE5" w14:textId="642B6CB2" w:rsidR="003163B6" w:rsidRDefault="00E65853" w:rsidP="00E65853">
      <w:pPr>
        <w:pStyle w:val="ListParagraph"/>
        <w:numPr>
          <w:ilvl w:val="0"/>
          <w:numId w:val="0"/>
        </w:numPr>
        <w:spacing w:before="240"/>
        <w:ind w:left="1800"/>
      </w:pPr>
      <w:r>
        <w:t>Answer</w:t>
      </w:r>
      <w:r w:rsidR="003163B6" w:rsidRPr="007D74EE">
        <w:t>:</w:t>
      </w:r>
      <w:r w:rsidR="00221B90">
        <w:t xml:space="preserve"> No.</w:t>
      </w:r>
    </w:p>
    <w:p w14:paraId="7485C399" w14:textId="77777777" w:rsidR="000B03C3" w:rsidRDefault="000B03C3">
      <w:pPr>
        <w:spacing w:after="0" w:line="240" w:lineRule="auto"/>
        <w:ind w:left="0" w:right="0"/>
        <w:rPr>
          <w:rFonts w:eastAsiaTheme="majorEastAsia"/>
          <w:b/>
          <w:sz w:val="32"/>
          <w:szCs w:val="32"/>
        </w:rPr>
      </w:pPr>
      <w:r>
        <w:br w:type="page"/>
      </w:r>
    </w:p>
    <w:p w14:paraId="68A8CD1B" w14:textId="13B3D1D6" w:rsidR="00F05064" w:rsidRDefault="00D81C88" w:rsidP="00F05064">
      <w:pPr>
        <w:pStyle w:val="Heading2"/>
        <w:spacing w:before="240" w:after="240" w:line="240" w:lineRule="auto"/>
        <w:contextualSpacing/>
      </w:pPr>
      <w:r>
        <w:lastRenderedPageBreak/>
        <w:t xml:space="preserve">Section 4 – </w:t>
      </w:r>
      <w:r w:rsidR="00F05064">
        <w:t>GENERAL PROPOSAL INFORMATION</w:t>
      </w:r>
    </w:p>
    <w:p w14:paraId="53095957" w14:textId="1F966B89" w:rsidR="00F05064" w:rsidRPr="00F05064" w:rsidRDefault="00F05064" w:rsidP="00F05064">
      <w:pPr>
        <w:pStyle w:val="Heading3"/>
      </w:pPr>
      <w:r>
        <w:t>4.4 Contract Funding, and Time Period</w:t>
      </w:r>
    </w:p>
    <w:p w14:paraId="3B9ADE0A" w14:textId="68A839B7" w:rsidR="003163B6" w:rsidRPr="007D74EE" w:rsidRDefault="003163B6" w:rsidP="00E65853">
      <w:pPr>
        <w:pStyle w:val="ListParagraph"/>
        <w:numPr>
          <w:ilvl w:val="0"/>
          <w:numId w:val="17"/>
        </w:numPr>
        <w:spacing w:before="240"/>
        <w:ind w:left="1800"/>
      </w:pPr>
      <w:r w:rsidRPr="007D74EE">
        <w:t>Question: Page 32</w:t>
      </w:r>
      <w:r w:rsidR="00F05064">
        <w:t>, Section 4 General Proposal Information,</w:t>
      </w:r>
      <w:r w:rsidRPr="007D74EE">
        <w:t xml:space="preserve"> </w:t>
      </w:r>
      <w:r w:rsidR="00F05064">
        <w:t xml:space="preserve">Subsection 4.4.3 Option to Renew: </w:t>
      </w:r>
      <w:r w:rsidRPr="007D74EE">
        <w:t>Option to Renew states: “At the sole discretion of the CDE, the contract may be extended by written agreement and formal amendment between the parties, for an additional year beginning September 1, 2022 through August 31, 2023, covering portions of 2022-23 and 2023-24 fiscal years, at the same or lower rates, under the same terms.” Is it CDE’s intent to begin the optional extension period on September 1, 2022 as stated, or would CDE begin the optional extension period at the beginning o</w:t>
      </w:r>
      <w:r w:rsidR="00F05064">
        <w:t>f the fiscal year July 1, 2022?</w:t>
      </w:r>
    </w:p>
    <w:p w14:paraId="59AAD16F" w14:textId="08D92A6B" w:rsidR="003163B6" w:rsidRDefault="00E65853" w:rsidP="00E65853">
      <w:pPr>
        <w:pStyle w:val="ListParagraph"/>
        <w:numPr>
          <w:ilvl w:val="0"/>
          <w:numId w:val="0"/>
        </w:numPr>
        <w:spacing w:before="240"/>
        <w:ind w:left="1800"/>
      </w:pPr>
      <w:r>
        <w:t>Answer</w:t>
      </w:r>
      <w:r w:rsidR="003163B6" w:rsidRPr="007D74EE">
        <w:t>:</w:t>
      </w:r>
      <w:r w:rsidR="00221B90">
        <w:t xml:space="preserve"> Yes, September 1, 2022.</w:t>
      </w:r>
      <w:r w:rsidR="00530866">
        <w:t xml:space="preserve"> See RFP, </w:t>
      </w:r>
      <w:r w:rsidR="00D00460">
        <w:t xml:space="preserve">Page 32, </w:t>
      </w:r>
      <w:r w:rsidR="00F85A59">
        <w:t>S</w:t>
      </w:r>
      <w:r w:rsidR="00F24F02">
        <w:t>ection</w:t>
      </w:r>
      <w:r w:rsidR="00F57CB2">
        <w:t xml:space="preserve"> 4 General Proposal Information,</w:t>
      </w:r>
      <w:r w:rsidR="00F24F02">
        <w:t xml:space="preserve"> </w:t>
      </w:r>
      <w:r w:rsidR="000B03C3">
        <w:t xml:space="preserve">4.4 Contract Funding, and Time Period, </w:t>
      </w:r>
      <w:r w:rsidR="00530866">
        <w:t>4.4.2 Time Period and 4.4.3 Option to Renew.</w:t>
      </w:r>
    </w:p>
    <w:p w14:paraId="51DA4A08" w14:textId="2123BD3F" w:rsidR="00F05064" w:rsidRDefault="00D81C88" w:rsidP="00F05064">
      <w:pPr>
        <w:pStyle w:val="Heading2"/>
        <w:spacing w:before="240" w:after="240" w:line="240" w:lineRule="auto"/>
        <w:contextualSpacing/>
      </w:pPr>
      <w:r>
        <w:t>Section 5 – PROPOSAL SPECIFICATIONS</w:t>
      </w:r>
    </w:p>
    <w:p w14:paraId="7276A1A6" w14:textId="218E98A2" w:rsidR="00567AE5" w:rsidRPr="00F05064" w:rsidRDefault="00773C02" w:rsidP="00773C02">
      <w:pPr>
        <w:pStyle w:val="Heading3"/>
      </w:pPr>
      <w:r>
        <w:t xml:space="preserve">5.1 </w:t>
      </w:r>
      <w:r w:rsidR="00567AE5">
        <w:t>Technical Proposal Requirements</w:t>
      </w:r>
    </w:p>
    <w:p w14:paraId="042CC2D4" w14:textId="70EADD13" w:rsidR="00567AE5" w:rsidRDefault="003163B6" w:rsidP="00E65853">
      <w:pPr>
        <w:pStyle w:val="ListParagraph"/>
        <w:numPr>
          <w:ilvl w:val="0"/>
          <w:numId w:val="17"/>
        </w:numPr>
        <w:spacing w:before="240"/>
        <w:ind w:left="1800"/>
      </w:pPr>
      <w:r w:rsidRPr="007D74EE">
        <w:t>Question: Page 36</w:t>
      </w:r>
      <w:r w:rsidR="00567AE5">
        <w:t>, Section 5 Proposal Specifications, Sub</w:t>
      </w:r>
      <w:r w:rsidR="00EC436A">
        <w:t>section</w:t>
      </w:r>
      <w:r w:rsidR="00567AE5">
        <w:t xml:space="preserve"> 5.1 Technical Proposal Requirements:</w:t>
      </w:r>
      <w:r w:rsidRPr="007D74EE">
        <w:t xml:space="preserve"> Is there a page limit for the Technical Proposal? There does not appear to be one in the RFP</w:t>
      </w:r>
      <w:r w:rsidR="00567AE5">
        <w:t>.</w:t>
      </w:r>
    </w:p>
    <w:p w14:paraId="21C62F5A" w14:textId="223E9D7D" w:rsidR="003163B6" w:rsidRPr="007D74EE" w:rsidRDefault="00E65853" w:rsidP="00E65853">
      <w:pPr>
        <w:pStyle w:val="ListParagraph"/>
        <w:numPr>
          <w:ilvl w:val="0"/>
          <w:numId w:val="0"/>
        </w:numPr>
        <w:spacing w:before="240"/>
        <w:ind w:left="1800"/>
      </w:pPr>
      <w:r>
        <w:t>Answer</w:t>
      </w:r>
      <w:r w:rsidR="003163B6" w:rsidRPr="007D74EE">
        <w:t>:</w:t>
      </w:r>
      <w:r w:rsidR="00221B90">
        <w:t xml:space="preserve"> No.</w:t>
      </w:r>
    </w:p>
    <w:p w14:paraId="2C3FC1A6" w14:textId="66C50EAA" w:rsidR="003163B6" w:rsidRPr="007D74EE" w:rsidRDefault="00E57EB6" w:rsidP="00E65853">
      <w:pPr>
        <w:pStyle w:val="ListParagraph"/>
        <w:numPr>
          <w:ilvl w:val="0"/>
          <w:numId w:val="17"/>
        </w:numPr>
        <w:spacing w:before="240"/>
        <w:ind w:left="1800"/>
      </w:pPr>
      <w:r>
        <w:t xml:space="preserve">Question: </w:t>
      </w:r>
      <w:r w:rsidR="003163B6" w:rsidRPr="007D74EE">
        <w:t>Page 37</w:t>
      </w:r>
      <w:r>
        <w:t>, Section 5 Proposal Specifications, Sub</w:t>
      </w:r>
      <w:r w:rsidR="00EC436A">
        <w:t>section</w:t>
      </w:r>
      <w:r>
        <w:t xml:space="preserve"> 5.1 Technical Proposal Requirements</w:t>
      </w:r>
      <w:r w:rsidR="00663884">
        <w:t>, Subsection 5.1.3 Organization Structure and Personnel Resources</w:t>
      </w:r>
      <w:r>
        <w:t>:</w:t>
      </w:r>
      <w:r w:rsidR="003163B6" w:rsidRPr="007D74EE">
        <w:t xml:space="preserve"> Is it allowable for the Project Manager named in the application to not be a current employee of the organization submitting a proposal as long as there is a clear agreement between the organization and the project manager that they would become an employee upon successful funding of the project (i.e., letter of commitment?</w:t>
      </w:r>
    </w:p>
    <w:p w14:paraId="6F4DF325" w14:textId="0AE7696B" w:rsidR="003163B6" w:rsidRPr="007D74EE" w:rsidRDefault="00E65853" w:rsidP="00E65853">
      <w:pPr>
        <w:pStyle w:val="ListParagraph"/>
        <w:numPr>
          <w:ilvl w:val="0"/>
          <w:numId w:val="0"/>
        </w:numPr>
        <w:spacing w:before="240"/>
        <w:ind w:left="1800"/>
      </w:pPr>
      <w:r>
        <w:t>Answer</w:t>
      </w:r>
      <w:r w:rsidR="003163B6" w:rsidRPr="007D74EE">
        <w:t>:</w:t>
      </w:r>
      <w:r w:rsidR="002671F2">
        <w:t xml:space="preserve"> No.</w:t>
      </w:r>
      <w:r w:rsidR="00530866">
        <w:t xml:space="preserve"> See RFP</w:t>
      </w:r>
      <w:r w:rsidR="00D00460">
        <w:t>, Page 36,</w:t>
      </w:r>
      <w:r w:rsidR="00530866">
        <w:t xml:space="preserve"> Secti</w:t>
      </w:r>
      <w:r w:rsidR="00F24F02">
        <w:t xml:space="preserve">on </w:t>
      </w:r>
      <w:r w:rsidR="00F57CB2">
        <w:t xml:space="preserve">5 Proposal Specifications, </w:t>
      </w:r>
      <w:r w:rsidR="00C20507">
        <w:t>5.1.3 Organization</w:t>
      </w:r>
      <w:r w:rsidR="0072225A">
        <w:t xml:space="preserve"> Structure and Personnel Resources</w:t>
      </w:r>
      <w:r w:rsidR="00F57CB2">
        <w:t>, 2 Project Manager</w:t>
      </w:r>
      <w:r w:rsidR="0072225A">
        <w:t>.</w:t>
      </w:r>
    </w:p>
    <w:p w14:paraId="1C75D1BF" w14:textId="1DD009F7" w:rsidR="003163B6" w:rsidRPr="007D74EE" w:rsidRDefault="003163B6" w:rsidP="00E65853">
      <w:pPr>
        <w:pStyle w:val="ListParagraph"/>
        <w:numPr>
          <w:ilvl w:val="0"/>
          <w:numId w:val="17"/>
        </w:numPr>
        <w:spacing w:before="240"/>
        <w:ind w:left="1800"/>
      </w:pPr>
      <w:r w:rsidRPr="007D74EE">
        <w:t xml:space="preserve">Question: </w:t>
      </w:r>
      <w:r w:rsidR="00663884">
        <w:t>P</w:t>
      </w:r>
      <w:r w:rsidRPr="007D74EE">
        <w:t xml:space="preserve">age 39, </w:t>
      </w:r>
      <w:r w:rsidR="00663884">
        <w:t>Section 5 Proposal Specifications, Sub</w:t>
      </w:r>
      <w:r w:rsidR="00EC436A">
        <w:t>section</w:t>
      </w:r>
      <w:r w:rsidR="00663884">
        <w:t xml:space="preserve"> 5.1 Technical Proposal Requirements, Subsection 5.1.3 Organization Structure and Personnel Resources</w:t>
      </w:r>
      <w:r w:rsidRPr="007D74EE">
        <w:t>,</w:t>
      </w:r>
      <w:r w:rsidR="00663884">
        <w:t xml:space="preserve"> Number</w:t>
      </w:r>
      <w:r w:rsidRPr="007D74EE">
        <w:t xml:space="preserve"> 7</w:t>
      </w:r>
      <w:r w:rsidR="00663884">
        <w:t xml:space="preserve">: </w:t>
      </w:r>
      <w:r w:rsidRPr="007D74EE">
        <w:t xml:space="preserve">Resumes </w:t>
      </w:r>
      <w:r w:rsidR="00663884" w:rsidRPr="007D74EE">
        <w:t>– Is</w:t>
      </w:r>
      <w:r w:rsidRPr="007D74EE">
        <w:t xml:space="preserve"> it acceptable to include staff resumes in an Appendix?</w:t>
      </w:r>
    </w:p>
    <w:p w14:paraId="40A4D5A1" w14:textId="650D96F0" w:rsidR="003163B6" w:rsidRDefault="00E65853" w:rsidP="00E65853">
      <w:pPr>
        <w:pStyle w:val="ListParagraph"/>
        <w:numPr>
          <w:ilvl w:val="0"/>
          <w:numId w:val="0"/>
        </w:numPr>
        <w:spacing w:before="240"/>
        <w:ind w:left="1800"/>
      </w:pPr>
      <w:r>
        <w:t>Answer</w:t>
      </w:r>
      <w:r w:rsidR="003163B6" w:rsidRPr="007D74EE">
        <w:t>:</w:t>
      </w:r>
      <w:r w:rsidR="002671F2">
        <w:t xml:space="preserve"> Yes.</w:t>
      </w:r>
    </w:p>
    <w:p w14:paraId="4E108DD4" w14:textId="2C58A9EE" w:rsidR="00773C02" w:rsidRPr="007D74EE" w:rsidRDefault="00773C02" w:rsidP="00773C02">
      <w:pPr>
        <w:pStyle w:val="Heading3"/>
      </w:pPr>
      <w:r>
        <w:lastRenderedPageBreak/>
        <w:t>5.3 Cost Proposal Requirements</w:t>
      </w:r>
    </w:p>
    <w:p w14:paraId="0EA45436" w14:textId="547A5AF8" w:rsidR="003163B6" w:rsidRPr="007D74EE" w:rsidRDefault="003163B6" w:rsidP="00E65853">
      <w:pPr>
        <w:pStyle w:val="ListParagraph"/>
        <w:numPr>
          <w:ilvl w:val="0"/>
          <w:numId w:val="17"/>
        </w:numPr>
        <w:spacing w:before="240"/>
        <w:ind w:left="1800"/>
      </w:pPr>
      <w:r w:rsidRPr="007D74EE">
        <w:t xml:space="preserve">Question: </w:t>
      </w:r>
      <w:r w:rsidR="00773C02">
        <w:t>P</w:t>
      </w:r>
      <w:r w:rsidRPr="007D74EE">
        <w:t xml:space="preserve">age 49, </w:t>
      </w:r>
      <w:r w:rsidR="00773C02">
        <w:t>Section 5 Proposal Specifications, Sub</w:t>
      </w:r>
      <w:r w:rsidR="00EC436A">
        <w:t>section</w:t>
      </w:r>
      <w:r w:rsidR="00773C02">
        <w:t xml:space="preserve"> 5.3 Cost Proposal Requirements, Subs</w:t>
      </w:r>
      <w:r w:rsidRPr="007D74EE">
        <w:t>ection 5.3.2 Cost Proposal Cover Sheet</w:t>
      </w:r>
      <w:r w:rsidR="00773C02">
        <w:t xml:space="preserve">: </w:t>
      </w:r>
      <w:r w:rsidRPr="007D74EE">
        <w:t>The RFP states that the first page of the cost proposal must be a cover sheet indicating the total amount. Since proposals are to be submitted in binders, is it acceptable to have a front title page on the outside of the binder with the “first page” on the inside of the binder as the “cover sheet” or does CDE want the “cover sheet” to be on the outside of the binder?</w:t>
      </w:r>
    </w:p>
    <w:p w14:paraId="6054BAE2" w14:textId="77FB477D" w:rsidR="003163B6" w:rsidRDefault="00E65853" w:rsidP="00E65853">
      <w:pPr>
        <w:pStyle w:val="ListParagraph"/>
        <w:numPr>
          <w:ilvl w:val="0"/>
          <w:numId w:val="0"/>
        </w:numPr>
        <w:spacing w:before="240"/>
        <w:ind w:left="1800"/>
      </w:pPr>
      <w:r>
        <w:t>Answer</w:t>
      </w:r>
      <w:r w:rsidR="003163B6" w:rsidRPr="007D74EE">
        <w:t>:</w:t>
      </w:r>
      <w:r w:rsidR="002671F2">
        <w:t xml:space="preserve"> Yes</w:t>
      </w:r>
      <w:r w:rsidR="0072225A">
        <w:t>, both are acceptable.</w:t>
      </w:r>
    </w:p>
    <w:p w14:paraId="132944A2" w14:textId="0F554DEA" w:rsidR="004D697A" w:rsidRPr="007D74EE" w:rsidRDefault="004D697A" w:rsidP="004D697A">
      <w:pPr>
        <w:pStyle w:val="Heading3"/>
      </w:pPr>
      <w:r>
        <w:t>5.3 Submission of Proposal</w:t>
      </w:r>
    </w:p>
    <w:p w14:paraId="2D9262BE" w14:textId="4531B9E5" w:rsidR="003163B6" w:rsidRPr="007D74EE" w:rsidRDefault="004D697A" w:rsidP="00E65853">
      <w:pPr>
        <w:pStyle w:val="ListParagraph"/>
        <w:numPr>
          <w:ilvl w:val="0"/>
          <w:numId w:val="17"/>
        </w:numPr>
        <w:spacing w:before="240"/>
        <w:ind w:left="1800"/>
      </w:pPr>
      <w:r>
        <w:t>Question: P</w:t>
      </w:r>
      <w:r w:rsidR="003163B6" w:rsidRPr="007D74EE">
        <w:t xml:space="preserve">age 53, </w:t>
      </w:r>
      <w:r>
        <w:t>Section 5 Proposal Specifications, Sub</w:t>
      </w:r>
      <w:r w:rsidR="00EC436A">
        <w:t>section</w:t>
      </w:r>
      <w:r w:rsidR="003163B6" w:rsidRPr="007D74EE">
        <w:t xml:space="preserve"> 5.5 Submission of Proposal, Subsection G</w:t>
      </w:r>
      <w:r>
        <w:t xml:space="preserve">: </w:t>
      </w:r>
      <w:r w:rsidR="003163B6" w:rsidRPr="007D74EE">
        <w:t>The RFP states to mail the proposal, is it acceptable to hand deliver it to CDE?</w:t>
      </w:r>
    </w:p>
    <w:p w14:paraId="06F85CB5" w14:textId="339E6CCC" w:rsidR="003163B6" w:rsidRDefault="00E65853" w:rsidP="00E65853">
      <w:pPr>
        <w:pStyle w:val="ListParagraph"/>
        <w:numPr>
          <w:ilvl w:val="0"/>
          <w:numId w:val="0"/>
        </w:numPr>
        <w:spacing w:before="240"/>
        <w:ind w:left="1800"/>
      </w:pPr>
      <w:r>
        <w:t>Answer</w:t>
      </w:r>
      <w:r w:rsidR="003163B6" w:rsidRPr="007D74EE">
        <w:t>:</w:t>
      </w:r>
      <w:r w:rsidR="002671F2">
        <w:t xml:space="preserve"> Yes</w:t>
      </w:r>
      <w:r w:rsidR="0072225A">
        <w:t xml:space="preserve">, </w:t>
      </w:r>
      <w:r w:rsidR="005F24A6">
        <w:t xml:space="preserve">proposals may be hand delivered or mailed. See RFP, Page 51, Section </w:t>
      </w:r>
      <w:r w:rsidR="003248F3">
        <w:t xml:space="preserve">5 Proposal Specifications, </w:t>
      </w:r>
      <w:r w:rsidR="005F24A6">
        <w:t>5.5 Submission of Proposal</w:t>
      </w:r>
      <w:r w:rsidR="003248F3">
        <w:t xml:space="preserve"> for submission requirements</w:t>
      </w:r>
      <w:r w:rsidR="005F24A6">
        <w:t>.</w:t>
      </w:r>
    </w:p>
    <w:p w14:paraId="5287FF07" w14:textId="5CBAB9B2" w:rsidR="004D697A" w:rsidRPr="007D74EE" w:rsidRDefault="00D81C88" w:rsidP="004D697A">
      <w:pPr>
        <w:pStyle w:val="Heading2"/>
        <w:spacing w:before="240" w:after="240" w:line="240" w:lineRule="auto"/>
        <w:contextualSpacing/>
      </w:pPr>
      <w:r>
        <w:t>Section 6 – EVALUATION PROCESS</w:t>
      </w:r>
    </w:p>
    <w:p w14:paraId="73B5377B" w14:textId="64625464" w:rsidR="004D697A" w:rsidRDefault="004D697A" w:rsidP="00E65853">
      <w:pPr>
        <w:pStyle w:val="ListParagraph"/>
        <w:numPr>
          <w:ilvl w:val="0"/>
          <w:numId w:val="17"/>
        </w:numPr>
        <w:spacing w:before="240"/>
        <w:ind w:left="1800"/>
      </w:pPr>
      <w:r>
        <w:t xml:space="preserve">Question: </w:t>
      </w:r>
      <w:r w:rsidR="003163B6" w:rsidRPr="007D74EE">
        <w:t>Page 56</w:t>
      </w:r>
      <w:r>
        <w:t>,</w:t>
      </w:r>
      <w:r w:rsidR="003163B6" w:rsidRPr="007D74EE">
        <w:t xml:space="preserve"> </w:t>
      </w:r>
      <w:r>
        <w:t xml:space="preserve">Evaluation Process, C Public Opening of the Cost Proposal: </w:t>
      </w:r>
      <w:r w:rsidR="003163B6" w:rsidRPr="007D74EE">
        <w:t xml:space="preserve">Can CDE share the dollar amount of the contract with the current vendor? </w:t>
      </w:r>
    </w:p>
    <w:p w14:paraId="6659DF6B" w14:textId="0039A1AD" w:rsidR="002671F2" w:rsidRDefault="00E65853" w:rsidP="00C20507">
      <w:pPr>
        <w:pStyle w:val="ListParagraph"/>
        <w:numPr>
          <w:ilvl w:val="0"/>
          <w:numId w:val="0"/>
        </w:numPr>
        <w:spacing w:before="240"/>
        <w:ind w:left="1800"/>
      </w:pPr>
      <w:r>
        <w:t>Answer</w:t>
      </w:r>
      <w:r w:rsidR="003163B6" w:rsidRPr="007D74EE">
        <w:t>:</w:t>
      </w:r>
      <w:r w:rsidR="002671F2">
        <w:t xml:space="preserve"> </w:t>
      </w:r>
      <w:hyperlink r:id="rId9" w:history="1">
        <w:r w:rsidR="00805C56" w:rsidRPr="007E13FA">
          <w:rPr>
            <w:rStyle w:val="Hyperlink"/>
            <w:color w:val="auto"/>
            <w:u w:val="none"/>
          </w:rPr>
          <w:t>$4,963,493.93</w:t>
        </w:r>
      </w:hyperlink>
    </w:p>
    <w:p w14:paraId="4B135694" w14:textId="351CC85F" w:rsidR="003163B6" w:rsidRPr="003163B6" w:rsidRDefault="003163B6" w:rsidP="003163B6">
      <w:pPr>
        <w:spacing w:before="240"/>
        <w:ind w:left="0"/>
      </w:pPr>
    </w:p>
    <w:sectPr w:rsidR="003163B6" w:rsidRPr="003163B6" w:rsidSect="00074B43">
      <w:headerReference w:type="default" r:id="rId10"/>
      <w:pgSz w:w="12240" w:h="15840" w:code="1"/>
      <w:pgMar w:top="0" w:right="0" w:bottom="1440" w:left="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0424F" w14:textId="77777777" w:rsidR="00655E5E" w:rsidRDefault="00655E5E" w:rsidP="009E16EF">
      <w:r>
        <w:separator/>
      </w:r>
    </w:p>
  </w:endnote>
  <w:endnote w:type="continuationSeparator" w:id="0">
    <w:p w14:paraId="6A9CD1C8" w14:textId="77777777" w:rsidR="00655E5E" w:rsidRDefault="00655E5E" w:rsidP="009E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F9052" w14:textId="77777777" w:rsidR="00655E5E" w:rsidRDefault="00655E5E" w:rsidP="009E16EF">
      <w:r>
        <w:separator/>
      </w:r>
    </w:p>
  </w:footnote>
  <w:footnote w:type="continuationSeparator" w:id="0">
    <w:p w14:paraId="2C3AB4DB" w14:textId="77777777" w:rsidR="00655E5E" w:rsidRDefault="00655E5E" w:rsidP="009E1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E4011" w14:textId="2E0AF02E" w:rsidR="00CA43A6" w:rsidRDefault="00BD7760" w:rsidP="009E16EF">
    <w:pPr>
      <w:pStyle w:val="Header"/>
    </w:pPr>
    <w:r>
      <w:t>December 20</w:t>
    </w:r>
    <w:r w:rsidR="00077A9C">
      <w:t>, 2019</w:t>
    </w:r>
  </w:p>
  <w:p w14:paraId="673CA6D6" w14:textId="77777777" w:rsidR="00CA43A6" w:rsidRDefault="00CA43A6" w:rsidP="00CF6137">
    <w:pPr>
      <w:pStyle w:val="Header"/>
      <w:spacing w:after="240"/>
    </w:pPr>
    <w:r>
      <w:t xml:space="preserve">Page </w:t>
    </w:r>
    <w:r>
      <w:fldChar w:fldCharType="begin"/>
    </w:r>
    <w:r>
      <w:instrText xml:space="preserve"> PAGE   \* MERGEFORMAT </w:instrText>
    </w:r>
    <w:r>
      <w:fldChar w:fldCharType="separate"/>
    </w:r>
    <w:r w:rsidR="00DA1576">
      <w:rPr>
        <w:noProof/>
      </w:rPr>
      <w:t>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236C"/>
    <w:multiLevelType w:val="hybridMultilevel"/>
    <w:tmpl w:val="4A8C585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5402810"/>
    <w:multiLevelType w:val="multilevel"/>
    <w:tmpl w:val="DD56D2C0"/>
    <w:lvl w:ilvl="0">
      <w:start w:val="6"/>
      <w:numFmt w:val="decimal"/>
      <w:lvlText w:val="%1."/>
      <w:lvlJc w:val="left"/>
      <w:pPr>
        <w:ind w:left="1800" w:hanging="360"/>
      </w:pPr>
      <w:rPr>
        <w:rFonts w:hint="default"/>
      </w:rPr>
    </w:lvl>
    <w:lvl w:ilvl="1">
      <w:start w:val="1"/>
      <w:numFmt w:val="decimal"/>
      <w:isLgl/>
      <w:lvlText w:val="%1.%2"/>
      <w:lvlJc w:val="left"/>
      <w:pPr>
        <w:ind w:left="1834" w:hanging="394"/>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 w15:restartNumberingAfterBreak="0">
    <w:nsid w:val="13B82AA3"/>
    <w:multiLevelType w:val="hybridMultilevel"/>
    <w:tmpl w:val="D9182EB6"/>
    <w:lvl w:ilvl="0" w:tplc="5E9634C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D567162"/>
    <w:multiLevelType w:val="hybridMultilevel"/>
    <w:tmpl w:val="208638E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11358E9"/>
    <w:multiLevelType w:val="hybridMultilevel"/>
    <w:tmpl w:val="1B62DF02"/>
    <w:lvl w:ilvl="0" w:tplc="B030B7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20520D0"/>
    <w:multiLevelType w:val="multilevel"/>
    <w:tmpl w:val="E4009554"/>
    <w:lvl w:ilvl="0">
      <w:start w:val="20"/>
      <w:numFmt w:val="decimal"/>
      <w:lvlText w:val="%1."/>
      <w:lvlJc w:val="left"/>
      <w:pPr>
        <w:ind w:left="1800" w:hanging="360"/>
      </w:pPr>
      <w:rPr>
        <w:rFonts w:hint="default"/>
      </w:rPr>
    </w:lvl>
    <w:lvl w:ilvl="1">
      <w:start w:val="1"/>
      <w:numFmt w:val="decimal"/>
      <w:isLgl/>
      <w:lvlText w:val="%1.%2"/>
      <w:lvlJc w:val="left"/>
      <w:pPr>
        <w:ind w:left="1970" w:hanging="53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37F74C88"/>
    <w:multiLevelType w:val="hybridMultilevel"/>
    <w:tmpl w:val="DB62EA06"/>
    <w:lvl w:ilvl="0" w:tplc="0409000F">
      <w:start w:val="1"/>
      <w:numFmt w:val="decimal"/>
      <w:pStyle w:val="ListParagraph"/>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BE74958"/>
    <w:multiLevelType w:val="multilevel"/>
    <w:tmpl w:val="DEFCEFA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47652D6C"/>
    <w:multiLevelType w:val="hybridMultilevel"/>
    <w:tmpl w:val="A6AA3BC4"/>
    <w:lvl w:ilvl="0" w:tplc="B5D05E9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2D6336C"/>
    <w:multiLevelType w:val="hybridMultilevel"/>
    <w:tmpl w:val="6A7693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3E3627A"/>
    <w:multiLevelType w:val="multilevel"/>
    <w:tmpl w:val="3E4C496A"/>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593938B0"/>
    <w:multiLevelType w:val="multilevel"/>
    <w:tmpl w:val="C868FB7A"/>
    <w:lvl w:ilvl="0">
      <w:start w:val="1"/>
      <w:numFmt w:val="decimal"/>
      <w:lvlText w:val="%1."/>
      <w:lvlJc w:val="left"/>
      <w:pPr>
        <w:ind w:left="1800" w:hanging="360"/>
      </w:pPr>
      <w:rPr>
        <w:rFonts w:hint="default"/>
      </w:rPr>
    </w:lvl>
    <w:lvl w:ilvl="1">
      <w:start w:val="1"/>
      <w:numFmt w:val="decimal"/>
      <w:isLgl/>
      <w:lvlText w:val="%1.%2"/>
      <w:lvlJc w:val="left"/>
      <w:pPr>
        <w:ind w:left="2038" w:hanging="598"/>
      </w:pPr>
      <w:rPr>
        <w:rFonts w:hint="default"/>
      </w:rPr>
    </w:lvl>
    <w:lvl w:ilvl="2">
      <w:start w:val="6"/>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2" w15:restartNumberingAfterBreak="0">
    <w:nsid w:val="5E2747D8"/>
    <w:multiLevelType w:val="multilevel"/>
    <w:tmpl w:val="DEFCEFA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64072F83"/>
    <w:multiLevelType w:val="hybridMultilevel"/>
    <w:tmpl w:val="D7F2EF8C"/>
    <w:lvl w:ilvl="0" w:tplc="B030B7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505467E"/>
    <w:multiLevelType w:val="hybridMultilevel"/>
    <w:tmpl w:val="0EAE6FF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722724C1"/>
    <w:multiLevelType w:val="hybridMultilevel"/>
    <w:tmpl w:val="B95A56EA"/>
    <w:lvl w:ilvl="0" w:tplc="4D225F04">
      <w:start w:val="1"/>
      <w:numFmt w:val="decimal"/>
      <w:lvlText w:val="1%1."/>
      <w:lvlJc w:val="left"/>
      <w:pPr>
        <w:ind w:left="234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6" w15:restartNumberingAfterBreak="0">
    <w:nsid w:val="789133BE"/>
    <w:multiLevelType w:val="multilevel"/>
    <w:tmpl w:val="E4009554"/>
    <w:lvl w:ilvl="0">
      <w:start w:val="20"/>
      <w:numFmt w:val="decimal"/>
      <w:lvlText w:val="%1."/>
      <w:lvlJc w:val="left"/>
      <w:pPr>
        <w:ind w:left="1800" w:hanging="360"/>
      </w:pPr>
      <w:rPr>
        <w:rFonts w:hint="default"/>
      </w:rPr>
    </w:lvl>
    <w:lvl w:ilvl="1">
      <w:start w:val="1"/>
      <w:numFmt w:val="decimal"/>
      <w:isLgl/>
      <w:lvlText w:val="%1.%2"/>
      <w:lvlJc w:val="left"/>
      <w:pPr>
        <w:ind w:left="1970" w:hanging="53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7" w15:restartNumberingAfterBreak="0">
    <w:nsid w:val="7CC90501"/>
    <w:multiLevelType w:val="multilevel"/>
    <w:tmpl w:val="64AEC6CE"/>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7E5672EE"/>
    <w:multiLevelType w:val="multilevel"/>
    <w:tmpl w:val="AFCA5846"/>
    <w:lvl w:ilvl="0">
      <w:start w:val="9"/>
      <w:numFmt w:val="decimal"/>
      <w:lvlText w:val="%1."/>
      <w:lvlJc w:val="left"/>
      <w:pPr>
        <w:ind w:left="1800" w:hanging="360"/>
      </w:pPr>
      <w:rPr>
        <w:rFonts w:hint="default"/>
      </w:rPr>
    </w:lvl>
    <w:lvl w:ilvl="1">
      <w:start w:val="1"/>
      <w:numFmt w:val="decimal"/>
      <w:isLgl/>
      <w:lvlText w:val="%1.%2"/>
      <w:lvlJc w:val="left"/>
      <w:pPr>
        <w:ind w:left="1834" w:hanging="394"/>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7E7C4208"/>
    <w:multiLevelType w:val="hybridMultilevel"/>
    <w:tmpl w:val="7482086A"/>
    <w:lvl w:ilvl="0" w:tplc="B030B7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387729032">
    <w:abstractNumId w:val="6"/>
  </w:num>
  <w:num w:numId="2" w16cid:durableId="1772627679">
    <w:abstractNumId w:val="11"/>
  </w:num>
  <w:num w:numId="3" w16cid:durableId="1795558295">
    <w:abstractNumId w:val="1"/>
  </w:num>
  <w:num w:numId="4" w16cid:durableId="1780067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9471708">
    <w:abstractNumId w:val="13"/>
  </w:num>
  <w:num w:numId="6" w16cid:durableId="1664578400">
    <w:abstractNumId w:val="4"/>
  </w:num>
  <w:num w:numId="7" w16cid:durableId="1728215124">
    <w:abstractNumId w:val="16"/>
  </w:num>
  <w:num w:numId="8" w16cid:durableId="1509061210">
    <w:abstractNumId w:val="3"/>
  </w:num>
  <w:num w:numId="9" w16cid:durableId="1132092876">
    <w:abstractNumId w:val="6"/>
  </w:num>
  <w:num w:numId="10" w16cid:durableId="302270101">
    <w:abstractNumId w:val="10"/>
  </w:num>
  <w:num w:numId="11" w16cid:durableId="191577093">
    <w:abstractNumId w:val="19"/>
  </w:num>
  <w:num w:numId="12" w16cid:durableId="1527596176">
    <w:abstractNumId w:val="2"/>
  </w:num>
  <w:num w:numId="13" w16cid:durableId="438791919">
    <w:abstractNumId w:val="6"/>
  </w:num>
  <w:num w:numId="14" w16cid:durableId="1585647801">
    <w:abstractNumId w:val="0"/>
  </w:num>
  <w:num w:numId="15" w16cid:durableId="1065909062">
    <w:abstractNumId w:val="18"/>
  </w:num>
  <w:num w:numId="16" w16cid:durableId="465969362">
    <w:abstractNumId w:val="5"/>
  </w:num>
  <w:num w:numId="17" w16cid:durableId="393284801">
    <w:abstractNumId w:val="8"/>
  </w:num>
  <w:num w:numId="18" w16cid:durableId="1875650115">
    <w:abstractNumId w:val="14"/>
  </w:num>
  <w:num w:numId="19" w16cid:durableId="73935270">
    <w:abstractNumId w:val="6"/>
  </w:num>
  <w:num w:numId="20" w16cid:durableId="1990865491">
    <w:abstractNumId w:val="15"/>
  </w:num>
  <w:num w:numId="21" w16cid:durableId="429202532">
    <w:abstractNumId w:val="17"/>
  </w:num>
  <w:num w:numId="22" w16cid:durableId="709494763">
    <w:abstractNumId w:val="6"/>
  </w:num>
  <w:num w:numId="23" w16cid:durableId="1574437705">
    <w:abstractNumId w:val="7"/>
  </w:num>
  <w:num w:numId="24" w16cid:durableId="18210693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3AA"/>
    <w:rsid w:val="0000113F"/>
    <w:rsid w:val="000154B1"/>
    <w:rsid w:val="00025CBD"/>
    <w:rsid w:val="0003415D"/>
    <w:rsid w:val="00047A89"/>
    <w:rsid w:val="00053319"/>
    <w:rsid w:val="000625B2"/>
    <w:rsid w:val="0007094C"/>
    <w:rsid w:val="00074B43"/>
    <w:rsid w:val="00077A9C"/>
    <w:rsid w:val="00083CBE"/>
    <w:rsid w:val="000907B1"/>
    <w:rsid w:val="00093AB8"/>
    <w:rsid w:val="0009426E"/>
    <w:rsid w:val="00094A10"/>
    <w:rsid w:val="000A5478"/>
    <w:rsid w:val="000B03C3"/>
    <w:rsid w:val="000C0B91"/>
    <w:rsid w:val="000C5A78"/>
    <w:rsid w:val="000E02A3"/>
    <w:rsid w:val="000E46EE"/>
    <w:rsid w:val="000F2FDB"/>
    <w:rsid w:val="00101950"/>
    <w:rsid w:val="00105DB8"/>
    <w:rsid w:val="00110080"/>
    <w:rsid w:val="00117896"/>
    <w:rsid w:val="00117E58"/>
    <w:rsid w:val="00132014"/>
    <w:rsid w:val="00134F43"/>
    <w:rsid w:val="001407A1"/>
    <w:rsid w:val="00143F77"/>
    <w:rsid w:val="001455D6"/>
    <w:rsid w:val="001528FC"/>
    <w:rsid w:val="00166528"/>
    <w:rsid w:val="00177486"/>
    <w:rsid w:val="001836D5"/>
    <w:rsid w:val="00186660"/>
    <w:rsid w:val="00186CE6"/>
    <w:rsid w:val="001C1309"/>
    <w:rsid w:val="001C7A53"/>
    <w:rsid w:val="001D239F"/>
    <w:rsid w:val="001E1C91"/>
    <w:rsid w:val="001E4071"/>
    <w:rsid w:val="001F6F72"/>
    <w:rsid w:val="002162AB"/>
    <w:rsid w:val="00221B90"/>
    <w:rsid w:val="00221C21"/>
    <w:rsid w:val="00222A89"/>
    <w:rsid w:val="00227BF7"/>
    <w:rsid w:val="00230936"/>
    <w:rsid w:val="002332D6"/>
    <w:rsid w:val="00236873"/>
    <w:rsid w:val="002379F1"/>
    <w:rsid w:val="002519C0"/>
    <w:rsid w:val="00255347"/>
    <w:rsid w:val="002671F2"/>
    <w:rsid w:val="00274BED"/>
    <w:rsid w:val="00277349"/>
    <w:rsid w:val="00287671"/>
    <w:rsid w:val="00297237"/>
    <w:rsid w:val="002A227C"/>
    <w:rsid w:val="002A55D2"/>
    <w:rsid w:val="002A6CCA"/>
    <w:rsid w:val="002C7453"/>
    <w:rsid w:val="002C76C5"/>
    <w:rsid w:val="002D10D1"/>
    <w:rsid w:val="002E6B47"/>
    <w:rsid w:val="003015CB"/>
    <w:rsid w:val="003049F6"/>
    <w:rsid w:val="00307AAE"/>
    <w:rsid w:val="003163B6"/>
    <w:rsid w:val="00323D39"/>
    <w:rsid w:val="003248F3"/>
    <w:rsid w:val="00334913"/>
    <w:rsid w:val="003613BA"/>
    <w:rsid w:val="0036259E"/>
    <w:rsid w:val="003653C1"/>
    <w:rsid w:val="00367D5B"/>
    <w:rsid w:val="0037488F"/>
    <w:rsid w:val="0037796D"/>
    <w:rsid w:val="00382298"/>
    <w:rsid w:val="003A2B11"/>
    <w:rsid w:val="003B55E6"/>
    <w:rsid w:val="003C34D2"/>
    <w:rsid w:val="003E56A9"/>
    <w:rsid w:val="003E7D15"/>
    <w:rsid w:val="003F5633"/>
    <w:rsid w:val="0040461C"/>
    <w:rsid w:val="0040640E"/>
    <w:rsid w:val="0040786A"/>
    <w:rsid w:val="0041708B"/>
    <w:rsid w:val="00421A75"/>
    <w:rsid w:val="00421B6B"/>
    <w:rsid w:val="00430189"/>
    <w:rsid w:val="00433382"/>
    <w:rsid w:val="0043490B"/>
    <w:rsid w:val="00434ECE"/>
    <w:rsid w:val="00441DDC"/>
    <w:rsid w:val="00443D2B"/>
    <w:rsid w:val="0044559F"/>
    <w:rsid w:val="004527D1"/>
    <w:rsid w:val="004528EF"/>
    <w:rsid w:val="00462934"/>
    <w:rsid w:val="0046658B"/>
    <w:rsid w:val="00470625"/>
    <w:rsid w:val="00471195"/>
    <w:rsid w:val="00473497"/>
    <w:rsid w:val="004738D1"/>
    <w:rsid w:val="00473C3C"/>
    <w:rsid w:val="00484C30"/>
    <w:rsid w:val="00485619"/>
    <w:rsid w:val="004A2798"/>
    <w:rsid w:val="004A290D"/>
    <w:rsid w:val="004A6580"/>
    <w:rsid w:val="004C1EF9"/>
    <w:rsid w:val="004D0EC8"/>
    <w:rsid w:val="004D697A"/>
    <w:rsid w:val="00505FC3"/>
    <w:rsid w:val="00511816"/>
    <w:rsid w:val="00525BB2"/>
    <w:rsid w:val="00525DA2"/>
    <w:rsid w:val="00527427"/>
    <w:rsid w:val="0052749E"/>
    <w:rsid w:val="00530866"/>
    <w:rsid w:val="005365AC"/>
    <w:rsid w:val="0053674F"/>
    <w:rsid w:val="005373FC"/>
    <w:rsid w:val="0054519C"/>
    <w:rsid w:val="00556813"/>
    <w:rsid w:val="00557512"/>
    <w:rsid w:val="00557ADE"/>
    <w:rsid w:val="00567AE5"/>
    <w:rsid w:val="005707BD"/>
    <w:rsid w:val="005764C5"/>
    <w:rsid w:val="005766DA"/>
    <w:rsid w:val="00577828"/>
    <w:rsid w:val="005820F3"/>
    <w:rsid w:val="005942DE"/>
    <w:rsid w:val="00596432"/>
    <w:rsid w:val="00597009"/>
    <w:rsid w:val="005A2F15"/>
    <w:rsid w:val="005C35CC"/>
    <w:rsid w:val="005C7703"/>
    <w:rsid w:val="005D270E"/>
    <w:rsid w:val="005D68AD"/>
    <w:rsid w:val="005D6981"/>
    <w:rsid w:val="005E3238"/>
    <w:rsid w:val="005E3FDC"/>
    <w:rsid w:val="005E42E2"/>
    <w:rsid w:val="005E728A"/>
    <w:rsid w:val="005F1EB6"/>
    <w:rsid w:val="005F24A6"/>
    <w:rsid w:val="00604E31"/>
    <w:rsid w:val="0060618A"/>
    <w:rsid w:val="00631961"/>
    <w:rsid w:val="00631D28"/>
    <w:rsid w:val="0063274C"/>
    <w:rsid w:val="00634D8F"/>
    <w:rsid w:val="00635FFD"/>
    <w:rsid w:val="00643178"/>
    <w:rsid w:val="00645517"/>
    <w:rsid w:val="00645B65"/>
    <w:rsid w:val="006468D1"/>
    <w:rsid w:val="00655188"/>
    <w:rsid w:val="00655E5E"/>
    <w:rsid w:val="00656AE8"/>
    <w:rsid w:val="00663884"/>
    <w:rsid w:val="00666B67"/>
    <w:rsid w:val="00672912"/>
    <w:rsid w:val="00673FF8"/>
    <w:rsid w:val="006852DA"/>
    <w:rsid w:val="0068568A"/>
    <w:rsid w:val="00685F19"/>
    <w:rsid w:val="006860C1"/>
    <w:rsid w:val="00686600"/>
    <w:rsid w:val="006942D4"/>
    <w:rsid w:val="006A0CEE"/>
    <w:rsid w:val="006B2C9B"/>
    <w:rsid w:val="006C384A"/>
    <w:rsid w:val="006C4297"/>
    <w:rsid w:val="006C54B6"/>
    <w:rsid w:val="006D32F7"/>
    <w:rsid w:val="006D477D"/>
    <w:rsid w:val="006E31A8"/>
    <w:rsid w:val="006F4462"/>
    <w:rsid w:val="006F58C7"/>
    <w:rsid w:val="006F64E7"/>
    <w:rsid w:val="006F7687"/>
    <w:rsid w:val="00716471"/>
    <w:rsid w:val="00716889"/>
    <w:rsid w:val="0072225A"/>
    <w:rsid w:val="007354F8"/>
    <w:rsid w:val="007363BD"/>
    <w:rsid w:val="00737D7D"/>
    <w:rsid w:val="00746B5A"/>
    <w:rsid w:val="007555C4"/>
    <w:rsid w:val="007610B9"/>
    <w:rsid w:val="00765955"/>
    <w:rsid w:val="007724A8"/>
    <w:rsid w:val="00773C02"/>
    <w:rsid w:val="00792582"/>
    <w:rsid w:val="007A3372"/>
    <w:rsid w:val="007B71D4"/>
    <w:rsid w:val="007B7FA7"/>
    <w:rsid w:val="007C482B"/>
    <w:rsid w:val="007C5CBE"/>
    <w:rsid w:val="007D27F0"/>
    <w:rsid w:val="007D74EE"/>
    <w:rsid w:val="007E13C0"/>
    <w:rsid w:val="007E13FA"/>
    <w:rsid w:val="007E4DE0"/>
    <w:rsid w:val="007E63D8"/>
    <w:rsid w:val="007F4FA0"/>
    <w:rsid w:val="00805C56"/>
    <w:rsid w:val="00810FAA"/>
    <w:rsid w:val="0083106E"/>
    <w:rsid w:val="0084574B"/>
    <w:rsid w:val="00861CFE"/>
    <w:rsid w:val="00866B0D"/>
    <w:rsid w:val="00882121"/>
    <w:rsid w:val="00887C37"/>
    <w:rsid w:val="008A2866"/>
    <w:rsid w:val="008B1AC5"/>
    <w:rsid w:val="008B7276"/>
    <w:rsid w:val="008C38CC"/>
    <w:rsid w:val="008C4D20"/>
    <w:rsid w:val="008D5A84"/>
    <w:rsid w:val="0090086B"/>
    <w:rsid w:val="00911AD4"/>
    <w:rsid w:val="009166FB"/>
    <w:rsid w:val="00921A8F"/>
    <w:rsid w:val="0092706C"/>
    <w:rsid w:val="009320B8"/>
    <w:rsid w:val="00944520"/>
    <w:rsid w:val="00961BA2"/>
    <w:rsid w:val="00964F30"/>
    <w:rsid w:val="0096549B"/>
    <w:rsid w:val="00973593"/>
    <w:rsid w:val="00975431"/>
    <w:rsid w:val="00981A92"/>
    <w:rsid w:val="00987DB8"/>
    <w:rsid w:val="009A3856"/>
    <w:rsid w:val="009B0063"/>
    <w:rsid w:val="009B2731"/>
    <w:rsid w:val="009C195F"/>
    <w:rsid w:val="009C25D5"/>
    <w:rsid w:val="009D6FE6"/>
    <w:rsid w:val="009E16EF"/>
    <w:rsid w:val="009F3087"/>
    <w:rsid w:val="00A001E6"/>
    <w:rsid w:val="00A00FA4"/>
    <w:rsid w:val="00A20964"/>
    <w:rsid w:val="00A21D62"/>
    <w:rsid w:val="00A253AA"/>
    <w:rsid w:val="00A30C12"/>
    <w:rsid w:val="00A36910"/>
    <w:rsid w:val="00A52D20"/>
    <w:rsid w:val="00A60515"/>
    <w:rsid w:val="00A612FB"/>
    <w:rsid w:val="00A62CFE"/>
    <w:rsid w:val="00A67359"/>
    <w:rsid w:val="00A70C0E"/>
    <w:rsid w:val="00A75374"/>
    <w:rsid w:val="00A84392"/>
    <w:rsid w:val="00A90076"/>
    <w:rsid w:val="00A95268"/>
    <w:rsid w:val="00AA027E"/>
    <w:rsid w:val="00AB1F2D"/>
    <w:rsid w:val="00AB4A0D"/>
    <w:rsid w:val="00AC0670"/>
    <w:rsid w:val="00AE1871"/>
    <w:rsid w:val="00AF5658"/>
    <w:rsid w:val="00AF7E17"/>
    <w:rsid w:val="00B00A12"/>
    <w:rsid w:val="00B0229E"/>
    <w:rsid w:val="00B1021A"/>
    <w:rsid w:val="00B11B59"/>
    <w:rsid w:val="00B1461D"/>
    <w:rsid w:val="00B243AB"/>
    <w:rsid w:val="00B47DE6"/>
    <w:rsid w:val="00B608E9"/>
    <w:rsid w:val="00B635C1"/>
    <w:rsid w:val="00B71593"/>
    <w:rsid w:val="00B822DA"/>
    <w:rsid w:val="00B8622A"/>
    <w:rsid w:val="00B900F1"/>
    <w:rsid w:val="00B97999"/>
    <w:rsid w:val="00BA27FB"/>
    <w:rsid w:val="00BA3B22"/>
    <w:rsid w:val="00BA4E20"/>
    <w:rsid w:val="00BB2EAD"/>
    <w:rsid w:val="00BD7760"/>
    <w:rsid w:val="00BE5C39"/>
    <w:rsid w:val="00C20507"/>
    <w:rsid w:val="00C22975"/>
    <w:rsid w:val="00C3084D"/>
    <w:rsid w:val="00C30F63"/>
    <w:rsid w:val="00C42D43"/>
    <w:rsid w:val="00C455A8"/>
    <w:rsid w:val="00C5317B"/>
    <w:rsid w:val="00C53280"/>
    <w:rsid w:val="00C57FBF"/>
    <w:rsid w:val="00C67D37"/>
    <w:rsid w:val="00C730F2"/>
    <w:rsid w:val="00C77ADC"/>
    <w:rsid w:val="00C8623B"/>
    <w:rsid w:val="00CA1ABC"/>
    <w:rsid w:val="00CA43A6"/>
    <w:rsid w:val="00CA5669"/>
    <w:rsid w:val="00CB134C"/>
    <w:rsid w:val="00CB34A3"/>
    <w:rsid w:val="00CC04FF"/>
    <w:rsid w:val="00CC2B10"/>
    <w:rsid w:val="00CC46EF"/>
    <w:rsid w:val="00CD068E"/>
    <w:rsid w:val="00CD0D74"/>
    <w:rsid w:val="00CD5303"/>
    <w:rsid w:val="00CE1713"/>
    <w:rsid w:val="00CE1B61"/>
    <w:rsid w:val="00CE2A24"/>
    <w:rsid w:val="00CE30C8"/>
    <w:rsid w:val="00CE6F47"/>
    <w:rsid w:val="00CF58B1"/>
    <w:rsid w:val="00CF6137"/>
    <w:rsid w:val="00D00460"/>
    <w:rsid w:val="00D06A13"/>
    <w:rsid w:val="00D125E6"/>
    <w:rsid w:val="00D220EF"/>
    <w:rsid w:val="00D270E6"/>
    <w:rsid w:val="00D27A5A"/>
    <w:rsid w:val="00D30B3D"/>
    <w:rsid w:val="00D47C5F"/>
    <w:rsid w:val="00D51D2F"/>
    <w:rsid w:val="00D6501F"/>
    <w:rsid w:val="00D677BC"/>
    <w:rsid w:val="00D719C0"/>
    <w:rsid w:val="00D71C51"/>
    <w:rsid w:val="00D81C88"/>
    <w:rsid w:val="00D93E22"/>
    <w:rsid w:val="00DA1576"/>
    <w:rsid w:val="00DB36E1"/>
    <w:rsid w:val="00DB5FAD"/>
    <w:rsid w:val="00DC0AC1"/>
    <w:rsid w:val="00DC74D7"/>
    <w:rsid w:val="00DD77DB"/>
    <w:rsid w:val="00DE4551"/>
    <w:rsid w:val="00DE758C"/>
    <w:rsid w:val="00DE786A"/>
    <w:rsid w:val="00E0317F"/>
    <w:rsid w:val="00E03A1D"/>
    <w:rsid w:val="00E0589B"/>
    <w:rsid w:val="00E134DD"/>
    <w:rsid w:val="00E17BD5"/>
    <w:rsid w:val="00E26E93"/>
    <w:rsid w:val="00E27EA7"/>
    <w:rsid w:val="00E36238"/>
    <w:rsid w:val="00E55EEB"/>
    <w:rsid w:val="00E57EB6"/>
    <w:rsid w:val="00E65853"/>
    <w:rsid w:val="00E67A9C"/>
    <w:rsid w:val="00E84CA4"/>
    <w:rsid w:val="00E87169"/>
    <w:rsid w:val="00EA3134"/>
    <w:rsid w:val="00EA4454"/>
    <w:rsid w:val="00EA78AA"/>
    <w:rsid w:val="00EB32F3"/>
    <w:rsid w:val="00EB4DEF"/>
    <w:rsid w:val="00EB62A8"/>
    <w:rsid w:val="00EC1854"/>
    <w:rsid w:val="00EC436A"/>
    <w:rsid w:val="00EC5FCE"/>
    <w:rsid w:val="00ED19A7"/>
    <w:rsid w:val="00EE2224"/>
    <w:rsid w:val="00EE51CB"/>
    <w:rsid w:val="00EF19FC"/>
    <w:rsid w:val="00F0047E"/>
    <w:rsid w:val="00F05064"/>
    <w:rsid w:val="00F10EBB"/>
    <w:rsid w:val="00F112E9"/>
    <w:rsid w:val="00F1784F"/>
    <w:rsid w:val="00F20140"/>
    <w:rsid w:val="00F24F02"/>
    <w:rsid w:val="00F2694D"/>
    <w:rsid w:val="00F35697"/>
    <w:rsid w:val="00F57CB2"/>
    <w:rsid w:val="00F61A65"/>
    <w:rsid w:val="00F63265"/>
    <w:rsid w:val="00F7514A"/>
    <w:rsid w:val="00F76E24"/>
    <w:rsid w:val="00F76FA1"/>
    <w:rsid w:val="00F800AF"/>
    <w:rsid w:val="00F82A57"/>
    <w:rsid w:val="00F85A59"/>
    <w:rsid w:val="00F9187F"/>
    <w:rsid w:val="00F9271F"/>
    <w:rsid w:val="00F9411C"/>
    <w:rsid w:val="00FA1062"/>
    <w:rsid w:val="00FB66CA"/>
    <w:rsid w:val="00FC0434"/>
    <w:rsid w:val="00FE269A"/>
    <w:rsid w:val="00FF2119"/>
    <w:rsid w:val="00FF6192"/>
    <w:rsid w:val="00FF6AB8"/>
    <w:rsid w:val="00FF6E33"/>
    <w:rsid w:val="00FF7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0CB5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6EF"/>
    <w:pPr>
      <w:spacing w:after="160" w:line="259" w:lineRule="auto"/>
      <w:ind w:left="1440" w:right="1440"/>
    </w:pPr>
    <w:rPr>
      <w:rFonts w:ascii="Arial" w:hAnsi="Arial" w:cs="Arial"/>
      <w:sz w:val="24"/>
      <w:szCs w:val="24"/>
    </w:rPr>
  </w:style>
  <w:style w:type="paragraph" w:styleId="Heading1">
    <w:name w:val="heading 1"/>
    <w:basedOn w:val="Normal"/>
    <w:next w:val="Normal"/>
    <w:link w:val="Heading1Char"/>
    <w:uiPriority w:val="9"/>
    <w:qFormat/>
    <w:rsid w:val="00077A9C"/>
    <w:pPr>
      <w:keepNext/>
      <w:keepLines/>
      <w:spacing w:before="240" w:after="0"/>
      <w:jc w:val="center"/>
      <w:outlineLvl w:val="0"/>
    </w:pPr>
    <w:rPr>
      <w:rFonts w:eastAsiaTheme="majorEastAsia"/>
      <w:b/>
      <w:sz w:val="36"/>
      <w:szCs w:val="36"/>
    </w:rPr>
  </w:style>
  <w:style w:type="paragraph" w:styleId="Heading2">
    <w:name w:val="heading 2"/>
    <w:basedOn w:val="Normal"/>
    <w:next w:val="Normal"/>
    <w:link w:val="Heading2Char"/>
    <w:uiPriority w:val="9"/>
    <w:unhideWhenUsed/>
    <w:qFormat/>
    <w:rsid w:val="00077A9C"/>
    <w:pPr>
      <w:keepNext/>
      <w:keepLines/>
      <w:spacing w:before="40" w:after="0"/>
      <w:outlineLvl w:val="1"/>
    </w:pPr>
    <w:rPr>
      <w:rFonts w:eastAsiaTheme="majorEastAsia"/>
      <w:b/>
      <w:sz w:val="32"/>
      <w:szCs w:val="32"/>
    </w:rPr>
  </w:style>
  <w:style w:type="paragraph" w:styleId="Heading3">
    <w:name w:val="heading 3"/>
    <w:basedOn w:val="Normal"/>
    <w:next w:val="Normal"/>
    <w:link w:val="Heading3Char"/>
    <w:uiPriority w:val="9"/>
    <w:unhideWhenUsed/>
    <w:qFormat/>
    <w:rsid w:val="00C57FBF"/>
    <w:pPr>
      <w:keepNext/>
      <w:keepLines/>
      <w:spacing w:before="40" w:after="0"/>
      <w:outlineLvl w:val="2"/>
    </w:pPr>
    <w:rPr>
      <w:rFonts w:eastAsiaTheme="majorEastAsia"/>
      <w:b/>
      <w:szCs w:val="32"/>
    </w:rPr>
  </w:style>
  <w:style w:type="paragraph" w:styleId="Heading4">
    <w:name w:val="heading 4"/>
    <w:basedOn w:val="Normal"/>
    <w:next w:val="Normal"/>
    <w:link w:val="Heading4Char"/>
    <w:uiPriority w:val="9"/>
    <w:unhideWhenUsed/>
    <w:rsid w:val="00B1021A"/>
    <w:pPr>
      <w:keepNext/>
      <w:keepLines/>
      <w:spacing w:before="40" w:after="0"/>
      <w:outlineLvl w:val="3"/>
    </w:pPr>
    <w:rPr>
      <w:rFonts w:eastAsiaTheme="majorEastAsia"/>
      <w:b/>
      <w:iCs/>
    </w:rPr>
  </w:style>
  <w:style w:type="paragraph" w:styleId="Heading5">
    <w:name w:val="heading 5"/>
    <w:basedOn w:val="Normal"/>
    <w:next w:val="Normal"/>
    <w:link w:val="Heading5Char"/>
    <w:uiPriority w:val="9"/>
    <w:unhideWhenUsed/>
    <w:rsid w:val="00B1021A"/>
    <w:pPr>
      <w:keepNext/>
      <w:keepLines/>
      <w:spacing w:before="40" w:after="0"/>
      <w:outlineLvl w:val="4"/>
    </w:pPr>
    <w:rPr>
      <w:rFonts w:eastAsiaTheme="majorEastAsia"/>
      <w:b/>
    </w:rPr>
  </w:style>
  <w:style w:type="paragraph" w:styleId="Heading6">
    <w:name w:val="heading 6"/>
    <w:basedOn w:val="Normal"/>
    <w:next w:val="Normal"/>
    <w:link w:val="Heading6Char"/>
    <w:uiPriority w:val="9"/>
    <w:unhideWhenUsed/>
    <w:rsid w:val="00737D7D"/>
    <w:pPr>
      <w:keepNext/>
      <w:keepLines/>
      <w:spacing w:before="40" w:after="0"/>
      <w:outlineLvl w:val="5"/>
    </w:pPr>
    <w:rPr>
      <w:rFonts w:eastAsiaTheme="majorEastAsia"/>
      <w:b/>
    </w:rPr>
  </w:style>
  <w:style w:type="paragraph" w:styleId="Heading7">
    <w:name w:val="heading 7"/>
    <w:basedOn w:val="Normal"/>
    <w:next w:val="Normal"/>
    <w:link w:val="Heading7Char"/>
    <w:uiPriority w:val="9"/>
    <w:unhideWhenUsed/>
    <w:rsid w:val="00737D7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07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90076"/>
    <w:rPr>
      <w:rFonts w:ascii="Segoe UI" w:hAnsi="Segoe UI" w:cs="Segoe UI"/>
      <w:sz w:val="18"/>
      <w:szCs w:val="18"/>
    </w:rPr>
  </w:style>
  <w:style w:type="character" w:customStyle="1" w:styleId="Heading1Char">
    <w:name w:val="Heading 1 Char"/>
    <w:basedOn w:val="DefaultParagraphFont"/>
    <w:link w:val="Heading1"/>
    <w:uiPriority w:val="9"/>
    <w:rsid w:val="00077A9C"/>
    <w:rPr>
      <w:rFonts w:ascii="Arial" w:eastAsiaTheme="majorEastAsia" w:hAnsi="Arial" w:cs="Arial"/>
      <w:b/>
      <w:sz w:val="36"/>
      <w:szCs w:val="36"/>
    </w:rPr>
  </w:style>
  <w:style w:type="character" w:customStyle="1" w:styleId="Heading2Char">
    <w:name w:val="Heading 2 Char"/>
    <w:basedOn w:val="DefaultParagraphFont"/>
    <w:link w:val="Heading2"/>
    <w:uiPriority w:val="9"/>
    <w:rsid w:val="00077A9C"/>
    <w:rPr>
      <w:rFonts w:ascii="Arial" w:eastAsiaTheme="majorEastAsia" w:hAnsi="Arial" w:cs="Arial"/>
      <w:b/>
      <w:sz w:val="32"/>
      <w:szCs w:val="32"/>
    </w:rPr>
  </w:style>
  <w:style w:type="character" w:customStyle="1" w:styleId="Heading3Char">
    <w:name w:val="Heading 3 Char"/>
    <w:basedOn w:val="DefaultParagraphFont"/>
    <w:link w:val="Heading3"/>
    <w:uiPriority w:val="9"/>
    <w:rsid w:val="00C57FBF"/>
    <w:rPr>
      <w:rFonts w:ascii="Arial" w:eastAsiaTheme="majorEastAsia" w:hAnsi="Arial" w:cs="Arial"/>
      <w:b/>
      <w:sz w:val="24"/>
      <w:szCs w:val="32"/>
    </w:rPr>
  </w:style>
  <w:style w:type="character" w:customStyle="1" w:styleId="Heading4Char">
    <w:name w:val="Heading 4 Char"/>
    <w:basedOn w:val="DefaultParagraphFont"/>
    <w:link w:val="Heading4"/>
    <w:uiPriority w:val="9"/>
    <w:rsid w:val="00B1021A"/>
    <w:rPr>
      <w:rFonts w:ascii="Arial" w:eastAsiaTheme="majorEastAsia" w:hAnsi="Arial" w:cs="Arial"/>
      <w:b/>
      <w:iCs/>
      <w:sz w:val="24"/>
      <w:szCs w:val="24"/>
    </w:rPr>
  </w:style>
  <w:style w:type="character" w:customStyle="1" w:styleId="Heading5Char">
    <w:name w:val="Heading 5 Char"/>
    <w:basedOn w:val="DefaultParagraphFont"/>
    <w:link w:val="Heading5"/>
    <w:uiPriority w:val="9"/>
    <w:rsid w:val="00B1021A"/>
    <w:rPr>
      <w:rFonts w:ascii="Arial" w:eastAsiaTheme="majorEastAsia" w:hAnsi="Arial" w:cs="Arial"/>
      <w:b/>
      <w:sz w:val="24"/>
      <w:szCs w:val="24"/>
    </w:rPr>
  </w:style>
  <w:style w:type="character" w:customStyle="1" w:styleId="Heading6Char">
    <w:name w:val="Heading 6 Char"/>
    <w:basedOn w:val="DefaultParagraphFont"/>
    <w:link w:val="Heading6"/>
    <w:uiPriority w:val="9"/>
    <w:rsid w:val="00737D7D"/>
    <w:rPr>
      <w:rFonts w:ascii="Arial" w:eastAsiaTheme="majorEastAsia" w:hAnsi="Arial" w:cs="Arial"/>
      <w:b/>
      <w:sz w:val="24"/>
      <w:szCs w:val="24"/>
    </w:rPr>
  </w:style>
  <w:style w:type="character" w:customStyle="1" w:styleId="Heading7Char">
    <w:name w:val="Heading 7 Char"/>
    <w:basedOn w:val="DefaultParagraphFont"/>
    <w:link w:val="Heading7"/>
    <w:uiPriority w:val="9"/>
    <w:rsid w:val="00737D7D"/>
    <w:rPr>
      <w:rFonts w:asciiTheme="majorHAnsi" w:eastAsiaTheme="majorEastAsia" w:hAnsiTheme="majorHAnsi" w:cstheme="majorBidi"/>
      <w:i/>
      <w:iCs/>
      <w:color w:val="1F4D78" w:themeColor="accent1" w:themeShade="7F"/>
      <w:sz w:val="22"/>
      <w:szCs w:val="22"/>
    </w:rPr>
  </w:style>
  <w:style w:type="paragraph" w:styleId="Title">
    <w:name w:val="Title"/>
    <w:basedOn w:val="Normal"/>
    <w:next w:val="Normal"/>
    <w:link w:val="TitleChar"/>
    <w:uiPriority w:val="10"/>
    <w:rsid w:val="009E16EF"/>
    <w:pPr>
      <w:spacing w:after="0" w:line="240" w:lineRule="auto"/>
      <w:ind w:left="360" w:right="360"/>
      <w:contextualSpacing/>
    </w:pPr>
    <w:rPr>
      <w:rFonts w:eastAsiaTheme="majorEastAsia"/>
      <w:spacing w:val="-10"/>
      <w:kern w:val="28"/>
    </w:rPr>
  </w:style>
  <w:style w:type="character" w:customStyle="1" w:styleId="TitleChar">
    <w:name w:val="Title Char"/>
    <w:basedOn w:val="DefaultParagraphFont"/>
    <w:link w:val="Title"/>
    <w:uiPriority w:val="10"/>
    <w:rsid w:val="009E16EF"/>
    <w:rPr>
      <w:rFonts w:ascii="Arial" w:eastAsiaTheme="majorEastAsia" w:hAnsi="Arial" w:cs="Arial"/>
      <w:spacing w:val="-10"/>
      <w:kern w:val="28"/>
      <w:sz w:val="24"/>
      <w:szCs w:val="24"/>
    </w:rPr>
  </w:style>
  <w:style w:type="paragraph" w:styleId="Header">
    <w:name w:val="header"/>
    <w:basedOn w:val="Normal"/>
    <w:link w:val="HeaderChar"/>
    <w:uiPriority w:val="99"/>
    <w:unhideWhenUsed/>
    <w:rsid w:val="00635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FFD"/>
    <w:rPr>
      <w:rFonts w:ascii="Arial" w:hAnsi="Arial" w:cs="Arial"/>
      <w:sz w:val="24"/>
      <w:szCs w:val="24"/>
    </w:rPr>
  </w:style>
  <w:style w:type="paragraph" w:styleId="Footer">
    <w:name w:val="footer"/>
    <w:basedOn w:val="Normal"/>
    <w:link w:val="FooterChar"/>
    <w:uiPriority w:val="99"/>
    <w:unhideWhenUsed/>
    <w:rsid w:val="00635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FFD"/>
    <w:rPr>
      <w:rFonts w:ascii="Arial" w:hAnsi="Arial" w:cs="Arial"/>
      <w:sz w:val="24"/>
      <w:szCs w:val="24"/>
    </w:rPr>
  </w:style>
  <w:style w:type="character" w:styleId="Hyperlink">
    <w:name w:val="Hyperlink"/>
    <w:basedOn w:val="DefaultParagraphFont"/>
    <w:uiPriority w:val="99"/>
    <w:unhideWhenUsed/>
    <w:rsid w:val="00470625"/>
    <w:rPr>
      <w:color w:val="0000FF"/>
      <w:u w:val="single"/>
    </w:rPr>
  </w:style>
  <w:style w:type="character" w:styleId="Emphasis">
    <w:name w:val="Emphasis"/>
    <w:basedOn w:val="Strong"/>
    <w:uiPriority w:val="20"/>
    <w:rsid w:val="00B1021A"/>
  </w:style>
  <w:style w:type="character" w:styleId="Strong">
    <w:name w:val="Strong"/>
    <w:basedOn w:val="DefaultParagraphFont"/>
    <w:uiPriority w:val="22"/>
    <w:rsid w:val="00B1021A"/>
  </w:style>
  <w:style w:type="paragraph" w:styleId="IntenseQuote">
    <w:name w:val="Intense Quote"/>
    <w:basedOn w:val="Normal"/>
    <w:next w:val="Normal"/>
    <w:link w:val="IntenseQuoteChar"/>
    <w:uiPriority w:val="60"/>
    <w:rsid w:val="00B1021A"/>
    <w:pPr>
      <w:spacing w:before="360" w:after="360"/>
    </w:pPr>
    <w:rPr>
      <w:b/>
      <w:iCs/>
    </w:rPr>
  </w:style>
  <w:style w:type="character" w:customStyle="1" w:styleId="IntenseQuoteChar">
    <w:name w:val="Intense Quote Char"/>
    <w:basedOn w:val="DefaultParagraphFont"/>
    <w:link w:val="IntenseQuote"/>
    <w:uiPriority w:val="60"/>
    <w:rsid w:val="00B1021A"/>
    <w:rPr>
      <w:rFonts w:ascii="Arial" w:hAnsi="Arial" w:cs="Arial"/>
      <w:b/>
      <w:iCs/>
      <w:sz w:val="24"/>
      <w:szCs w:val="24"/>
    </w:rPr>
  </w:style>
  <w:style w:type="character" w:styleId="SubtleEmphasis">
    <w:name w:val="Subtle Emphasis"/>
    <w:uiPriority w:val="65"/>
    <w:rsid w:val="00B1021A"/>
  </w:style>
  <w:style w:type="character" w:styleId="IntenseEmphasis">
    <w:name w:val="Intense Emphasis"/>
    <w:basedOn w:val="SubtleEmphasis"/>
    <w:uiPriority w:val="66"/>
    <w:rsid w:val="00B1021A"/>
  </w:style>
  <w:style w:type="character" w:styleId="SubtleReference">
    <w:name w:val="Subtle Reference"/>
    <w:basedOn w:val="IntenseEmphasis"/>
    <w:uiPriority w:val="67"/>
    <w:rsid w:val="00B1021A"/>
  </w:style>
  <w:style w:type="character" w:styleId="IntenseReference">
    <w:name w:val="Intense Reference"/>
    <w:basedOn w:val="SubtleReference"/>
    <w:uiPriority w:val="68"/>
    <w:rsid w:val="00B1021A"/>
  </w:style>
  <w:style w:type="character" w:styleId="BookTitle">
    <w:name w:val="Book Title"/>
    <w:basedOn w:val="IntenseReference"/>
    <w:uiPriority w:val="69"/>
    <w:rsid w:val="00B1021A"/>
  </w:style>
  <w:style w:type="paragraph" w:styleId="Quote">
    <w:name w:val="Quote"/>
    <w:basedOn w:val="Normal"/>
    <w:next w:val="Normal"/>
    <w:link w:val="QuoteChar"/>
    <w:uiPriority w:val="73"/>
    <w:qFormat/>
    <w:rsid w:val="00B1021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73"/>
    <w:rsid w:val="00B1021A"/>
    <w:rPr>
      <w:rFonts w:ascii="Arial" w:hAnsi="Arial" w:cs="Arial"/>
      <w:i/>
      <w:iCs/>
      <w:color w:val="404040" w:themeColor="text1" w:themeTint="BF"/>
      <w:sz w:val="24"/>
      <w:szCs w:val="24"/>
    </w:rPr>
  </w:style>
  <w:style w:type="paragraph" w:styleId="NoSpacing">
    <w:name w:val="No Spacing"/>
    <w:uiPriority w:val="99"/>
    <w:rsid w:val="00B1021A"/>
    <w:pPr>
      <w:ind w:left="1440" w:right="1440"/>
    </w:pPr>
    <w:rPr>
      <w:rFonts w:ascii="Arial" w:hAnsi="Arial" w:cs="Arial"/>
      <w:sz w:val="24"/>
      <w:szCs w:val="24"/>
    </w:rPr>
  </w:style>
  <w:style w:type="paragraph" w:styleId="ListParagraph">
    <w:name w:val="List Paragraph"/>
    <w:basedOn w:val="Normal"/>
    <w:uiPriority w:val="72"/>
    <w:qFormat/>
    <w:rsid w:val="00B1021A"/>
    <w:pPr>
      <w:numPr>
        <w:numId w:val="1"/>
      </w:numPr>
      <w:spacing w:after="240" w:line="240" w:lineRule="auto"/>
    </w:pPr>
  </w:style>
  <w:style w:type="character" w:styleId="CommentReference">
    <w:name w:val="annotation reference"/>
    <w:basedOn w:val="DefaultParagraphFont"/>
    <w:uiPriority w:val="99"/>
    <w:semiHidden/>
    <w:unhideWhenUsed/>
    <w:rsid w:val="00E84CA4"/>
    <w:rPr>
      <w:sz w:val="16"/>
      <w:szCs w:val="16"/>
    </w:rPr>
  </w:style>
  <w:style w:type="paragraph" w:styleId="CommentText">
    <w:name w:val="annotation text"/>
    <w:basedOn w:val="Normal"/>
    <w:link w:val="CommentTextChar"/>
    <w:uiPriority w:val="99"/>
    <w:semiHidden/>
    <w:unhideWhenUsed/>
    <w:rsid w:val="00E84CA4"/>
    <w:pPr>
      <w:spacing w:line="240" w:lineRule="auto"/>
    </w:pPr>
    <w:rPr>
      <w:sz w:val="20"/>
      <w:szCs w:val="20"/>
    </w:rPr>
  </w:style>
  <w:style w:type="character" w:customStyle="1" w:styleId="CommentTextChar">
    <w:name w:val="Comment Text Char"/>
    <w:basedOn w:val="DefaultParagraphFont"/>
    <w:link w:val="CommentText"/>
    <w:uiPriority w:val="99"/>
    <w:semiHidden/>
    <w:rsid w:val="00E84CA4"/>
    <w:rPr>
      <w:rFonts w:ascii="Arial" w:hAnsi="Arial" w:cs="Arial"/>
    </w:rPr>
  </w:style>
  <w:style w:type="paragraph" w:styleId="CommentSubject">
    <w:name w:val="annotation subject"/>
    <w:basedOn w:val="CommentText"/>
    <w:next w:val="CommentText"/>
    <w:link w:val="CommentSubjectChar"/>
    <w:uiPriority w:val="99"/>
    <w:semiHidden/>
    <w:unhideWhenUsed/>
    <w:rsid w:val="00E84CA4"/>
    <w:rPr>
      <w:b/>
      <w:bCs/>
    </w:rPr>
  </w:style>
  <w:style w:type="character" w:customStyle="1" w:styleId="CommentSubjectChar">
    <w:name w:val="Comment Subject Char"/>
    <w:basedOn w:val="CommentTextChar"/>
    <w:link w:val="CommentSubject"/>
    <w:uiPriority w:val="99"/>
    <w:semiHidden/>
    <w:rsid w:val="00E84CA4"/>
    <w:rPr>
      <w:rFonts w:ascii="Arial" w:hAnsi="Arial" w:cs="Arial"/>
      <w:b/>
      <w:bCs/>
    </w:rPr>
  </w:style>
  <w:style w:type="character" w:styleId="FollowedHyperlink">
    <w:name w:val="FollowedHyperlink"/>
    <w:basedOn w:val="DefaultParagraphFont"/>
    <w:uiPriority w:val="99"/>
    <w:semiHidden/>
    <w:unhideWhenUsed/>
    <w:rsid w:val="00631D28"/>
    <w:rPr>
      <w:color w:val="954F72" w:themeColor="followedHyperlink"/>
      <w:u w:val="single"/>
    </w:rPr>
  </w:style>
  <w:style w:type="paragraph" w:styleId="Caption">
    <w:name w:val="caption"/>
    <w:basedOn w:val="Normal"/>
    <w:next w:val="Normal"/>
    <w:uiPriority w:val="35"/>
    <w:unhideWhenUsed/>
    <w:qFormat/>
    <w:rsid w:val="00473497"/>
    <w:pPr>
      <w:spacing w:after="200" w:line="240" w:lineRule="auto"/>
    </w:pPr>
    <w:rPr>
      <w:i/>
      <w:iCs/>
      <w:color w:val="44546A" w:themeColor="text2"/>
      <w:sz w:val="18"/>
      <w:szCs w:val="18"/>
    </w:rPr>
  </w:style>
  <w:style w:type="character" w:customStyle="1" w:styleId="UnresolvedMention1">
    <w:name w:val="Unresolved Mention1"/>
    <w:basedOn w:val="DefaultParagraphFont"/>
    <w:uiPriority w:val="99"/>
    <w:semiHidden/>
    <w:unhideWhenUsed/>
    <w:rsid w:val="002671F2"/>
    <w:rPr>
      <w:color w:val="605E5C"/>
      <w:shd w:val="clear" w:color="auto" w:fill="E1DFDD"/>
    </w:rPr>
  </w:style>
  <w:style w:type="character" w:customStyle="1" w:styleId="UnresolvedMention2">
    <w:name w:val="Unresolved Mention2"/>
    <w:basedOn w:val="DefaultParagraphFont"/>
    <w:uiPriority w:val="99"/>
    <w:semiHidden/>
    <w:unhideWhenUsed/>
    <w:rsid w:val="00805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81976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cyaangh\AppData\Local\Microsoft\Windows\INetCache\IE\XQDZDTXC\$4,963,493.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7E0CD-99A1-485D-BDEC-F35A3909E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1389</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RFP-21: Request for Proposals AEPD Q&amp;A (CA Dept of Education)</vt:lpstr>
    </vt:vector>
  </TitlesOfParts>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RFP-21: Request for Proposals AEPD Q&amp;A (CA Dept of Education)</dc:title>
  <dc:subject>California Department of Education Request for Proposals (RFP) Questions and Answers Adult Education Professional Development (AEPD).</dc:subject>
  <dc:creator/>
  <cp:keywords/>
  <dc:description/>
  <cp:lastModifiedBy/>
  <cp:revision>1</cp:revision>
  <dcterms:created xsi:type="dcterms:W3CDTF">2024-05-10T18:43:00Z</dcterms:created>
  <dcterms:modified xsi:type="dcterms:W3CDTF">2024-05-10T18:45:00Z</dcterms:modified>
</cp:coreProperties>
</file>