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D000" w14:textId="68F93B1F" w:rsidR="005F1D6F" w:rsidRPr="004D0DC2" w:rsidRDefault="005F1D6F" w:rsidP="001D004A">
      <w:pPr>
        <w:pStyle w:val="Heading1"/>
      </w:pPr>
      <w:bookmarkStart w:id="0" w:name="_Toc210913290"/>
      <w:r>
        <w:t>California Department of Education</w:t>
      </w:r>
      <w:r w:rsidR="00937AC7">
        <w:t xml:space="preserve"> </w:t>
      </w:r>
      <w:r w:rsidR="00995547">
        <w:t>Request for Proposals</w:t>
      </w:r>
      <w:r w:rsidR="00D26438">
        <w:t xml:space="preserve"> (RFP)</w:t>
      </w:r>
      <w:r w:rsidR="00937AC7">
        <w:t xml:space="preserve"> </w:t>
      </w:r>
      <w:r w:rsidR="0088344C">
        <w:t>Adult Education Professional Development</w:t>
      </w:r>
      <w:r w:rsidR="00EE2F9F">
        <w:t xml:space="preserve"> </w:t>
      </w:r>
      <w:r w:rsidR="00D17889">
        <w:t>–</w:t>
      </w:r>
      <w:r w:rsidR="00937AC7">
        <w:t xml:space="preserve"> </w:t>
      </w:r>
      <w:r w:rsidR="008707A8">
        <w:t>CN</w:t>
      </w:r>
      <w:r w:rsidR="00341744">
        <w:t>260001</w:t>
      </w:r>
      <w:bookmarkEnd w:id="0"/>
    </w:p>
    <w:p w14:paraId="3D8AD001" w14:textId="524995F9" w:rsidR="005F1D6F" w:rsidRPr="004D0DC2" w:rsidRDefault="00937AC7" w:rsidP="00697B9C">
      <w:pPr>
        <w:jc w:val="center"/>
      </w:pPr>
      <w:r w:rsidRPr="004D0DC2">
        <w:t xml:space="preserve">Contract Term: </w:t>
      </w:r>
      <w:r w:rsidR="002B386C" w:rsidRPr="004D0DC2">
        <w:t>July</w:t>
      </w:r>
      <w:r w:rsidR="00D26438" w:rsidRPr="004D0DC2">
        <w:t xml:space="preserve"> 1, 20</w:t>
      </w:r>
      <w:r w:rsidR="00EE2F9F" w:rsidRPr="004D0DC2">
        <w:t>2</w:t>
      </w:r>
      <w:r w:rsidR="0088344C" w:rsidRPr="004D0DC2">
        <w:t>6</w:t>
      </w:r>
      <w:r w:rsidR="00DD385D" w:rsidRPr="004D0DC2">
        <w:t xml:space="preserve"> – </w:t>
      </w:r>
      <w:r w:rsidR="00D14CDD" w:rsidRPr="004D0DC2">
        <w:t>August 31, 202</w:t>
      </w:r>
      <w:r w:rsidR="0088344C" w:rsidRPr="004D0DC2">
        <w:t>8</w:t>
      </w:r>
    </w:p>
    <w:p w14:paraId="3D8AD002" w14:textId="4E22AD30" w:rsidR="00CB1B58" w:rsidRPr="004D0DC2" w:rsidRDefault="00CB1B58" w:rsidP="00697B9C">
      <w:pPr>
        <w:jc w:val="center"/>
      </w:pPr>
      <w:r w:rsidRPr="004D0DC2">
        <w:t xml:space="preserve">RFP Release Date: </w:t>
      </w:r>
      <w:r w:rsidR="00D14CDD" w:rsidRPr="004D0DC2">
        <w:t xml:space="preserve">October </w:t>
      </w:r>
      <w:r w:rsidR="0088344C" w:rsidRPr="004D0DC2">
        <w:t>29, 2025</w:t>
      </w:r>
    </w:p>
    <w:p w14:paraId="3D8AD003" w14:textId="77777777" w:rsidR="00D26438" w:rsidRPr="004D0DC2" w:rsidRDefault="00D26438" w:rsidP="00697B9C">
      <w:pPr>
        <w:jc w:val="center"/>
      </w:pPr>
      <w:r w:rsidRPr="004D0DC2">
        <w:t>California Department of Education</w:t>
      </w:r>
    </w:p>
    <w:p w14:paraId="3D8AD004" w14:textId="1CD0BD53" w:rsidR="00D26438" w:rsidRPr="004D0DC2" w:rsidRDefault="0088344C" w:rsidP="00697B9C">
      <w:pPr>
        <w:jc w:val="center"/>
      </w:pPr>
      <w:r w:rsidRPr="004D0DC2">
        <w:rPr>
          <w:rFonts w:cs="Arial"/>
          <w:szCs w:val="24"/>
        </w:rPr>
        <w:t>Career and College Division</w:t>
      </w:r>
    </w:p>
    <w:p w14:paraId="3D8AD005" w14:textId="16E62848" w:rsidR="00D26438" w:rsidRPr="004D0DC2" w:rsidRDefault="00D26438" w:rsidP="00697B9C">
      <w:pPr>
        <w:jc w:val="center"/>
      </w:pPr>
      <w:r w:rsidRPr="004D0DC2">
        <w:t xml:space="preserve">Attention: </w:t>
      </w:r>
      <w:r w:rsidR="0088344C" w:rsidRPr="004D0DC2">
        <w:t>Jennifer Boone</w:t>
      </w:r>
    </w:p>
    <w:p w14:paraId="3D8AD006" w14:textId="20D50CC6" w:rsidR="00D26438" w:rsidRPr="004D0DC2" w:rsidRDefault="002E0181" w:rsidP="00697B9C">
      <w:pPr>
        <w:jc w:val="center"/>
      </w:pPr>
      <w:r w:rsidRPr="004D0DC2">
        <w:t xml:space="preserve">1430 N Street, Suite </w:t>
      </w:r>
      <w:r w:rsidR="008A68ED" w:rsidRPr="004D0DC2">
        <w:t>4202</w:t>
      </w:r>
    </w:p>
    <w:p w14:paraId="3D8AD007" w14:textId="77777777" w:rsidR="00D26438" w:rsidRPr="004D0DC2" w:rsidRDefault="00D26438" w:rsidP="00697B9C">
      <w:pPr>
        <w:jc w:val="center"/>
      </w:pPr>
      <w:r w:rsidRPr="004D0DC2">
        <w:t>Sacramento, CA 95814</w:t>
      </w:r>
    </w:p>
    <w:p w14:paraId="7A05115E" w14:textId="02ED3E83" w:rsidR="00FE53EB" w:rsidRDefault="00FE53EB" w:rsidP="00697B9C">
      <w:pPr>
        <w:jc w:val="center"/>
      </w:pPr>
      <w:r w:rsidRPr="004D0DC2">
        <w:t xml:space="preserve">Email: </w:t>
      </w:r>
      <w:hyperlink r:id="rId7" w:history="1">
        <w:r w:rsidR="006E6F31" w:rsidRPr="004B0858">
          <w:rPr>
            <w:rStyle w:val="Hyperlink"/>
          </w:rPr>
          <w:t>Jboone@cde.ca.gov</w:t>
        </w:r>
      </w:hyperlink>
    </w:p>
    <w:p w14:paraId="3D8AD009" w14:textId="24B14192" w:rsidR="00D22A88" w:rsidRPr="004D0DC2" w:rsidRDefault="00FE53EB" w:rsidP="00EE2F9F">
      <w:pPr>
        <w:autoSpaceDE w:val="0"/>
        <w:autoSpaceDN w:val="0"/>
        <w:adjustRightInd w:val="0"/>
        <w:jc w:val="center"/>
        <w:rPr>
          <w:rFonts w:cs="Arial"/>
          <w:szCs w:val="24"/>
        </w:rPr>
      </w:pPr>
      <w:r w:rsidRPr="004D0DC2">
        <w:t xml:space="preserve">Phone: </w:t>
      </w:r>
      <w:r w:rsidR="0088344C" w:rsidRPr="004D0DC2">
        <w:rPr>
          <w:rFonts w:cs="Arial"/>
          <w:szCs w:val="24"/>
        </w:rPr>
        <w:t>916-322-2175</w:t>
      </w:r>
    </w:p>
    <w:p w14:paraId="45EEB02E" w14:textId="70527047" w:rsidR="00483D58" w:rsidRPr="004D0DC2" w:rsidRDefault="00483D58" w:rsidP="00997177">
      <w:pPr>
        <w:jc w:val="center"/>
        <w:rPr>
          <w:color w:val="FF0000"/>
        </w:rPr>
      </w:pPr>
      <w:r w:rsidRPr="004D0DC2">
        <w:rPr>
          <w:rFonts w:cs="Arial"/>
        </w:rPr>
        <w:br w:type="page"/>
      </w:r>
    </w:p>
    <w:p w14:paraId="3D8AD00A" w14:textId="6A6F2BC2" w:rsidR="003D2B70" w:rsidRPr="004D0DC2" w:rsidRDefault="00FC2FC1" w:rsidP="00D22A88">
      <w:pPr>
        <w:spacing w:before="240" w:after="240"/>
        <w:jc w:val="center"/>
        <w:rPr>
          <w:rFonts w:cs="Arial"/>
        </w:rPr>
      </w:pPr>
      <w:r w:rsidRPr="004D0DC2">
        <w:rPr>
          <w:rFonts w:cs="Arial"/>
        </w:rPr>
        <w:lastRenderedPageBreak/>
        <w:t>This page intentionally left blank to facilitate double-sided printing</w:t>
      </w:r>
    </w:p>
    <w:p w14:paraId="3D8AD00B" w14:textId="77777777" w:rsidR="00D22A88" w:rsidRPr="004D0DC2" w:rsidRDefault="00D22A88">
      <w:pPr>
        <w:rPr>
          <w:rFonts w:eastAsia="Times New Roman" w:cs="Arial"/>
          <w:b/>
          <w:bCs/>
          <w:iCs/>
          <w:sz w:val="32"/>
          <w:szCs w:val="28"/>
        </w:rPr>
      </w:pPr>
      <w:r w:rsidRPr="004D0DC2">
        <w:br w:type="page"/>
      </w:r>
    </w:p>
    <w:p w14:paraId="3D8AD00C" w14:textId="77777777" w:rsidR="00C8242D" w:rsidRPr="004D0DC2" w:rsidRDefault="008E39F4" w:rsidP="00E43B4A">
      <w:pPr>
        <w:pStyle w:val="Heading2"/>
      </w:pPr>
      <w:bookmarkStart w:id="1" w:name="_Toc210913291"/>
      <w:r w:rsidRPr="004D0DC2">
        <w:lastRenderedPageBreak/>
        <w:t>TABLE OF CONTENTS</w:t>
      </w:r>
      <w:bookmarkEnd w:id="1"/>
    </w:p>
    <w:p w14:paraId="65066B16" w14:textId="10D5035D" w:rsidR="00507E46" w:rsidRDefault="003616B1">
      <w:pPr>
        <w:pStyle w:val="TOC1"/>
        <w:rPr>
          <w:rFonts w:asciiTheme="minorHAnsi" w:eastAsiaTheme="minorEastAsia" w:hAnsiTheme="minorHAnsi" w:cstheme="minorBidi"/>
          <w:noProof/>
          <w:kern w:val="2"/>
          <w:szCs w:val="24"/>
          <w14:ligatures w14:val="standardContextual"/>
        </w:rPr>
      </w:pPr>
      <w:r w:rsidRPr="004D0DC2">
        <w:rPr>
          <w:b/>
          <w:bCs/>
          <w:iCs/>
        </w:rPr>
        <w:fldChar w:fldCharType="begin"/>
      </w:r>
      <w:r w:rsidRPr="004D0DC2">
        <w:rPr>
          <w:b/>
          <w:bCs/>
          <w:iCs/>
        </w:rPr>
        <w:instrText xml:space="preserve"> TOC \o "1-2" \h \z \u </w:instrText>
      </w:r>
      <w:r w:rsidRPr="004D0DC2">
        <w:rPr>
          <w:b/>
          <w:bCs/>
          <w:iCs/>
        </w:rPr>
        <w:fldChar w:fldCharType="separate"/>
      </w:r>
      <w:hyperlink w:anchor="_Toc210913290" w:history="1">
        <w:r w:rsidR="00507E46" w:rsidRPr="00E47E9E">
          <w:rPr>
            <w:rStyle w:val="Hyperlink"/>
            <w:noProof/>
          </w:rPr>
          <w:t>California Department of Education Request for Proposals (RFP) Adult Education Professional Development – CN260001</w:t>
        </w:r>
        <w:r w:rsidR="00507E46">
          <w:rPr>
            <w:noProof/>
            <w:webHidden/>
          </w:rPr>
          <w:tab/>
        </w:r>
        <w:r w:rsidR="00507E46">
          <w:rPr>
            <w:noProof/>
            <w:webHidden/>
          </w:rPr>
          <w:fldChar w:fldCharType="begin"/>
        </w:r>
        <w:r w:rsidR="00507E46">
          <w:rPr>
            <w:noProof/>
            <w:webHidden/>
          </w:rPr>
          <w:instrText xml:space="preserve"> PAGEREF _Toc210913290 \h </w:instrText>
        </w:r>
        <w:r w:rsidR="00507E46">
          <w:rPr>
            <w:noProof/>
            <w:webHidden/>
          </w:rPr>
        </w:r>
        <w:r w:rsidR="00507E46">
          <w:rPr>
            <w:noProof/>
            <w:webHidden/>
          </w:rPr>
          <w:fldChar w:fldCharType="separate"/>
        </w:r>
        <w:r w:rsidR="00507E46">
          <w:rPr>
            <w:noProof/>
            <w:webHidden/>
          </w:rPr>
          <w:t>1</w:t>
        </w:r>
        <w:r w:rsidR="00507E46">
          <w:rPr>
            <w:noProof/>
            <w:webHidden/>
          </w:rPr>
          <w:fldChar w:fldCharType="end"/>
        </w:r>
      </w:hyperlink>
    </w:p>
    <w:p w14:paraId="42471C82" w14:textId="20C55E7F" w:rsidR="00507E46" w:rsidRDefault="00507E46">
      <w:pPr>
        <w:pStyle w:val="TOC2"/>
        <w:rPr>
          <w:rFonts w:asciiTheme="minorHAnsi" w:eastAsiaTheme="minorEastAsia" w:hAnsiTheme="minorHAnsi" w:cstheme="minorBidi"/>
          <w:noProof/>
          <w:kern w:val="2"/>
          <w:szCs w:val="24"/>
          <w14:ligatures w14:val="standardContextual"/>
        </w:rPr>
      </w:pPr>
      <w:hyperlink w:anchor="_Toc210913291" w:history="1">
        <w:r w:rsidRPr="00E47E9E">
          <w:rPr>
            <w:rStyle w:val="Hyperlink"/>
            <w:noProof/>
          </w:rPr>
          <w:t>TABLE OF CONTENTS</w:t>
        </w:r>
        <w:r>
          <w:rPr>
            <w:noProof/>
            <w:webHidden/>
          </w:rPr>
          <w:tab/>
        </w:r>
        <w:r>
          <w:rPr>
            <w:noProof/>
            <w:webHidden/>
          </w:rPr>
          <w:fldChar w:fldCharType="begin"/>
        </w:r>
        <w:r>
          <w:rPr>
            <w:noProof/>
            <w:webHidden/>
          </w:rPr>
          <w:instrText xml:space="preserve"> PAGEREF _Toc210913291 \h </w:instrText>
        </w:r>
        <w:r>
          <w:rPr>
            <w:noProof/>
            <w:webHidden/>
          </w:rPr>
        </w:r>
        <w:r>
          <w:rPr>
            <w:noProof/>
            <w:webHidden/>
          </w:rPr>
          <w:fldChar w:fldCharType="separate"/>
        </w:r>
        <w:r>
          <w:rPr>
            <w:noProof/>
            <w:webHidden/>
          </w:rPr>
          <w:t>3</w:t>
        </w:r>
        <w:r>
          <w:rPr>
            <w:noProof/>
            <w:webHidden/>
          </w:rPr>
          <w:fldChar w:fldCharType="end"/>
        </w:r>
      </w:hyperlink>
    </w:p>
    <w:p w14:paraId="3D1D882F" w14:textId="3F59CF3E" w:rsidR="00507E46" w:rsidRDefault="00507E46">
      <w:pPr>
        <w:pStyle w:val="TOC2"/>
        <w:rPr>
          <w:rFonts w:asciiTheme="minorHAnsi" w:eastAsiaTheme="minorEastAsia" w:hAnsiTheme="minorHAnsi" w:cstheme="minorBidi"/>
          <w:noProof/>
          <w:kern w:val="2"/>
          <w:szCs w:val="24"/>
          <w14:ligatures w14:val="standardContextual"/>
        </w:rPr>
      </w:pPr>
      <w:hyperlink w:anchor="_Toc210913292" w:history="1">
        <w:r w:rsidRPr="00E47E9E">
          <w:rPr>
            <w:rStyle w:val="Hyperlink"/>
            <w:noProof/>
          </w:rPr>
          <w:t>ATTACHMENTS</w:t>
        </w:r>
        <w:r>
          <w:rPr>
            <w:noProof/>
            <w:webHidden/>
          </w:rPr>
          <w:tab/>
        </w:r>
        <w:r>
          <w:rPr>
            <w:noProof/>
            <w:webHidden/>
          </w:rPr>
          <w:fldChar w:fldCharType="begin"/>
        </w:r>
        <w:r>
          <w:rPr>
            <w:noProof/>
            <w:webHidden/>
          </w:rPr>
          <w:instrText xml:space="preserve"> PAGEREF _Toc210913292 \h </w:instrText>
        </w:r>
        <w:r>
          <w:rPr>
            <w:noProof/>
            <w:webHidden/>
          </w:rPr>
        </w:r>
        <w:r>
          <w:rPr>
            <w:noProof/>
            <w:webHidden/>
          </w:rPr>
          <w:fldChar w:fldCharType="separate"/>
        </w:r>
        <w:r>
          <w:rPr>
            <w:noProof/>
            <w:webHidden/>
          </w:rPr>
          <w:t>3</w:t>
        </w:r>
        <w:r>
          <w:rPr>
            <w:noProof/>
            <w:webHidden/>
          </w:rPr>
          <w:fldChar w:fldCharType="end"/>
        </w:r>
      </w:hyperlink>
    </w:p>
    <w:p w14:paraId="30FE4E90" w14:textId="35A0F5CE" w:rsidR="00507E46" w:rsidRDefault="00507E46">
      <w:pPr>
        <w:pStyle w:val="TOC2"/>
        <w:rPr>
          <w:rFonts w:asciiTheme="minorHAnsi" w:eastAsiaTheme="minorEastAsia" w:hAnsiTheme="minorHAnsi" w:cstheme="minorBidi"/>
          <w:noProof/>
          <w:kern w:val="2"/>
          <w:szCs w:val="24"/>
          <w14:ligatures w14:val="standardContextual"/>
        </w:rPr>
      </w:pPr>
      <w:hyperlink w:anchor="_Toc210913293" w:history="1">
        <w:r w:rsidRPr="00E47E9E">
          <w:rPr>
            <w:rStyle w:val="Hyperlink"/>
            <w:noProof/>
          </w:rPr>
          <w:t>1. PURPOSE AND BACKGROUND</w:t>
        </w:r>
        <w:r>
          <w:rPr>
            <w:noProof/>
            <w:webHidden/>
          </w:rPr>
          <w:tab/>
        </w:r>
        <w:r>
          <w:rPr>
            <w:noProof/>
            <w:webHidden/>
          </w:rPr>
          <w:fldChar w:fldCharType="begin"/>
        </w:r>
        <w:r>
          <w:rPr>
            <w:noProof/>
            <w:webHidden/>
          </w:rPr>
          <w:instrText xml:space="preserve"> PAGEREF _Toc210913293 \h </w:instrText>
        </w:r>
        <w:r>
          <w:rPr>
            <w:noProof/>
            <w:webHidden/>
          </w:rPr>
        </w:r>
        <w:r>
          <w:rPr>
            <w:noProof/>
            <w:webHidden/>
          </w:rPr>
          <w:fldChar w:fldCharType="separate"/>
        </w:r>
        <w:r>
          <w:rPr>
            <w:noProof/>
            <w:webHidden/>
          </w:rPr>
          <w:t>5</w:t>
        </w:r>
        <w:r>
          <w:rPr>
            <w:noProof/>
            <w:webHidden/>
          </w:rPr>
          <w:fldChar w:fldCharType="end"/>
        </w:r>
      </w:hyperlink>
    </w:p>
    <w:p w14:paraId="2718BBD6" w14:textId="32DEF06B" w:rsidR="00507E46" w:rsidRDefault="00507E46">
      <w:pPr>
        <w:pStyle w:val="TOC2"/>
        <w:rPr>
          <w:rFonts w:asciiTheme="minorHAnsi" w:eastAsiaTheme="minorEastAsia" w:hAnsiTheme="minorHAnsi" w:cstheme="minorBidi"/>
          <w:noProof/>
          <w:kern w:val="2"/>
          <w:szCs w:val="24"/>
          <w14:ligatures w14:val="standardContextual"/>
        </w:rPr>
      </w:pPr>
      <w:hyperlink w:anchor="_Toc210913294" w:history="1">
        <w:r w:rsidRPr="00E47E9E">
          <w:rPr>
            <w:rStyle w:val="Hyperlink"/>
            <w:noProof/>
          </w:rPr>
          <w:t>2. GENERAL PROPOSAL INFORMATION</w:t>
        </w:r>
        <w:r>
          <w:rPr>
            <w:noProof/>
            <w:webHidden/>
          </w:rPr>
          <w:tab/>
        </w:r>
        <w:r>
          <w:rPr>
            <w:noProof/>
            <w:webHidden/>
          </w:rPr>
          <w:fldChar w:fldCharType="begin"/>
        </w:r>
        <w:r>
          <w:rPr>
            <w:noProof/>
            <w:webHidden/>
          </w:rPr>
          <w:instrText xml:space="preserve"> PAGEREF _Toc210913294 \h </w:instrText>
        </w:r>
        <w:r>
          <w:rPr>
            <w:noProof/>
            <w:webHidden/>
          </w:rPr>
        </w:r>
        <w:r>
          <w:rPr>
            <w:noProof/>
            <w:webHidden/>
          </w:rPr>
          <w:fldChar w:fldCharType="separate"/>
        </w:r>
        <w:r>
          <w:rPr>
            <w:noProof/>
            <w:webHidden/>
          </w:rPr>
          <w:t>7</w:t>
        </w:r>
        <w:r>
          <w:rPr>
            <w:noProof/>
            <w:webHidden/>
          </w:rPr>
          <w:fldChar w:fldCharType="end"/>
        </w:r>
      </w:hyperlink>
    </w:p>
    <w:p w14:paraId="7AEACC31" w14:textId="530E4896" w:rsidR="00507E46" w:rsidRDefault="00507E46">
      <w:pPr>
        <w:pStyle w:val="TOC2"/>
        <w:rPr>
          <w:rFonts w:asciiTheme="minorHAnsi" w:eastAsiaTheme="minorEastAsia" w:hAnsiTheme="minorHAnsi" w:cstheme="minorBidi"/>
          <w:noProof/>
          <w:kern w:val="2"/>
          <w:szCs w:val="24"/>
          <w14:ligatures w14:val="standardContextual"/>
        </w:rPr>
      </w:pPr>
      <w:hyperlink w:anchor="_Toc210913295" w:history="1">
        <w:r w:rsidRPr="00E47E9E">
          <w:rPr>
            <w:rStyle w:val="Hyperlink"/>
            <w:noProof/>
            <w:snapToGrid w:val="0"/>
          </w:rPr>
          <w:t>3</w:t>
        </w:r>
        <w:r w:rsidRPr="00E47E9E">
          <w:rPr>
            <w:rStyle w:val="Hyperlink"/>
            <w:noProof/>
          </w:rPr>
          <w:t>. PROPOSAL SPECIFICATIONS</w:t>
        </w:r>
        <w:r>
          <w:rPr>
            <w:noProof/>
            <w:webHidden/>
          </w:rPr>
          <w:tab/>
        </w:r>
        <w:r>
          <w:rPr>
            <w:noProof/>
            <w:webHidden/>
          </w:rPr>
          <w:fldChar w:fldCharType="begin"/>
        </w:r>
        <w:r>
          <w:rPr>
            <w:noProof/>
            <w:webHidden/>
          </w:rPr>
          <w:instrText xml:space="preserve"> PAGEREF _Toc210913295 \h </w:instrText>
        </w:r>
        <w:r>
          <w:rPr>
            <w:noProof/>
            <w:webHidden/>
          </w:rPr>
        </w:r>
        <w:r>
          <w:rPr>
            <w:noProof/>
            <w:webHidden/>
          </w:rPr>
          <w:fldChar w:fldCharType="separate"/>
        </w:r>
        <w:r>
          <w:rPr>
            <w:noProof/>
            <w:webHidden/>
          </w:rPr>
          <w:t>14</w:t>
        </w:r>
        <w:r>
          <w:rPr>
            <w:noProof/>
            <w:webHidden/>
          </w:rPr>
          <w:fldChar w:fldCharType="end"/>
        </w:r>
      </w:hyperlink>
    </w:p>
    <w:p w14:paraId="1CA870A2" w14:textId="3001CC54" w:rsidR="00507E46" w:rsidRDefault="00507E46">
      <w:pPr>
        <w:pStyle w:val="TOC2"/>
        <w:rPr>
          <w:rFonts w:asciiTheme="minorHAnsi" w:eastAsiaTheme="minorEastAsia" w:hAnsiTheme="minorHAnsi" w:cstheme="minorBidi"/>
          <w:noProof/>
          <w:kern w:val="2"/>
          <w:szCs w:val="24"/>
          <w14:ligatures w14:val="standardContextual"/>
        </w:rPr>
      </w:pPr>
      <w:hyperlink w:anchor="_Toc210913296" w:history="1">
        <w:r w:rsidRPr="00E47E9E">
          <w:rPr>
            <w:rStyle w:val="Hyperlink"/>
            <w:noProof/>
          </w:rPr>
          <w:t>4. EVALUATION PROCESS</w:t>
        </w:r>
        <w:r>
          <w:rPr>
            <w:noProof/>
            <w:webHidden/>
          </w:rPr>
          <w:tab/>
        </w:r>
        <w:r>
          <w:rPr>
            <w:noProof/>
            <w:webHidden/>
          </w:rPr>
          <w:fldChar w:fldCharType="begin"/>
        </w:r>
        <w:r>
          <w:rPr>
            <w:noProof/>
            <w:webHidden/>
          </w:rPr>
          <w:instrText xml:space="preserve"> PAGEREF _Toc210913296 \h </w:instrText>
        </w:r>
        <w:r>
          <w:rPr>
            <w:noProof/>
            <w:webHidden/>
          </w:rPr>
        </w:r>
        <w:r>
          <w:rPr>
            <w:noProof/>
            <w:webHidden/>
          </w:rPr>
          <w:fldChar w:fldCharType="separate"/>
        </w:r>
        <w:r>
          <w:rPr>
            <w:noProof/>
            <w:webHidden/>
          </w:rPr>
          <w:t>35</w:t>
        </w:r>
        <w:r>
          <w:rPr>
            <w:noProof/>
            <w:webHidden/>
          </w:rPr>
          <w:fldChar w:fldCharType="end"/>
        </w:r>
      </w:hyperlink>
    </w:p>
    <w:p w14:paraId="04F5C202" w14:textId="6E3A8790" w:rsidR="00507E46" w:rsidRDefault="00507E46">
      <w:pPr>
        <w:pStyle w:val="TOC2"/>
        <w:rPr>
          <w:rFonts w:asciiTheme="minorHAnsi" w:eastAsiaTheme="minorEastAsia" w:hAnsiTheme="minorHAnsi" w:cstheme="minorBidi"/>
          <w:noProof/>
          <w:kern w:val="2"/>
          <w:szCs w:val="24"/>
          <w14:ligatures w14:val="standardContextual"/>
        </w:rPr>
      </w:pPr>
      <w:hyperlink w:anchor="_Toc210913297" w:history="1">
        <w:r w:rsidRPr="00E47E9E">
          <w:rPr>
            <w:rStyle w:val="Hyperlink"/>
            <w:noProof/>
          </w:rPr>
          <w:t>5. AWARD AND PROTEST</w:t>
        </w:r>
        <w:r>
          <w:rPr>
            <w:noProof/>
            <w:webHidden/>
          </w:rPr>
          <w:tab/>
        </w:r>
        <w:r>
          <w:rPr>
            <w:noProof/>
            <w:webHidden/>
          </w:rPr>
          <w:fldChar w:fldCharType="begin"/>
        </w:r>
        <w:r>
          <w:rPr>
            <w:noProof/>
            <w:webHidden/>
          </w:rPr>
          <w:instrText xml:space="preserve"> PAGEREF _Toc210913297 \h </w:instrText>
        </w:r>
        <w:r>
          <w:rPr>
            <w:noProof/>
            <w:webHidden/>
          </w:rPr>
        </w:r>
        <w:r>
          <w:rPr>
            <w:noProof/>
            <w:webHidden/>
          </w:rPr>
          <w:fldChar w:fldCharType="separate"/>
        </w:r>
        <w:r>
          <w:rPr>
            <w:noProof/>
            <w:webHidden/>
          </w:rPr>
          <w:t>38</w:t>
        </w:r>
        <w:r>
          <w:rPr>
            <w:noProof/>
            <w:webHidden/>
          </w:rPr>
          <w:fldChar w:fldCharType="end"/>
        </w:r>
      </w:hyperlink>
    </w:p>
    <w:p w14:paraId="63208152" w14:textId="109B3B7C" w:rsidR="00507E46" w:rsidRDefault="00507E46">
      <w:pPr>
        <w:pStyle w:val="TOC2"/>
        <w:rPr>
          <w:rFonts w:asciiTheme="minorHAnsi" w:eastAsiaTheme="minorEastAsia" w:hAnsiTheme="minorHAnsi" w:cstheme="minorBidi"/>
          <w:noProof/>
          <w:kern w:val="2"/>
          <w:szCs w:val="24"/>
          <w14:ligatures w14:val="standardContextual"/>
        </w:rPr>
      </w:pPr>
      <w:hyperlink w:anchor="_Toc210913298" w:history="1">
        <w:r w:rsidRPr="00E47E9E">
          <w:rPr>
            <w:rStyle w:val="Hyperlink"/>
            <w:noProof/>
          </w:rPr>
          <w:t>6. STANDARD CONDITIONS OF SERVICE</w:t>
        </w:r>
        <w:r>
          <w:rPr>
            <w:noProof/>
            <w:webHidden/>
          </w:rPr>
          <w:tab/>
        </w:r>
        <w:r>
          <w:rPr>
            <w:noProof/>
            <w:webHidden/>
          </w:rPr>
          <w:fldChar w:fldCharType="begin"/>
        </w:r>
        <w:r>
          <w:rPr>
            <w:noProof/>
            <w:webHidden/>
          </w:rPr>
          <w:instrText xml:space="preserve"> PAGEREF _Toc210913298 \h </w:instrText>
        </w:r>
        <w:r>
          <w:rPr>
            <w:noProof/>
            <w:webHidden/>
          </w:rPr>
        </w:r>
        <w:r>
          <w:rPr>
            <w:noProof/>
            <w:webHidden/>
          </w:rPr>
          <w:fldChar w:fldCharType="separate"/>
        </w:r>
        <w:r>
          <w:rPr>
            <w:noProof/>
            <w:webHidden/>
          </w:rPr>
          <w:t>39</w:t>
        </w:r>
        <w:r>
          <w:rPr>
            <w:noProof/>
            <w:webHidden/>
          </w:rPr>
          <w:fldChar w:fldCharType="end"/>
        </w:r>
      </w:hyperlink>
    </w:p>
    <w:p w14:paraId="710E0246" w14:textId="421A52D0" w:rsidR="00507E46" w:rsidRDefault="00507E46">
      <w:pPr>
        <w:pStyle w:val="TOC2"/>
        <w:rPr>
          <w:rFonts w:asciiTheme="minorHAnsi" w:eastAsiaTheme="minorEastAsia" w:hAnsiTheme="minorHAnsi" w:cstheme="minorBidi"/>
          <w:noProof/>
          <w:kern w:val="2"/>
          <w:szCs w:val="24"/>
          <w14:ligatures w14:val="standardContextual"/>
        </w:rPr>
      </w:pPr>
      <w:hyperlink w:anchor="_Toc210913299" w:history="1">
        <w:r w:rsidRPr="00E47E9E">
          <w:rPr>
            <w:rStyle w:val="Hyperlink"/>
            <w:noProof/>
          </w:rPr>
          <w:t>7. SCOPE OF PROJECT</w:t>
        </w:r>
        <w:r>
          <w:rPr>
            <w:noProof/>
            <w:webHidden/>
          </w:rPr>
          <w:tab/>
        </w:r>
        <w:r>
          <w:rPr>
            <w:noProof/>
            <w:webHidden/>
          </w:rPr>
          <w:fldChar w:fldCharType="begin"/>
        </w:r>
        <w:r>
          <w:rPr>
            <w:noProof/>
            <w:webHidden/>
          </w:rPr>
          <w:instrText xml:space="preserve"> PAGEREF _Toc210913299 \h </w:instrText>
        </w:r>
        <w:r>
          <w:rPr>
            <w:noProof/>
            <w:webHidden/>
          </w:rPr>
        </w:r>
        <w:r>
          <w:rPr>
            <w:noProof/>
            <w:webHidden/>
          </w:rPr>
          <w:fldChar w:fldCharType="separate"/>
        </w:r>
        <w:r>
          <w:rPr>
            <w:noProof/>
            <w:webHidden/>
          </w:rPr>
          <w:t>40</w:t>
        </w:r>
        <w:r>
          <w:rPr>
            <w:noProof/>
            <w:webHidden/>
          </w:rPr>
          <w:fldChar w:fldCharType="end"/>
        </w:r>
      </w:hyperlink>
    </w:p>
    <w:p w14:paraId="417A2F51" w14:textId="031E35D9" w:rsidR="00507E46" w:rsidRDefault="00507E46">
      <w:pPr>
        <w:pStyle w:val="TOC2"/>
        <w:rPr>
          <w:rFonts w:asciiTheme="minorHAnsi" w:eastAsiaTheme="minorEastAsia" w:hAnsiTheme="minorHAnsi" w:cstheme="minorBidi"/>
          <w:noProof/>
          <w:kern w:val="2"/>
          <w:szCs w:val="24"/>
          <w14:ligatures w14:val="standardContextual"/>
        </w:rPr>
      </w:pPr>
      <w:hyperlink w:anchor="_Toc210913300" w:history="1">
        <w:r w:rsidRPr="00E47E9E">
          <w:rPr>
            <w:rStyle w:val="Hyperlink"/>
            <w:noProof/>
          </w:rPr>
          <w:t>8. BUDGET DETAIL AND PAYMENT PROVISIONS</w:t>
        </w:r>
        <w:r>
          <w:rPr>
            <w:noProof/>
            <w:webHidden/>
          </w:rPr>
          <w:tab/>
        </w:r>
        <w:r>
          <w:rPr>
            <w:noProof/>
            <w:webHidden/>
          </w:rPr>
          <w:fldChar w:fldCharType="begin"/>
        </w:r>
        <w:r>
          <w:rPr>
            <w:noProof/>
            <w:webHidden/>
          </w:rPr>
          <w:instrText xml:space="preserve"> PAGEREF _Toc210913300 \h </w:instrText>
        </w:r>
        <w:r>
          <w:rPr>
            <w:noProof/>
            <w:webHidden/>
          </w:rPr>
        </w:r>
        <w:r>
          <w:rPr>
            <w:noProof/>
            <w:webHidden/>
          </w:rPr>
          <w:fldChar w:fldCharType="separate"/>
        </w:r>
        <w:r>
          <w:rPr>
            <w:noProof/>
            <w:webHidden/>
          </w:rPr>
          <w:t>64</w:t>
        </w:r>
        <w:r>
          <w:rPr>
            <w:noProof/>
            <w:webHidden/>
          </w:rPr>
          <w:fldChar w:fldCharType="end"/>
        </w:r>
      </w:hyperlink>
    </w:p>
    <w:p w14:paraId="077601E2" w14:textId="7BD3FBB0" w:rsidR="00507E46" w:rsidRDefault="00507E46">
      <w:pPr>
        <w:pStyle w:val="TOC2"/>
        <w:rPr>
          <w:rFonts w:asciiTheme="minorHAnsi" w:eastAsiaTheme="minorEastAsia" w:hAnsiTheme="minorHAnsi" w:cstheme="minorBidi"/>
          <w:noProof/>
          <w:kern w:val="2"/>
          <w:szCs w:val="24"/>
          <w14:ligatures w14:val="standardContextual"/>
        </w:rPr>
      </w:pPr>
      <w:hyperlink w:anchor="_Toc210913301" w:history="1">
        <w:r w:rsidRPr="00E47E9E">
          <w:rPr>
            <w:rStyle w:val="Hyperlink"/>
            <w:noProof/>
          </w:rPr>
          <w:t>9. GENERAL TERMS AND CONDITIONS</w:t>
        </w:r>
        <w:r>
          <w:rPr>
            <w:noProof/>
            <w:webHidden/>
          </w:rPr>
          <w:tab/>
        </w:r>
        <w:r>
          <w:rPr>
            <w:noProof/>
            <w:webHidden/>
          </w:rPr>
          <w:fldChar w:fldCharType="begin"/>
        </w:r>
        <w:r>
          <w:rPr>
            <w:noProof/>
            <w:webHidden/>
          </w:rPr>
          <w:instrText xml:space="preserve"> PAGEREF _Toc210913301 \h </w:instrText>
        </w:r>
        <w:r>
          <w:rPr>
            <w:noProof/>
            <w:webHidden/>
          </w:rPr>
        </w:r>
        <w:r>
          <w:rPr>
            <w:noProof/>
            <w:webHidden/>
          </w:rPr>
          <w:fldChar w:fldCharType="separate"/>
        </w:r>
        <w:r>
          <w:rPr>
            <w:noProof/>
            <w:webHidden/>
          </w:rPr>
          <w:t>67</w:t>
        </w:r>
        <w:r>
          <w:rPr>
            <w:noProof/>
            <w:webHidden/>
          </w:rPr>
          <w:fldChar w:fldCharType="end"/>
        </w:r>
      </w:hyperlink>
    </w:p>
    <w:p w14:paraId="5532EB34" w14:textId="5078DD26" w:rsidR="00507E46" w:rsidRDefault="00507E46">
      <w:pPr>
        <w:pStyle w:val="TOC2"/>
        <w:rPr>
          <w:rFonts w:asciiTheme="minorHAnsi" w:eastAsiaTheme="minorEastAsia" w:hAnsiTheme="minorHAnsi" w:cstheme="minorBidi"/>
          <w:noProof/>
          <w:kern w:val="2"/>
          <w:szCs w:val="24"/>
          <w14:ligatures w14:val="standardContextual"/>
        </w:rPr>
      </w:pPr>
      <w:hyperlink w:anchor="_Toc210913302" w:history="1">
        <w:r w:rsidRPr="00E47E9E">
          <w:rPr>
            <w:rStyle w:val="Hyperlink"/>
            <w:noProof/>
          </w:rPr>
          <w:t>10. SPECIAL TERMS AND CONDITIONS</w:t>
        </w:r>
        <w:r>
          <w:rPr>
            <w:noProof/>
            <w:webHidden/>
          </w:rPr>
          <w:tab/>
        </w:r>
        <w:r>
          <w:rPr>
            <w:noProof/>
            <w:webHidden/>
          </w:rPr>
          <w:fldChar w:fldCharType="begin"/>
        </w:r>
        <w:r>
          <w:rPr>
            <w:noProof/>
            <w:webHidden/>
          </w:rPr>
          <w:instrText xml:space="preserve"> PAGEREF _Toc210913302 \h </w:instrText>
        </w:r>
        <w:r>
          <w:rPr>
            <w:noProof/>
            <w:webHidden/>
          </w:rPr>
        </w:r>
        <w:r>
          <w:rPr>
            <w:noProof/>
            <w:webHidden/>
          </w:rPr>
          <w:fldChar w:fldCharType="separate"/>
        </w:r>
        <w:r>
          <w:rPr>
            <w:noProof/>
            <w:webHidden/>
          </w:rPr>
          <w:t>68</w:t>
        </w:r>
        <w:r>
          <w:rPr>
            <w:noProof/>
            <w:webHidden/>
          </w:rPr>
          <w:fldChar w:fldCharType="end"/>
        </w:r>
      </w:hyperlink>
    </w:p>
    <w:p w14:paraId="1D761B42" w14:textId="02444512" w:rsidR="00507E46" w:rsidRDefault="00507E46">
      <w:pPr>
        <w:pStyle w:val="TOC2"/>
        <w:rPr>
          <w:rFonts w:asciiTheme="minorHAnsi" w:eastAsiaTheme="minorEastAsia" w:hAnsiTheme="minorHAnsi" w:cstheme="minorBidi"/>
          <w:noProof/>
          <w:kern w:val="2"/>
          <w:szCs w:val="24"/>
          <w14:ligatures w14:val="standardContextual"/>
        </w:rPr>
      </w:pPr>
      <w:hyperlink w:anchor="_Toc210913303" w:history="1">
        <w:r w:rsidRPr="00E47E9E">
          <w:rPr>
            <w:rStyle w:val="Hyperlink"/>
            <w:noProof/>
          </w:rPr>
          <w:t>11. ADDITIONAL PROVISIONS</w:t>
        </w:r>
        <w:r>
          <w:rPr>
            <w:noProof/>
            <w:webHidden/>
          </w:rPr>
          <w:tab/>
        </w:r>
        <w:r>
          <w:rPr>
            <w:noProof/>
            <w:webHidden/>
          </w:rPr>
          <w:fldChar w:fldCharType="begin"/>
        </w:r>
        <w:r>
          <w:rPr>
            <w:noProof/>
            <w:webHidden/>
          </w:rPr>
          <w:instrText xml:space="preserve"> PAGEREF _Toc210913303 \h </w:instrText>
        </w:r>
        <w:r>
          <w:rPr>
            <w:noProof/>
            <w:webHidden/>
          </w:rPr>
        </w:r>
        <w:r>
          <w:rPr>
            <w:noProof/>
            <w:webHidden/>
          </w:rPr>
          <w:fldChar w:fldCharType="separate"/>
        </w:r>
        <w:r>
          <w:rPr>
            <w:noProof/>
            <w:webHidden/>
          </w:rPr>
          <w:t>76</w:t>
        </w:r>
        <w:r>
          <w:rPr>
            <w:noProof/>
            <w:webHidden/>
          </w:rPr>
          <w:fldChar w:fldCharType="end"/>
        </w:r>
      </w:hyperlink>
    </w:p>
    <w:p w14:paraId="70E23F59" w14:textId="570085FF" w:rsidR="0008572D" w:rsidRPr="004D0DC2" w:rsidRDefault="003616B1" w:rsidP="00E43B4A">
      <w:pPr>
        <w:pStyle w:val="Heading2"/>
      </w:pPr>
      <w:r w:rsidRPr="004D0DC2">
        <w:rPr>
          <w:rFonts w:eastAsia="Calibri" w:cs="Times New Roman"/>
          <w:sz w:val="24"/>
          <w:szCs w:val="22"/>
        </w:rPr>
        <w:fldChar w:fldCharType="end"/>
      </w:r>
      <w:bookmarkStart w:id="2" w:name="_Toc210913292"/>
      <w:r w:rsidR="00D658A4" w:rsidRPr="004D0DC2">
        <w:t>ATTACHMENTS</w:t>
      </w:r>
      <w:bookmarkEnd w:id="2"/>
      <w:r w:rsidR="00CF34C8" w:rsidRPr="004D0DC2">
        <w:t xml:space="preserve"> </w:t>
      </w:r>
    </w:p>
    <w:p w14:paraId="3D8AD023" w14:textId="3C869E61" w:rsidR="00D658A4" w:rsidRPr="004D0DC2" w:rsidRDefault="0008572D" w:rsidP="0008572D">
      <w:r w:rsidRPr="004D0DC2">
        <w:t xml:space="preserve">Attachments are </w:t>
      </w:r>
      <w:r w:rsidR="00E43B4A" w:rsidRPr="004D0DC2">
        <w:t xml:space="preserve">incorporated herein and </w:t>
      </w:r>
      <w:r w:rsidR="00CF34C8" w:rsidRPr="004D0DC2">
        <w:t>attached as separate document(s)</w:t>
      </w:r>
      <w:r w:rsidR="00E43B4A" w:rsidRPr="004D0DC2">
        <w:t>:</w:t>
      </w:r>
    </w:p>
    <w:p w14:paraId="6103E903" w14:textId="046E7CD2" w:rsidR="005E7F9B" w:rsidRPr="004D0DC2" w:rsidRDefault="005E7F9B" w:rsidP="005E7F9B">
      <w:pPr>
        <w:numPr>
          <w:ilvl w:val="0"/>
          <w:numId w:val="5"/>
        </w:numPr>
        <w:spacing w:before="240" w:after="240"/>
        <w:ind w:left="360" w:right="720"/>
      </w:pPr>
      <w:r w:rsidRPr="004D0DC2">
        <w:t>Intent to Submit a Proposal</w:t>
      </w:r>
    </w:p>
    <w:p w14:paraId="3FF87874" w14:textId="100AABD3" w:rsidR="005E7F9B" w:rsidRPr="004D0DC2" w:rsidRDefault="005E7F9B" w:rsidP="00DB77A8">
      <w:pPr>
        <w:numPr>
          <w:ilvl w:val="0"/>
          <w:numId w:val="5"/>
        </w:numPr>
        <w:spacing w:before="240" w:after="240"/>
        <w:ind w:left="360" w:right="720"/>
      </w:pPr>
      <w:r w:rsidRPr="004D0DC2">
        <w:t>Attachment Checklist</w:t>
      </w:r>
    </w:p>
    <w:p w14:paraId="3D8AD024" w14:textId="18CE570A" w:rsidR="00FE5D24" w:rsidRPr="004D0DC2" w:rsidRDefault="00FE5D24" w:rsidP="00DB77A8">
      <w:pPr>
        <w:numPr>
          <w:ilvl w:val="0"/>
          <w:numId w:val="5"/>
        </w:numPr>
        <w:spacing w:before="240" w:after="240"/>
        <w:ind w:left="360" w:right="720"/>
      </w:pPr>
      <w:r w:rsidRPr="004D0DC2">
        <w:t>Bidder Certification Sheet</w:t>
      </w:r>
    </w:p>
    <w:p w14:paraId="3D8AD025" w14:textId="639839CE" w:rsidR="00FE5D24" w:rsidRPr="004D0DC2" w:rsidRDefault="00FE5D24" w:rsidP="00DB77A8">
      <w:pPr>
        <w:numPr>
          <w:ilvl w:val="0"/>
          <w:numId w:val="5"/>
        </w:numPr>
        <w:spacing w:before="240" w:after="240"/>
        <w:ind w:left="360" w:right="720"/>
      </w:pPr>
      <w:r w:rsidRPr="004D0DC2">
        <w:t xml:space="preserve">Sample </w:t>
      </w:r>
      <w:r w:rsidR="001D2B2B" w:rsidRPr="004D0DC2">
        <w:t xml:space="preserve">– Technical </w:t>
      </w:r>
      <w:r w:rsidR="0086591D" w:rsidRPr="004D0DC2">
        <w:t>Proposal</w:t>
      </w:r>
      <w:r w:rsidRPr="004D0DC2">
        <w:t xml:space="preserve"> Staffing Labor Hours Worksheet</w:t>
      </w:r>
      <w:r w:rsidR="00BF2B9B" w:rsidRPr="004D0DC2">
        <w:t>s</w:t>
      </w:r>
    </w:p>
    <w:p w14:paraId="3D8AD028" w14:textId="77777777" w:rsidR="00FE5D24" w:rsidRPr="004D0DC2" w:rsidRDefault="00FE5D24" w:rsidP="00DB77A8">
      <w:pPr>
        <w:numPr>
          <w:ilvl w:val="0"/>
          <w:numId w:val="5"/>
        </w:numPr>
        <w:spacing w:before="240" w:after="240"/>
        <w:ind w:left="360" w:right="720"/>
      </w:pPr>
      <w:r w:rsidRPr="004D0DC2">
        <w:t>Federal Certifications</w:t>
      </w:r>
    </w:p>
    <w:p w14:paraId="3D8AD029" w14:textId="4E2AFC9C" w:rsidR="002E6367" w:rsidRPr="004D0DC2" w:rsidRDefault="002E6367" w:rsidP="00DB77A8">
      <w:pPr>
        <w:numPr>
          <w:ilvl w:val="0"/>
          <w:numId w:val="5"/>
        </w:numPr>
        <w:spacing w:before="240" w:after="240"/>
        <w:ind w:left="360" w:right="720"/>
      </w:pPr>
      <w:r w:rsidRPr="004D0DC2">
        <w:t>Darfur Contracting Act</w:t>
      </w:r>
      <w:r w:rsidR="00BF2B9B" w:rsidRPr="004D0DC2">
        <w:t xml:space="preserve"> Certification</w:t>
      </w:r>
      <w:r w:rsidR="001D2B2B" w:rsidRPr="004D0DC2">
        <w:t>, and 6a Darfur Contracting Act Certification Supplemental</w:t>
      </w:r>
    </w:p>
    <w:p w14:paraId="4D06C566" w14:textId="5E34C49D" w:rsidR="009B75B7" w:rsidRPr="004D0DC2" w:rsidRDefault="009B75B7" w:rsidP="00DB77A8">
      <w:pPr>
        <w:numPr>
          <w:ilvl w:val="0"/>
          <w:numId w:val="5"/>
        </w:numPr>
        <w:spacing w:before="240" w:after="240"/>
        <w:ind w:left="360" w:right="720"/>
      </w:pPr>
      <w:r w:rsidRPr="004D0DC2">
        <w:t>Iran Contracting Act Certification</w:t>
      </w:r>
    </w:p>
    <w:p w14:paraId="3D8AD02A" w14:textId="28AE97EA" w:rsidR="00A70613" w:rsidRPr="004D0DC2" w:rsidRDefault="00A70613" w:rsidP="00DB77A8">
      <w:pPr>
        <w:numPr>
          <w:ilvl w:val="0"/>
          <w:numId w:val="5"/>
        </w:numPr>
        <w:spacing w:before="240" w:after="240"/>
        <w:ind w:left="360" w:right="720"/>
      </w:pPr>
      <w:r w:rsidRPr="004D0DC2">
        <w:t>California Civil Rights Laws Certification</w:t>
      </w:r>
    </w:p>
    <w:p w14:paraId="3D8AD02B" w14:textId="77777777" w:rsidR="00FE5D24" w:rsidRPr="004D0DC2" w:rsidRDefault="00FE5D24" w:rsidP="00DB77A8">
      <w:pPr>
        <w:numPr>
          <w:ilvl w:val="0"/>
          <w:numId w:val="5"/>
        </w:numPr>
        <w:spacing w:before="240" w:after="240"/>
        <w:ind w:left="360" w:right="720"/>
      </w:pPr>
      <w:r w:rsidRPr="004D0DC2">
        <w:t>Bidder References</w:t>
      </w:r>
    </w:p>
    <w:p w14:paraId="66DD0B8D" w14:textId="6A350B98" w:rsidR="000F18CF" w:rsidRPr="004D0DC2" w:rsidRDefault="000F18CF" w:rsidP="00DB77A8">
      <w:pPr>
        <w:numPr>
          <w:ilvl w:val="0"/>
          <w:numId w:val="5"/>
        </w:numPr>
        <w:spacing w:before="240" w:after="240"/>
        <w:ind w:left="360" w:right="720"/>
      </w:pPr>
      <w:r w:rsidRPr="004D0DC2">
        <w:t xml:space="preserve">California Disabled Veteran Business Enterprise </w:t>
      </w:r>
      <w:r w:rsidR="001D2B2B" w:rsidRPr="004D0DC2">
        <w:t xml:space="preserve">(DVBE) </w:t>
      </w:r>
      <w:r w:rsidRPr="004D0DC2">
        <w:t>Program Requirements</w:t>
      </w:r>
    </w:p>
    <w:p w14:paraId="3D8AD02C" w14:textId="3AF1BC99" w:rsidR="00FE5D24" w:rsidRPr="004D0DC2" w:rsidRDefault="00FE5D24" w:rsidP="00DB77A8">
      <w:pPr>
        <w:numPr>
          <w:ilvl w:val="0"/>
          <w:numId w:val="5"/>
        </w:numPr>
        <w:spacing w:before="240" w:after="240"/>
        <w:ind w:left="360" w:right="720"/>
      </w:pPr>
      <w:r w:rsidRPr="004D0DC2">
        <w:t xml:space="preserve">Small Business </w:t>
      </w:r>
      <w:r w:rsidR="001C7324" w:rsidRPr="004D0DC2">
        <w:t>and Non-Small Business Subcontractor Preferences</w:t>
      </w:r>
    </w:p>
    <w:p w14:paraId="3D8AD02F" w14:textId="77777777" w:rsidR="00FE5D24" w:rsidRPr="004D0DC2" w:rsidRDefault="00FE5D24" w:rsidP="00DB77A8">
      <w:pPr>
        <w:numPr>
          <w:ilvl w:val="0"/>
          <w:numId w:val="5"/>
        </w:numPr>
        <w:spacing w:before="240" w:after="240"/>
        <w:ind w:left="360" w:right="720"/>
      </w:pPr>
      <w:r w:rsidRPr="004D0DC2">
        <w:t>Conflict of Interest and Confidentiality Statement</w:t>
      </w:r>
    </w:p>
    <w:p w14:paraId="3D8AD030" w14:textId="77777777" w:rsidR="00FE5D24" w:rsidRPr="004D0DC2" w:rsidRDefault="00FE5D24" w:rsidP="00DB77A8">
      <w:pPr>
        <w:numPr>
          <w:ilvl w:val="0"/>
          <w:numId w:val="5"/>
        </w:numPr>
        <w:spacing w:before="240" w:after="240"/>
        <w:ind w:left="360" w:right="720"/>
      </w:pPr>
      <w:r w:rsidRPr="004D0DC2">
        <w:t>California Department of Education Computer Security Policy</w:t>
      </w:r>
    </w:p>
    <w:p w14:paraId="3D8AD032" w14:textId="4BA09305" w:rsidR="00BF2B9B" w:rsidRPr="004D0DC2" w:rsidRDefault="00FE5D24" w:rsidP="00DB77A8">
      <w:pPr>
        <w:numPr>
          <w:ilvl w:val="0"/>
          <w:numId w:val="5"/>
        </w:numPr>
        <w:spacing w:before="240" w:after="240"/>
        <w:ind w:left="360" w:right="720"/>
      </w:pPr>
      <w:r w:rsidRPr="004D0DC2">
        <w:t>Evaluation Criteria</w:t>
      </w:r>
    </w:p>
    <w:p w14:paraId="3D8AD033" w14:textId="77777777" w:rsidR="00BF2B9B" w:rsidRPr="004D0DC2" w:rsidRDefault="00FE5D24" w:rsidP="00DB77A8">
      <w:pPr>
        <w:numPr>
          <w:ilvl w:val="1"/>
          <w:numId w:val="5"/>
        </w:numPr>
        <w:spacing w:before="240" w:after="240"/>
        <w:ind w:left="720" w:right="720"/>
      </w:pPr>
      <w:r w:rsidRPr="004D0DC2">
        <w:lastRenderedPageBreak/>
        <w:t>Phase I</w:t>
      </w:r>
      <w:r w:rsidR="00BF2B9B" w:rsidRPr="004D0DC2">
        <w:t xml:space="preserve"> Pre-Evaluation Review – Attachment Checklist,</w:t>
      </w:r>
    </w:p>
    <w:p w14:paraId="3D8AD034" w14:textId="3671ED12" w:rsidR="008E39F4" w:rsidRPr="004D0DC2" w:rsidRDefault="00BF2B9B" w:rsidP="00DB77A8">
      <w:pPr>
        <w:numPr>
          <w:ilvl w:val="1"/>
          <w:numId w:val="5"/>
        </w:numPr>
        <w:spacing w:before="240" w:after="240"/>
        <w:ind w:left="720" w:right="720"/>
      </w:pPr>
      <w:r w:rsidRPr="004D0DC2">
        <w:t>Phase II Technical Proposal Evaluation,</w:t>
      </w:r>
    </w:p>
    <w:p w14:paraId="3D8AD035" w14:textId="52E85782" w:rsidR="00BC514B" w:rsidRPr="004D0DC2" w:rsidRDefault="00BF2B9B" w:rsidP="00DB77A8">
      <w:pPr>
        <w:numPr>
          <w:ilvl w:val="1"/>
          <w:numId w:val="5"/>
        </w:numPr>
        <w:spacing w:before="240" w:after="240"/>
        <w:ind w:left="720" w:right="720"/>
      </w:pPr>
      <w:r w:rsidRPr="004D0DC2">
        <w:t>Cost Proposal Evaluation</w:t>
      </w:r>
    </w:p>
    <w:p w14:paraId="3D8AD036" w14:textId="77777777" w:rsidR="001D3DF9" w:rsidRPr="004D0DC2" w:rsidRDefault="001D3DF9">
      <w:pPr>
        <w:rPr>
          <w:rFonts w:cs="Arial"/>
          <w:sz w:val="18"/>
          <w:szCs w:val="18"/>
        </w:rPr>
      </w:pPr>
      <w:r w:rsidRPr="004D0DC2">
        <w:rPr>
          <w:rFonts w:cs="Arial"/>
          <w:sz w:val="18"/>
          <w:szCs w:val="18"/>
        </w:rPr>
        <w:br w:type="page"/>
      </w:r>
    </w:p>
    <w:p w14:paraId="3D8AD037" w14:textId="644C0F34" w:rsidR="00951A77" w:rsidRPr="004D0DC2" w:rsidRDefault="0088344C" w:rsidP="00974EA8">
      <w:pPr>
        <w:rPr>
          <w:b/>
          <w:sz w:val="40"/>
        </w:rPr>
      </w:pPr>
      <w:r w:rsidRPr="004D0DC2">
        <w:rPr>
          <w:b/>
          <w:sz w:val="40"/>
        </w:rPr>
        <w:lastRenderedPageBreak/>
        <w:t xml:space="preserve">Adult Education Professional Development </w:t>
      </w:r>
      <w:r w:rsidR="008E39F4" w:rsidRPr="004D0DC2">
        <w:rPr>
          <w:b/>
          <w:sz w:val="40"/>
        </w:rPr>
        <w:t>Request for Proposals</w:t>
      </w:r>
    </w:p>
    <w:p w14:paraId="3D8AD038" w14:textId="3DC05A0C" w:rsidR="00756A5B" w:rsidRPr="004D0DC2" w:rsidRDefault="00756A5B" w:rsidP="00E43B4A">
      <w:pPr>
        <w:pStyle w:val="Heading2"/>
        <w:rPr>
          <w:sz w:val="24"/>
        </w:rPr>
      </w:pPr>
      <w:bookmarkStart w:id="3" w:name="_Toc210913293"/>
      <w:r w:rsidRPr="004D0DC2">
        <w:t>1. PURPOSE</w:t>
      </w:r>
      <w:r w:rsidR="00E80D18" w:rsidRPr="004D0DC2">
        <w:t xml:space="preserve"> AND BACKGROUND</w:t>
      </w:r>
      <w:bookmarkEnd w:id="3"/>
    </w:p>
    <w:p w14:paraId="4A4D1DD2" w14:textId="62F9F345" w:rsidR="00E80D18" w:rsidRPr="004D0DC2" w:rsidRDefault="00E80D18" w:rsidP="00F67ED5">
      <w:pPr>
        <w:pStyle w:val="Heading3"/>
      </w:pPr>
      <w:r w:rsidRPr="004D0DC2">
        <w:t>PURPOSE</w:t>
      </w:r>
    </w:p>
    <w:p w14:paraId="05391F45" w14:textId="6EDED0E7" w:rsidR="006641D9" w:rsidRPr="004D0DC2" w:rsidRDefault="006641D9" w:rsidP="006641D9">
      <w:pPr>
        <w:spacing w:after="240"/>
      </w:pPr>
      <w:r w:rsidRPr="004D0DC2">
        <w:t>The California Department of Education (CDE), Career and College Transition Division (CCTD), Adult Education Office (AEO) is seeking proposals from eligible bidders who can design, implement, and operate a large-scale, statewide professional development project that supports high performing literacy and basic skills adult education programs</w:t>
      </w:r>
      <w:r w:rsidR="00731DF1" w:rsidRPr="004D0DC2">
        <w:t>.</w:t>
      </w:r>
    </w:p>
    <w:p w14:paraId="38D1C45A" w14:textId="7B714047" w:rsidR="006641D9" w:rsidRPr="004D0DC2" w:rsidRDefault="006641D9" w:rsidP="006641D9">
      <w:pPr>
        <w:spacing w:after="240"/>
      </w:pPr>
      <w:r w:rsidRPr="004D0DC2">
        <w:t>The adult education programs this project supports include: English Language Acquisition (ELA), also commonly known as English as a Second Language (ESL); Adult Basic Education (ABE); Adult Secondary Education (ASE), which includes High School Diploma and High School Equivalency; and Integrated English Literacy and Civics Education (IELCE), which includes Integrated Education and Training (IET). The CDE is releasing this Request for Proposals (RFP) for the purpose of contracting with a provider for professional development.</w:t>
      </w:r>
    </w:p>
    <w:p w14:paraId="4A540371" w14:textId="77777777" w:rsidR="00E43B4A" w:rsidRPr="004D0DC2" w:rsidRDefault="00E43B4A" w:rsidP="00E43B4A">
      <w:pPr>
        <w:spacing w:after="240"/>
        <w:rPr>
          <w:rFonts w:cs="Arial"/>
          <w:szCs w:val="24"/>
        </w:rPr>
      </w:pPr>
      <w:r w:rsidRPr="004D0DC2">
        <w:rPr>
          <w:rFonts w:cs="Arial"/>
          <w:szCs w:val="24"/>
        </w:rPr>
        <w:t>In accordance with efforts by the State of California to reduce paper waste, information available on the internet will be referenced in this document and will not be appended. All documents referenced are hereby incorporated herein.</w:t>
      </w:r>
    </w:p>
    <w:p w14:paraId="2B123CD2" w14:textId="1F07E8E8" w:rsidR="00C426A0" w:rsidRPr="004D0DC2" w:rsidRDefault="00C426A0" w:rsidP="00C426A0">
      <w:pPr>
        <w:spacing w:after="240"/>
      </w:pPr>
      <w:r w:rsidRPr="59762C0F">
        <w:rPr>
          <w:rFonts w:cs="Arial"/>
        </w:rPr>
        <w:t xml:space="preserve">It is anticipated that the contract start date will begin </w:t>
      </w:r>
      <w:bookmarkStart w:id="4" w:name="_Int_QZ6iSCYf"/>
      <w:r w:rsidRPr="59762C0F">
        <w:rPr>
          <w:rFonts w:cs="Arial"/>
        </w:rPr>
        <w:t>approximately on</w:t>
      </w:r>
      <w:bookmarkEnd w:id="4"/>
      <w:r w:rsidRPr="59762C0F">
        <w:rPr>
          <w:rFonts w:cs="Arial"/>
        </w:rPr>
        <w:t xml:space="preserve"> </w:t>
      </w:r>
      <w:r w:rsidR="0088344C" w:rsidRPr="59762C0F">
        <w:rPr>
          <w:rFonts w:cs="Arial"/>
        </w:rPr>
        <w:t>July 1, 2026</w:t>
      </w:r>
      <w:r w:rsidR="002B386C" w:rsidRPr="59762C0F">
        <w:rPr>
          <w:rFonts w:cs="Arial"/>
        </w:rPr>
        <w:t xml:space="preserve">. </w:t>
      </w:r>
      <w:r w:rsidRPr="59762C0F">
        <w:rPr>
          <w:rFonts w:cs="Arial"/>
        </w:rPr>
        <w:t xml:space="preserve">The actual start date of the contract is contingent upon approval of the agreement by the </w:t>
      </w:r>
      <w:r w:rsidR="002B386C" w:rsidRPr="59762C0F">
        <w:rPr>
          <w:rFonts w:cs="Arial"/>
        </w:rPr>
        <w:t>Department of General Services (</w:t>
      </w:r>
      <w:r w:rsidRPr="59762C0F">
        <w:rPr>
          <w:rFonts w:cs="Arial"/>
        </w:rPr>
        <w:t>DGS</w:t>
      </w:r>
      <w:r w:rsidR="002B386C" w:rsidRPr="59762C0F">
        <w:rPr>
          <w:rFonts w:cs="Arial"/>
        </w:rPr>
        <w:t>)</w:t>
      </w:r>
      <w:r w:rsidRPr="59762C0F">
        <w:rPr>
          <w:rFonts w:cs="Arial"/>
        </w:rPr>
        <w:t xml:space="preserve">. </w:t>
      </w:r>
      <w:r>
        <w:t xml:space="preserve">The CDE reserves the right to extend the contract for an additional year, specifically, from </w:t>
      </w:r>
      <w:r w:rsidR="0088344C">
        <w:t>September 1, 2028</w:t>
      </w:r>
      <w:r>
        <w:t xml:space="preserve">, to </w:t>
      </w:r>
      <w:r w:rsidR="0088344C">
        <w:t>August 31, 2029</w:t>
      </w:r>
      <w:r>
        <w:t>.</w:t>
      </w:r>
    </w:p>
    <w:p w14:paraId="47B5CF5F" w14:textId="11118405" w:rsidR="006641D9" w:rsidRPr="004D0DC2" w:rsidRDefault="006641D9" w:rsidP="006641D9">
      <w:pPr>
        <w:spacing w:after="240"/>
      </w:pPr>
      <w:r w:rsidRPr="004D0DC2">
        <w:t xml:space="preserve">Award of a contract as a result of the RFP shall be contingent on DGS approval, CDE executive approval, funding and program authorization provided to and by the CDE. Funding is described in Section </w:t>
      </w:r>
      <w:r w:rsidR="00E43B4A" w:rsidRPr="004D0DC2">
        <w:t>2.4</w:t>
      </w:r>
      <w:r w:rsidRPr="004D0DC2">
        <w:t xml:space="preserve"> of this RFP. The successful bidder’s Technical and Cost Proposals for the contract will be incorporated into the final contract, which is a public document.</w:t>
      </w:r>
    </w:p>
    <w:p w14:paraId="29F68CE3" w14:textId="311004D2" w:rsidR="00E80D18" w:rsidRPr="004D0DC2" w:rsidRDefault="006641D9" w:rsidP="006641D9">
      <w:pPr>
        <w:spacing w:after="240"/>
      </w:pPr>
      <w:r w:rsidRPr="004D0DC2">
        <w:t>All proposals and related documents submitted in response to this RFP shall become the property of the State of California. Pursuant to the Public Contract Code and all other applicable laws, all proposals and related documents will be made available in their entirety for public inspection and reproduction. Submission of a proposal constitutes acceptance of the terms</w:t>
      </w:r>
      <w:r w:rsidR="00E43B4A" w:rsidRPr="004D0DC2">
        <w:t xml:space="preserve"> outlined herein</w:t>
      </w:r>
      <w:r w:rsidRPr="004D0DC2">
        <w:t>.</w:t>
      </w:r>
    </w:p>
    <w:p w14:paraId="6B27F184" w14:textId="77777777" w:rsidR="00E80D18" w:rsidRPr="004D0DC2" w:rsidRDefault="00E80D18" w:rsidP="00F67ED5">
      <w:pPr>
        <w:pStyle w:val="Heading3"/>
      </w:pPr>
      <w:r w:rsidRPr="004D0DC2">
        <w:t>BACKGROUND</w:t>
      </w:r>
    </w:p>
    <w:p w14:paraId="42258F01" w14:textId="0D7ED753" w:rsidR="00E80D18" w:rsidRPr="00996AC1" w:rsidRDefault="00E80D18" w:rsidP="00E80D18">
      <w:pPr>
        <w:widowControl w:val="0"/>
        <w:spacing w:after="240"/>
      </w:pPr>
      <w:r w:rsidRPr="00996AC1">
        <w:t>Professional development is a part of the comprehensive service delivery of the California Adult Education Program (CAEP), which includes the funding requirements of the federal Workforce Innovation and Opportunity Act (WIOA), Title II: Adult Education and Family Literacy Act (AEFLA). The CDE administers Adult Education Professional Development (AEPD) through a contract with the successful Bidder of this RFP. The federal WIOA, Section 223 (B) of Public Law 113-128, states:</w:t>
      </w:r>
    </w:p>
    <w:p w14:paraId="35EBF97F" w14:textId="77777777" w:rsidR="00E80D18" w:rsidRPr="00996AC1" w:rsidRDefault="00E80D18" w:rsidP="00E80D18">
      <w:pPr>
        <w:widowControl w:val="0"/>
        <w:spacing w:after="240"/>
        <w:ind w:left="720"/>
      </w:pPr>
      <w:r w:rsidRPr="00996AC1">
        <w:lastRenderedPageBreak/>
        <w:t>The establishment or operation of high quality professional development programs to improve the instruction provided pursuant to local activities required under section, 231(b), including instruction incorporating the essential components of reading instruction as such components relate to adults, instruction related to the specific needs of adult learners, instruction provided by volunteers or by personnel of a State or outlying area, and dissemination of information about models and promising practices related to such programs.</w:t>
      </w:r>
    </w:p>
    <w:p w14:paraId="38CF58B3" w14:textId="2A676571" w:rsidR="00E80D18" w:rsidRPr="00996AC1" w:rsidRDefault="00E80D18" w:rsidP="00E80D18">
      <w:pPr>
        <w:widowControl w:val="0"/>
        <w:spacing w:after="240"/>
      </w:pPr>
      <w:r>
        <w:t xml:space="preserve">CAEP </w:t>
      </w:r>
      <w:r w:rsidR="4D8BB756">
        <w:t>comprises</w:t>
      </w:r>
      <w:r>
        <w:t xml:space="preserve"> 71 Adult Education Regional Consortia and each consortium consists of a community college district and local school districts. There are close to 400 local providers needing professional development services, consisting of adult schools, community colleges, community-based organizations (CBOs), and public libraries. Currently, approximately 2,000 teachers/counselors and 500 administrators participate in the CDE’s AEPD offerings.</w:t>
      </w:r>
    </w:p>
    <w:p w14:paraId="42DFF0BD" w14:textId="47FB7717" w:rsidR="0088344C" w:rsidRPr="004D0DC2" w:rsidRDefault="00E80D18" w:rsidP="00341744">
      <w:pPr>
        <w:widowControl w:val="0"/>
        <w:spacing w:after="240"/>
      </w:pPr>
      <w:r w:rsidRPr="00996AC1">
        <w:t>Adult education in California serves anyone age 18 and above as specified in California Education Code (EC) Section 8510.</w:t>
      </w:r>
    </w:p>
    <w:p w14:paraId="4AB2BAAC" w14:textId="77777777" w:rsidR="00341744" w:rsidRDefault="00341744">
      <w:pPr>
        <w:rPr>
          <w:rFonts w:eastAsia="Times New Roman" w:cs="Arial"/>
          <w:b/>
          <w:bCs/>
          <w:iCs/>
          <w:sz w:val="40"/>
          <w:szCs w:val="40"/>
        </w:rPr>
      </w:pPr>
      <w:r>
        <w:br w:type="page"/>
      </w:r>
    </w:p>
    <w:p w14:paraId="0F4739BF" w14:textId="04F87525" w:rsidR="00537458" w:rsidRPr="004D0DC2" w:rsidRDefault="00C55645" w:rsidP="00E43B4A">
      <w:pPr>
        <w:pStyle w:val="Heading2"/>
      </w:pPr>
      <w:bookmarkStart w:id="5" w:name="_Toc210913294"/>
      <w:r w:rsidRPr="004D0DC2">
        <w:lastRenderedPageBreak/>
        <w:t>2</w:t>
      </w:r>
      <w:r w:rsidR="00B32A0B" w:rsidRPr="004D0DC2">
        <w:t xml:space="preserve">. </w:t>
      </w:r>
      <w:r w:rsidR="00537458" w:rsidRPr="004D0DC2">
        <w:t>GENERAL PROPOSAL INFORMATION</w:t>
      </w:r>
      <w:bookmarkEnd w:id="5"/>
    </w:p>
    <w:p w14:paraId="3A7F0325" w14:textId="3226AF4B" w:rsidR="00537458" w:rsidRPr="004D0DC2" w:rsidRDefault="00537458" w:rsidP="00F67ED5">
      <w:pPr>
        <w:pStyle w:val="Heading3"/>
        <w:rPr>
          <w:sz w:val="24"/>
        </w:rPr>
      </w:pPr>
      <w:r w:rsidRPr="004D0DC2">
        <w:t>2.1 Bidder Eligibility</w:t>
      </w:r>
    </w:p>
    <w:p w14:paraId="35A8631B" w14:textId="382182C3" w:rsidR="00537458" w:rsidRPr="004D0DC2" w:rsidRDefault="00537458" w:rsidP="60D114DF">
      <w:pPr>
        <w:spacing w:after="240"/>
        <w:rPr>
          <w:rFonts w:cs="Arial"/>
          <w:color w:val="000000"/>
        </w:rPr>
      </w:pPr>
      <w:r w:rsidRPr="60D114DF">
        <w:rPr>
          <w:rFonts w:cs="Arial"/>
          <w:color w:val="000000" w:themeColor="text1"/>
        </w:rPr>
        <w:t xml:space="preserve">Sole proprietorships, partnerships, public or private agencies, </w:t>
      </w:r>
      <w:bookmarkStart w:id="6" w:name="_Int_7s8EA1W0"/>
      <w:r w:rsidRPr="60D114DF">
        <w:rPr>
          <w:rFonts w:cs="Arial"/>
          <w:color w:val="000000" w:themeColor="text1"/>
        </w:rPr>
        <w:t>unincorporated</w:t>
      </w:r>
      <w:bookmarkEnd w:id="6"/>
      <w:r w:rsidRPr="60D114DF">
        <w:rPr>
          <w:rFonts w:cs="Arial"/>
          <w:color w:val="000000" w:themeColor="text1"/>
        </w:rPr>
        <w:t xml:space="preserve"> organizations or associations may submit proposals in response to this RFP. The bidder must be legally constituted and qualified to do business within the State of California. If required by law, any business entity required to be registered with the California Secretary of State must submit a current Certificate of Good Standing issued by the California Secretary of State. </w:t>
      </w:r>
      <w:r w:rsidRPr="60D114DF">
        <w:rPr>
          <w:rFonts w:cs="Arial"/>
        </w:rPr>
        <w:t xml:space="preserve">The required document(s) may be obtained through the Certification Unit </w:t>
      </w:r>
      <w:r w:rsidR="004C1C79" w:rsidRPr="60D114DF">
        <w:rPr>
          <w:rFonts w:cs="Arial"/>
        </w:rPr>
        <w:t>by phone at</w:t>
      </w:r>
      <w:r w:rsidRPr="60D114DF">
        <w:rPr>
          <w:rFonts w:cs="Arial"/>
        </w:rPr>
        <w:t xml:space="preserve"> 916-657-</w:t>
      </w:r>
      <w:r w:rsidR="00364292" w:rsidRPr="60D114DF">
        <w:rPr>
          <w:rFonts w:cs="Arial"/>
        </w:rPr>
        <w:t>5448</w:t>
      </w:r>
      <w:r w:rsidRPr="60D114DF">
        <w:rPr>
          <w:rFonts w:cs="Arial"/>
        </w:rPr>
        <w:t xml:space="preserve"> or through the California Secretary of State</w:t>
      </w:r>
      <w:r w:rsidR="004C1C79" w:rsidRPr="60D114DF">
        <w:rPr>
          <w:rFonts w:cs="Arial"/>
        </w:rPr>
        <w:t>, Business Entities Records Request</w:t>
      </w:r>
      <w:r w:rsidRPr="60D114DF">
        <w:rPr>
          <w:rFonts w:cs="Arial"/>
        </w:rPr>
        <w:t xml:space="preserve"> web</w:t>
      </w:r>
      <w:r w:rsidR="004C1C79" w:rsidRPr="60D114DF">
        <w:rPr>
          <w:rFonts w:cs="Arial"/>
        </w:rPr>
        <w:t xml:space="preserve"> page</w:t>
      </w:r>
      <w:r w:rsidRPr="60D114DF">
        <w:rPr>
          <w:rFonts w:cs="Arial"/>
        </w:rPr>
        <w:t xml:space="preserve"> </w:t>
      </w:r>
      <w:hyperlink r:id="rId8" w:tooltip="California Secretary of State, Business Entitities Records Request web page">
        <w:r w:rsidRPr="60D114DF">
          <w:rPr>
            <w:rStyle w:val="Hyperlink"/>
            <w:rFonts w:cs="Arial"/>
          </w:rPr>
          <w:t>https://www.sos.ca.gov/business-programs/business-entities/information-requests/</w:t>
        </w:r>
      </w:hyperlink>
      <w:r w:rsidRPr="60D114DF">
        <w:rPr>
          <w:rFonts w:cs="Arial"/>
        </w:rPr>
        <w:t>.</w:t>
      </w:r>
    </w:p>
    <w:p w14:paraId="17EED349" w14:textId="4724769D" w:rsidR="00537458" w:rsidRPr="004D0DC2" w:rsidRDefault="00537458" w:rsidP="00537458">
      <w:pPr>
        <w:autoSpaceDE w:val="0"/>
        <w:autoSpaceDN w:val="0"/>
        <w:adjustRightInd w:val="0"/>
        <w:spacing w:after="240"/>
        <w:rPr>
          <w:rFonts w:cs="Arial"/>
          <w:color w:val="000000"/>
          <w:szCs w:val="24"/>
        </w:rPr>
      </w:pPr>
      <w:r w:rsidRPr="004D0DC2">
        <w:rPr>
          <w:rFonts w:cs="Arial"/>
          <w:color w:val="000000"/>
          <w:szCs w:val="24"/>
        </w:rPr>
        <w:t>Note: Allow sufficient time to obtain the certificate from the California Secretary of State.</w:t>
      </w:r>
    </w:p>
    <w:p w14:paraId="402C4E24" w14:textId="43DBBB34" w:rsidR="00537458" w:rsidRPr="004D0DC2" w:rsidRDefault="00537458" w:rsidP="54EA1D9A">
      <w:pPr>
        <w:tabs>
          <w:tab w:val="left" w:pos="720"/>
        </w:tabs>
        <w:spacing w:after="240"/>
        <w:rPr>
          <w:rFonts w:cs="Arial"/>
        </w:rPr>
      </w:pPr>
      <w:r w:rsidRPr="54EA1D9A">
        <w:rPr>
          <w:rFonts w:cs="Arial"/>
          <w:color w:val="000000" w:themeColor="text1"/>
        </w:rPr>
        <w:t>If the bidder’s legal status does not require a filing or registration with the California Secretary of State, a separate paragraph in the Technical Proposal must clearly state the bidder’s legal status and evidence that it is legally constituted and qualified to do business with the State of California. With the exception of organizations whose legal status precludes incorporation (i.e., public agencies, sole proprietorships, partnerships)</w:t>
      </w:r>
      <w:r w:rsidR="77BF146A" w:rsidRPr="54EA1D9A">
        <w:rPr>
          <w:rFonts w:cs="Arial"/>
          <w:color w:val="000000" w:themeColor="text1"/>
        </w:rPr>
        <w:t>, bidders</w:t>
      </w:r>
      <w:r w:rsidRPr="54EA1D9A">
        <w:rPr>
          <w:rFonts w:cs="Arial"/>
          <w:color w:val="000000" w:themeColor="text1"/>
        </w:rPr>
        <w:t xml:space="preserve"> that are not fully incorporated by the deadline for submitting proposals will be disqualified.</w:t>
      </w:r>
    </w:p>
    <w:p w14:paraId="7EBEA4E0" w14:textId="6E02996F" w:rsidR="00537458" w:rsidRPr="002171EE" w:rsidRDefault="00537458" w:rsidP="00537458">
      <w:pPr>
        <w:tabs>
          <w:tab w:val="left" w:pos="720"/>
        </w:tabs>
        <w:spacing w:after="240"/>
      </w:pPr>
      <w:r w:rsidRPr="54EA1D9A">
        <w:rPr>
          <w:rFonts w:cs="Arial"/>
        </w:rPr>
        <w:t xml:space="preserve">The bidder responding to this RFP must serve as the Prime Contractor and will be the </w:t>
      </w:r>
      <w:r w:rsidR="3ED3E00A" w:rsidRPr="54EA1D9A">
        <w:rPr>
          <w:rFonts w:cs="Arial"/>
        </w:rPr>
        <w:t>entity responsible</w:t>
      </w:r>
      <w:r w:rsidRPr="54EA1D9A">
        <w:rPr>
          <w:rFonts w:cs="Arial"/>
        </w:rPr>
        <w:t xml:space="preserve"> </w:t>
      </w:r>
      <w:r w:rsidR="447A8EF2" w:rsidRPr="54EA1D9A">
        <w:rPr>
          <w:rFonts w:cs="Arial"/>
        </w:rPr>
        <w:t>for</w:t>
      </w:r>
      <w:r w:rsidRPr="54EA1D9A">
        <w:rPr>
          <w:rFonts w:cs="Arial"/>
        </w:rPr>
        <w:t xml:space="preserve"> ensuring that all tasks and activities are competently and successfully completed. In the event the bidder is subcontracting more than 25 percent to any one subcontractor, then that subcontractor must also meet the minimum qualifications listed in Section </w:t>
      </w:r>
      <w:r w:rsidR="00A40EF1" w:rsidRPr="54EA1D9A">
        <w:rPr>
          <w:rFonts w:cs="Arial"/>
        </w:rPr>
        <w:t>2</w:t>
      </w:r>
      <w:r w:rsidRPr="54EA1D9A">
        <w:rPr>
          <w:rFonts w:cs="Arial"/>
        </w:rPr>
        <w:t xml:space="preserve">.2 below. </w:t>
      </w:r>
      <w:r>
        <w:t xml:space="preserve">(Refer to RFP – Section </w:t>
      </w:r>
      <w:r w:rsidR="00A40EF1">
        <w:t>2</w:t>
      </w:r>
      <w:r>
        <w:t>.8 for the definition of “Prime Contractor</w:t>
      </w:r>
      <w:r w:rsidR="12BFC6BB">
        <w:t>.</w:t>
      </w:r>
      <w:r>
        <w:t>”)</w:t>
      </w:r>
    </w:p>
    <w:p w14:paraId="29666720" w14:textId="67F4D6DA" w:rsidR="004C287D" w:rsidRPr="002171EE" w:rsidRDefault="004C287D" w:rsidP="004C287D">
      <w:pPr>
        <w:pStyle w:val="Heading4"/>
      </w:pPr>
      <w:bookmarkStart w:id="7" w:name="_Hlk115883852"/>
      <w:r w:rsidRPr="002171EE">
        <w:t xml:space="preserve">2.1.1 </w:t>
      </w:r>
      <w:r w:rsidR="007813DC" w:rsidRPr="002171EE">
        <w:t xml:space="preserve">Targets of Economic Sanctions; </w:t>
      </w:r>
      <w:r w:rsidRPr="002171EE">
        <w:t>Executive Order N-6-22 – Russia Sanctions</w:t>
      </w:r>
    </w:p>
    <w:p w14:paraId="77C00AB8" w14:textId="542281AD" w:rsidR="004C287D" w:rsidRPr="002171EE" w:rsidRDefault="004C287D" w:rsidP="004C287D">
      <w:pPr>
        <w:rPr>
          <w:sz w:val="28"/>
        </w:rPr>
      </w:pPr>
      <w:r w:rsidRPr="002171EE">
        <w:rPr>
          <w:szCs w:val="23"/>
        </w:rPr>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Contractor represents that it is not a target of Economic Sanctions. Should the State determine Contractor is a target of Economic Sanctions or is conducting prohibited transactions with sanctioned individuals or entities, that shall be grounds for rejection of the Contractor’s bid/proposal any time prior to contract execution, or, if determined after contract execution, shall be grounds for </w:t>
      </w:r>
      <w:bookmarkEnd w:id="7"/>
      <w:r w:rsidRPr="002171EE">
        <w:rPr>
          <w:szCs w:val="23"/>
        </w:rPr>
        <w:t>termination by the State.</w:t>
      </w:r>
    </w:p>
    <w:p w14:paraId="72C8117E" w14:textId="07E692FE" w:rsidR="00537458" w:rsidRPr="002171EE" w:rsidRDefault="00537458" w:rsidP="00F67ED5">
      <w:pPr>
        <w:pStyle w:val="Heading3"/>
        <w:rPr>
          <w:sz w:val="24"/>
        </w:rPr>
      </w:pPr>
      <w:r w:rsidRPr="002171EE">
        <w:t>2.2 Minimum Qualifications for Bidders</w:t>
      </w:r>
    </w:p>
    <w:p w14:paraId="0054132D" w14:textId="3A9A25B9" w:rsidR="00537458" w:rsidRPr="002171EE" w:rsidRDefault="00537458" w:rsidP="00537458">
      <w:pPr>
        <w:spacing w:after="240"/>
        <w:rPr>
          <w:rFonts w:cs="Arial"/>
          <w:szCs w:val="24"/>
        </w:rPr>
      </w:pPr>
      <w:r w:rsidRPr="002171EE">
        <w:rPr>
          <w:rFonts w:cs="Arial"/>
          <w:szCs w:val="24"/>
        </w:rPr>
        <w:t>The bidder responding to this RFP must serve as the Prime Contractor and therefore must meet the Minimum Qualification</w:t>
      </w:r>
      <w:r w:rsidR="006C6950" w:rsidRPr="002171EE">
        <w:rPr>
          <w:rFonts w:cs="Arial"/>
          <w:szCs w:val="24"/>
        </w:rPr>
        <w:t>s</w:t>
      </w:r>
      <w:r w:rsidRPr="002171EE">
        <w:rPr>
          <w:rFonts w:cs="Arial"/>
          <w:szCs w:val="24"/>
        </w:rPr>
        <w:t xml:space="preserve"> for Bidders as stated in this section. The Prime Contractor must have the experience and qualifications to provide oversight to all proposed subcontractors and review and approve work products created by all proposed subcontractors.</w:t>
      </w:r>
    </w:p>
    <w:p w14:paraId="34705753" w14:textId="4A780486" w:rsidR="00537458" w:rsidRPr="002171EE" w:rsidRDefault="00537458" w:rsidP="00537458">
      <w:pPr>
        <w:spacing w:after="240"/>
        <w:rPr>
          <w:rFonts w:cs="Arial"/>
          <w:szCs w:val="24"/>
        </w:rPr>
      </w:pPr>
      <w:r w:rsidRPr="002171EE">
        <w:rPr>
          <w:rFonts w:cs="Arial"/>
          <w:szCs w:val="24"/>
        </w:rPr>
        <w:lastRenderedPageBreak/>
        <w:t>Bidders must have a minimum of three years (within the last five years) of recent full-time experience in:</w:t>
      </w:r>
    </w:p>
    <w:p w14:paraId="54D2EAE9" w14:textId="1B71321C" w:rsidR="00537458" w:rsidRPr="002171EE" w:rsidRDefault="00537458" w:rsidP="00A37665">
      <w:pPr>
        <w:pStyle w:val="ListParagraph"/>
        <w:numPr>
          <w:ilvl w:val="0"/>
          <w:numId w:val="37"/>
        </w:numPr>
        <w:spacing w:after="240"/>
        <w:ind w:left="720" w:hanging="360"/>
      </w:pPr>
      <w:r>
        <w:t>Large-scale (above a million dollars annually) adult education and/or professional development,</w:t>
      </w:r>
      <w:r w:rsidR="3F4AE6A2">
        <w:t xml:space="preserve"> and</w:t>
      </w:r>
    </w:p>
    <w:p w14:paraId="3A8ADA1E" w14:textId="77777777" w:rsidR="00537458" w:rsidRPr="002171EE" w:rsidRDefault="00537458" w:rsidP="00A37665">
      <w:pPr>
        <w:pStyle w:val="ListParagraph"/>
        <w:numPr>
          <w:ilvl w:val="0"/>
          <w:numId w:val="37"/>
        </w:numPr>
        <w:spacing w:after="240"/>
        <w:ind w:left="720" w:hanging="360"/>
        <w:contextualSpacing w:val="0"/>
      </w:pPr>
      <w:r w:rsidRPr="002171EE">
        <w:t>Designing research-based adult education management and leadership strategies and in using statewide data for program improvement.</w:t>
      </w:r>
    </w:p>
    <w:p w14:paraId="125E8833" w14:textId="779481D0" w:rsidR="007C6E65" w:rsidRPr="002171EE" w:rsidRDefault="00537458" w:rsidP="009173AA">
      <w:pPr>
        <w:spacing w:after="240"/>
      </w:pPr>
      <w:r w:rsidRPr="002171EE">
        <w:t>Bidders must have extensive knowledge of and experience in developing and implementing professional development activities related to adult education, focusing on the changing behaviors of teachers and/or administrators to enhance student performance in each of the following areas:</w:t>
      </w:r>
    </w:p>
    <w:p w14:paraId="1FE84F97" w14:textId="77777777" w:rsidR="00537458" w:rsidRPr="002171EE" w:rsidRDefault="00537458" w:rsidP="005A4ED9">
      <w:pPr>
        <w:pStyle w:val="ListParagraph"/>
        <w:numPr>
          <w:ilvl w:val="0"/>
          <w:numId w:val="34"/>
        </w:numPr>
        <w:contextualSpacing w:val="0"/>
      </w:pPr>
      <w:r w:rsidRPr="002171EE">
        <w:t>Coaching/mentoring,</w:t>
      </w:r>
    </w:p>
    <w:p w14:paraId="2E421139" w14:textId="77777777" w:rsidR="00537458" w:rsidRPr="002171EE" w:rsidRDefault="00537458" w:rsidP="005A4ED9">
      <w:pPr>
        <w:pStyle w:val="ListParagraph"/>
        <w:numPr>
          <w:ilvl w:val="0"/>
          <w:numId w:val="34"/>
        </w:numPr>
        <w:contextualSpacing w:val="0"/>
      </w:pPr>
      <w:r w:rsidRPr="002171EE">
        <w:t>Communities of practice,</w:t>
      </w:r>
    </w:p>
    <w:p w14:paraId="379B887B" w14:textId="77777777" w:rsidR="00537458" w:rsidRPr="002171EE" w:rsidRDefault="00537458" w:rsidP="005A4ED9">
      <w:pPr>
        <w:pStyle w:val="ListParagraph"/>
        <w:numPr>
          <w:ilvl w:val="0"/>
          <w:numId w:val="34"/>
        </w:numPr>
        <w:contextualSpacing w:val="0"/>
      </w:pPr>
      <w:r w:rsidRPr="002171EE">
        <w:t>Study circle facilitation,</w:t>
      </w:r>
    </w:p>
    <w:p w14:paraId="64CFA92D" w14:textId="77777777" w:rsidR="00537458" w:rsidRPr="002171EE" w:rsidRDefault="00537458" w:rsidP="005A4ED9">
      <w:pPr>
        <w:pStyle w:val="ListParagraph"/>
        <w:numPr>
          <w:ilvl w:val="0"/>
          <w:numId w:val="34"/>
        </w:numPr>
        <w:contextualSpacing w:val="0"/>
      </w:pPr>
      <w:r w:rsidRPr="002171EE">
        <w:t>Professional learning communities,</w:t>
      </w:r>
    </w:p>
    <w:p w14:paraId="0D9A2307" w14:textId="5C3DFA5E" w:rsidR="00537458" w:rsidRPr="002171EE" w:rsidRDefault="00537458" w:rsidP="54EA1D9A">
      <w:pPr>
        <w:pStyle w:val="ListParagraph"/>
        <w:numPr>
          <w:ilvl w:val="0"/>
          <w:numId w:val="34"/>
        </w:numPr>
      </w:pPr>
      <w:r>
        <w:t>Lesson study model,</w:t>
      </w:r>
      <w:r w:rsidR="14996041">
        <w:t xml:space="preserve"> and</w:t>
      </w:r>
    </w:p>
    <w:p w14:paraId="6D3E8ACC" w14:textId="0FE4FD40" w:rsidR="00537458" w:rsidRPr="002171EE" w:rsidRDefault="00537458" w:rsidP="005A4ED9">
      <w:pPr>
        <w:pStyle w:val="ListParagraph"/>
        <w:numPr>
          <w:ilvl w:val="0"/>
          <w:numId w:val="34"/>
        </w:numPr>
        <w:spacing w:after="240"/>
      </w:pPr>
      <w:r>
        <w:t>Other successful professional development models</w:t>
      </w:r>
      <w:r w:rsidR="371D2780">
        <w:t>.</w:t>
      </w:r>
    </w:p>
    <w:p w14:paraId="135FAA59" w14:textId="46A60A0A" w:rsidR="00537458" w:rsidRPr="002171EE" w:rsidRDefault="00537458" w:rsidP="00537458">
      <w:pPr>
        <w:spacing w:after="240"/>
      </w:pPr>
      <w:r w:rsidRPr="002171EE">
        <w:t xml:space="preserve">Professional development in adult education refers to skills and knowledge that will increase the efficacy of teachers and/or administrators in their educational roles. Professional development will broaden and elevate skills and knowledge, which will in turn improve student learning. All proposed professional development must be research-based to ensure successful outcomes. Examples of professional development approaches </w:t>
      </w:r>
      <w:r w:rsidR="009173AA" w:rsidRPr="002171EE">
        <w:t>include</w:t>
      </w:r>
      <w:r w:rsidRPr="002171EE">
        <w:t xml:space="preserve"> but is not limited to coaching, communities of practice, and technical assistance.</w:t>
      </w:r>
    </w:p>
    <w:p w14:paraId="5816E415" w14:textId="77777777" w:rsidR="00537458" w:rsidRPr="002171EE" w:rsidRDefault="00537458" w:rsidP="00537458">
      <w:pPr>
        <w:spacing w:after="240"/>
      </w:pPr>
      <w:r w:rsidRPr="002171EE">
        <w:t>Bidders must have extensive experience in providing in-depth professional development trainings for teachers and leaders with the goal of building capacity to provide rigorous, highly supported education opportunities for English learners to simultaneously learn language, content, and academic practices. The professional development training provided will deliver a multi-faceted approach on improving discipline-specific literacy and content learning for ELA, ABE, ASE, and IELCE with IET.</w:t>
      </w:r>
    </w:p>
    <w:p w14:paraId="0138EBF9" w14:textId="77777777" w:rsidR="00537458" w:rsidRPr="002171EE" w:rsidRDefault="00537458" w:rsidP="00537458">
      <w:pPr>
        <w:tabs>
          <w:tab w:val="left" w:pos="1080"/>
        </w:tabs>
        <w:spacing w:before="240" w:after="240"/>
        <w:rPr>
          <w:rFonts w:cs="Arial"/>
          <w:szCs w:val="24"/>
        </w:rPr>
      </w:pPr>
      <w:r w:rsidRPr="002171EE">
        <w:rPr>
          <w:rFonts w:eastAsia="Times New Roman" w:cs="Arial"/>
          <w:snapToGrid w:val="0"/>
          <w:szCs w:val="20"/>
        </w:rPr>
        <w:t>Bidders must have experience working with immigrants/refugees, homeless, low-literacy native English speakers, and/or adults with learning disabilities. This includes documented evidence of working with adult reading strategies, numeracy, workplace literacy skills, IET, and learning disabilities.</w:t>
      </w:r>
    </w:p>
    <w:p w14:paraId="7FC169F9" w14:textId="77777777" w:rsidR="00537458" w:rsidRPr="002171EE" w:rsidRDefault="00537458" w:rsidP="00537458">
      <w:pPr>
        <w:spacing w:after="240"/>
      </w:pPr>
      <w:r w:rsidRPr="002171EE">
        <w:t xml:space="preserve">Bidders’ professional development offerings must be grounded, supported, and validated in current research. Additionally, bidders must have experience working with adult educators in a variety of contexts such as adult schools, public libraries, correctional facilities, CBOs, and community colleges. </w:t>
      </w:r>
    </w:p>
    <w:p w14:paraId="3A0B7057" w14:textId="222AE2A5" w:rsidR="00537458" w:rsidRPr="004D0DC2" w:rsidRDefault="00537458" w:rsidP="00537458">
      <w:r w:rsidRPr="004D0DC2">
        <w:t xml:space="preserve">Refer to RFP Section </w:t>
      </w:r>
      <w:r w:rsidR="00A40EF1" w:rsidRPr="004D0DC2">
        <w:t>3</w:t>
      </w:r>
      <w:r w:rsidRPr="004D0DC2">
        <w:t>.1 Technical Proposal Requirements for additional information pertaining to personnel requirements.</w:t>
      </w:r>
    </w:p>
    <w:p w14:paraId="63E19AC9" w14:textId="77777777" w:rsidR="00537458" w:rsidRPr="004D0DC2" w:rsidRDefault="00537458" w:rsidP="00537458">
      <w:r w:rsidRPr="004D0DC2">
        <w:br w:type="page"/>
      </w:r>
    </w:p>
    <w:p w14:paraId="60FC0169" w14:textId="640571E6" w:rsidR="00537458" w:rsidRPr="004D0DC2" w:rsidRDefault="00537458" w:rsidP="00F67ED5">
      <w:pPr>
        <w:pStyle w:val="Heading3"/>
        <w:rPr>
          <w:sz w:val="24"/>
        </w:rPr>
      </w:pPr>
      <w:r w:rsidRPr="004D0DC2">
        <w:lastRenderedPageBreak/>
        <w:t>2.3 RFP Schedule of Events</w:t>
      </w:r>
    </w:p>
    <w:tbl>
      <w:tblPr>
        <w:tblStyle w:val="TableGrid"/>
        <w:tblW w:w="10710" w:type="dxa"/>
        <w:tblLook w:val="01E0" w:firstRow="1" w:lastRow="1" w:firstColumn="1" w:lastColumn="1" w:noHBand="0" w:noVBand="0"/>
        <w:tblCaption w:val="RFP Schedule of Events"/>
        <w:tblDescription w:val="RFP Schedule of Events &#10;Activity: Request for Proposal Released, Action Date: January 24, 2018,&#10;Activity: Intent to Submit a Proposal, Action Date: February 13, 2018, 5:00p PST,&#10;Activity: Receipt of Question from Bidders Due, Action Date: February 13, 2018, 5:00p PST,&#10;Activity: CDE Response to Questions Received, Action Date: February 27, 2018 (Tentative),&#10;Activity: Proposals Due, Action Date: March 20, 2018, 2:00p PDT,&#10;Activity: Review of the Proposals, Action Date: April 2 - 6, 2018 (Tentative),&#10;Activity: Bid Opening, Action Date: April 18, 2018, 11:00a PDT,&#10;Activity: Posting of Intent to Award (five business days), Action Date: April 30 - May 4, 2018 (Tentative),&#10;Activity: Anticipated Contract Start Date, Action Date: June 1, 2018, or upon DGS approval, whichever is later&#10;&#10;"/>
      </w:tblPr>
      <w:tblGrid>
        <w:gridCol w:w="5220"/>
        <w:gridCol w:w="5490"/>
      </w:tblGrid>
      <w:tr w:rsidR="00F67ED5" w:rsidRPr="004D0DC2" w14:paraId="7675D62C" w14:textId="77777777" w:rsidTr="54EA1D9A">
        <w:trPr>
          <w:cantSplit/>
          <w:trHeight w:val="295"/>
          <w:tblHeader/>
        </w:trPr>
        <w:tc>
          <w:tcPr>
            <w:tcW w:w="5220" w:type="dxa"/>
          </w:tcPr>
          <w:p w14:paraId="4A840CA4" w14:textId="77777777" w:rsidR="00F67ED5" w:rsidRPr="004D0DC2" w:rsidRDefault="00F67ED5" w:rsidP="00597C32">
            <w:pPr>
              <w:keepNext/>
              <w:keepLines/>
              <w:spacing w:before="240" w:after="240"/>
              <w:rPr>
                <w:b/>
              </w:rPr>
            </w:pPr>
            <w:r w:rsidRPr="004D0DC2">
              <w:rPr>
                <w:b/>
              </w:rPr>
              <w:t>Activity</w:t>
            </w:r>
          </w:p>
        </w:tc>
        <w:tc>
          <w:tcPr>
            <w:tcW w:w="5490" w:type="dxa"/>
          </w:tcPr>
          <w:p w14:paraId="46E5BC4E" w14:textId="77777777" w:rsidR="00F67ED5" w:rsidRPr="004D0DC2" w:rsidRDefault="00F67ED5" w:rsidP="00597C32">
            <w:pPr>
              <w:keepNext/>
              <w:keepLines/>
              <w:spacing w:before="240" w:after="240"/>
              <w:rPr>
                <w:b/>
              </w:rPr>
            </w:pPr>
            <w:r w:rsidRPr="004D0DC2">
              <w:rPr>
                <w:b/>
              </w:rPr>
              <w:t>Action Date</w:t>
            </w:r>
          </w:p>
        </w:tc>
      </w:tr>
      <w:tr w:rsidR="00F67ED5" w:rsidRPr="004D0DC2" w14:paraId="58EA5238" w14:textId="77777777" w:rsidTr="54EA1D9A">
        <w:trPr>
          <w:cantSplit/>
          <w:trHeight w:val="279"/>
          <w:tblHeader/>
        </w:trPr>
        <w:tc>
          <w:tcPr>
            <w:tcW w:w="5220" w:type="dxa"/>
          </w:tcPr>
          <w:p w14:paraId="21A64E06" w14:textId="77777777" w:rsidR="00F67ED5" w:rsidRPr="002171EE" w:rsidRDefault="00F67ED5" w:rsidP="00597C32">
            <w:pPr>
              <w:keepNext/>
              <w:keepLines/>
              <w:spacing w:before="240" w:after="240"/>
              <w:rPr>
                <w:b/>
              </w:rPr>
            </w:pPr>
            <w:r w:rsidRPr="002171EE">
              <w:t>Request for Proposal Released</w:t>
            </w:r>
          </w:p>
        </w:tc>
        <w:tc>
          <w:tcPr>
            <w:tcW w:w="5490" w:type="dxa"/>
          </w:tcPr>
          <w:p w14:paraId="040BEF5C" w14:textId="164C9F01" w:rsidR="00F67ED5" w:rsidRPr="002171EE" w:rsidRDefault="00F67ED5" w:rsidP="00597C32">
            <w:pPr>
              <w:keepNext/>
              <w:keepLines/>
              <w:spacing w:before="240" w:after="240"/>
            </w:pPr>
            <w:r w:rsidRPr="002171EE">
              <w:rPr>
                <w:rFonts w:cs="Arial"/>
              </w:rPr>
              <w:t xml:space="preserve">October </w:t>
            </w:r>
            <w:r w:rsidR="00A955A7" w:rsidRPr="002171EE">
              <w:rPr>
                <w:rFonts w:cs="Arial"/>
              </w:rPr>
              <w:t>29, 2025</w:t>
            </w:r>
          </w:p>
        </w:tc>
      </w:tr>
      <w:tr w:rsidR="00F67ED5" w:rsidRPr="004D0DC2" w14:paraId="29FC3161" w14:textId="77777777" w:rsidTr="54EA1D9A">
        <w:trPr>
          <w:cantSplit/>
          <w:trHeight w:val="295"/>
          <w:tblHeader/>
        </w:trPr>
        <w:tc>
          <w:tcPr>
            <w:tcW w:w="5220" w:type="dxa"/>
          </w:tcPr>
          <w:p w14:paraId="30611838" w14:textId="77777777" w:rsidR="00F67ED5" w:rsidRPr="002171EE" w:rsidRDefault="00F67ED5" w:rsidP="00597C32">
            <w:pPr>
              <w:keepNext/>
              <w:keepLines/>
              <w:spacing w:before="240" w:after="240"/>
              <w:rPr>
                <w:b/>
              </w:rPr>
            </w:pPr>
            <w:r w:rsidRPr="002171EE">
              <w:t xml:space="preserve">Intent to Submit a Proposal </w:t>
            </w:r>
          </w:p>
        </w:tc>
        <w:tc>
          <w:tcPr>
            <w:tcW w:w="5490" w:type="dxa"/>
          </w:tcPr>
          <w:p w14:paraId="17EAE913" w14:textId="1C0DC35F" w:rsidR="00F67ED5" w:rsidRPr="002171EE" w:rsidRDefault="00F67ED5" w:rsidP="00597C32">
            <w:pPr>
              <w:keepNext/>
              <w:keepLines/>
              <w:spacing w:before="240" w:after="240"/>
            </w:pPr>
            <w:r>
              <w:t xml:space="preserve">November </w:t>
            </w:r>
            <w:r w:rsidR="70653A53">
              <w:t>1</w:t>
            </w:r>
            <w:r>
              <w:t>9, 202</w:t>
            </w:r>
            <w:r w:rsidR="70653A53">
              <w:t>5</w:t>
            </w:r>
            <w:r w:rsidR="41EFEDC9">
              <w:t>,</w:t>
            </w:r>
            <w:r>
              <w:t xml:space="preserve"> at 5pm</w:t>
            </w:r>
          </w:p>
        </w:tc>
      </w:tr>
      <w:tr w:rsidR="00F67ED5" w:rsidRPr="004D0DC2" w14:paraId="6DA0FA7E" w14:textId="77777777" w:rsidTr="54EA1D9A">
        <w:trPr>
          <w:cantSplit/>
          <w:trHeight w:val="279"/>
          <w:tblHeader/>
        </w:trPr>
        <w:tc>
          <w:tcPr>
            <w:tcW w:w="5220" w:type="dxa"/>
          </w:tcPr>
          <w:p w14:paraId="4AFF27E9" w14:textId="77777777" w:rsidR="00F67ED5" w:rsidRPr="002171EE" w:rsidRDefault="00F67ED5" w:rsidP="00597C32">
            <w:pPr>
              <w:keepNext/>
              <w:keepLines/>
              <w:spacing w:before="240" w:after="240"/>
              <w:rPr>
                <w:b/>
              </w:rPr>
            </w:pPr>
            <w:r w:rsidRPr="002171EE">
              <w:t>Receipt of Questions from Bidders Due</w:t>
            </w:r>
          </w:p>
        </w:tc>
        <w:tc>
          <w:tcPr>
            <w:tcW w:w="5490" w:type="dxa"/>
          </w:tcPr>
          <w:p w14:paraId="39AAEF09" w14:textId="5578CC36" w:rsidR="00F67ED5" w:rsidRPr="002171EE" w:rsidRDefault="00F67ED5" w:rsidP="00597C32">
            <w:pPr>
              <w:keepNext/>
              <w:keepLines/>
              <w:spacing w:before="240" w:after="240"/>
            </w:pPr>
            <w:r>
              <w:t xml:space="preserve">November </w:t>
            </w:r>
            <w:r w:rsidR="70653A53">
              <w:t>1</w:t>
            </w:r>
            <w:r>
              <w:t>9, 202</w:t>
            </w:r>
            <w:r w:rsidR="70653A53">
              <w:t>5</w:t>
            </w:r>
            <w:r w:rsidR="2B8AC625">
              <w:t>,</w:t>
            </w:r>
            <w:r>
              <w:t xml:space="preserve"> at 5pm</w:t>
            </w:r>
          </w:p>
        </w:tc>
      </w:tr>
      <w:tr w:rsidR="00F67ED5" w:rsidRPr="004D0DC2" w14:paraId="20FA8A97" w14:textId="77777777" w:rsidTr="54EA1D9A">
        <w:trPr>
          <w:cantSplit/>
          <w:trHeight w:val="295"/>
          <w:tblHeader/>
        </w:trPr>
        <w:tc>
          <w:tcPr>
            <w:tcW w:w="5220" w:type="dxa"/>
          </w:tcPr>
          <w:p w14:paraId="53B6A5E3" w14:textId="77777777" w:rsidR="00F67ED5" w:rsidRPr="002171EE" w:rsidRDefault="00F67ED5" w:rsidP="00597C32">
            <w:pPr>
              <w:keepNext/>
              <w:keepLines/>
              <w:spacing w:before="240" w:after="240"/>
              <w:rPr>
                <w:b/>
              </w:rPr>
            </w:pPr>
            <w:r w:rsidRPr="002171EE">
              <w:t>CDE Response to Questions Received</w:t>
            </w:r>
          </w:p>
        </w:tc>
        <w:tc>
          <w:tcPr>
            <w:tcW w:w="5490" w:type="dxa"/>
          </w:tcPr>
          <w:p w14:paraId="2106E7E2" w14:textId="6E74D8BC" w:rsidR="00F67ED5" w:rsidRPr="002171EE" w:rsidRDefault="00A955A7" w:rsidP="00597C32">
            <w:pPr>
              <w:keepNext/>
              <w:keepLines/>
              <w:spacing w:before="240" w:after="240"/>
            </w:pPr>
            <w:r w:rsidRPr="002171EE">
              <w:t>December 3, 2025</w:t>
            </w:r>
            <w:r w:rsidR="00F67ED5" w:rsidRPr="002171EE">
              <w:t xml:space="preserve"> (Tentative)</w:t>
            </w:r>
          </w:p>
        </w:tc>
      </w:tr>
      <w:tr w:rsidR="00F67ED5" w:rsidRPr="004D0DC2" w14:paraId="331FE069" w14:textId="77777777" w:rsidTr="54EA1D9A">
        <w:trPr>
          <w:cantSplit/>
          <w:trHeight w:val="295"/>
          <w:tblHeader/>
        </w:trPr>
        <w:tc>
          <w:tcPr>
            <w:tcW w:w="5220" w:type="dxa"/>
          </w:tcPr>
          <w:p w14:paraId="46A39341" w14:textId="77777777" w:rsidR="00F67ED5" w:rsidRPr="002171EE" w:rsidRDefault="00F67ED5" w:rsidP="00597C32">
            <w:pPr>
              <w:keepNext/>
              <w:keepLines/>
              <w:spacing w:before="240" w:after="240"/>
              <w:rPr>
                <w:b/>
              </w:rPr>
            </w:pPr>
            <w:r w:rsidRPr="002171EE">
              <w:t>Proposals Due</w:t>
            </w:r>
            <w:r w:rsidRPr="002171EE">
              <w:tab/>
            </w:r>
          </w:p>
        </w:tc>
        <w:tc>
          <w:tcPr>
            <w:tcW w:w="5490" w:type="dxa"/>
          </w:tcPr>
          <w:p w14:paraId="0C54FAA2" w14:textId="4E45C8BE" w:rsidR="00F67ED5" w:rsidRPr="002171EE" w:rsidRDefault="00F67ED5" w:rsidP="00597C32">
            <w:pPr>
              <w:keepNext/>
              <w:keepLines/>
              <w:spacing w:before="240" w:after="240"/>
            </w:pPr>
            <w:r>
              <w:t xml:space="preserve">January </w:t>
            </w:r>
            <w:r w:rsidR="70653A53">
              <w:t>7,</w:t>
            </w:r>
            <w:r>
              <w:t xml:space="preserve"> 202</w:t>
            </w:r>
            <w:r w:rsidR="70653A53">
              <w:t>6</w:t>
            </w:r>
            <w:r w:rsidR="3255D336">
              <w:t>,</w:t>
            </w:r>
            <w:r>
              <w:t xml:space="preserve"> at 12pm</w:t>
            </w:r>
          </w:p>
        </w:tc>
      </w:tr>
      <w:tr w:rsidR="00F67ED5" w:rsidRPr="004D0DC2" w14:paraId="7A8DCF94" w14:textId="77777777" w:rsidTr="54EA1D9A">
        <w:trPr>
          <w:cantSplit/>
          <w:trHeight w:val="295"/>
          <w:tblHeader/>
        </w:trPr>
        <w:tc>
          <w:tcPr>
            <w:tcW w:w="5220" w:type="dxa"/>
          </w:tcPr>
          <w:p w14:paraId="68F0E187" w14:textId="77777777" w:rsidR="00F67ED5" w:rsidRPr="002171EE" w:rsidRDefault="00F67ED5" w:rsidP="00597C32">
            <w:pPr>
              <w:keepNext/>
              <w:keepLines/>
              <w:spacing w:before="240" w:after="240"/>
              <w:rPr>
                <w:b/>
              </w:rPr>
            </w:pPr>
            <w:r w:rsidRPr="002171EE">
              <w:t>Review of the Proposals</w:t>
            </w:r>
            <w:r w:rsidRPr="002171EE">
              <w:tab/>
            </w:r>
          </w:p>
        </w:tc>
        <w:tc>
          <w:tcPr>
            <w:tcW w:w="5490" w:type="dxa"/>
          </w:tcPr>
          <w:p w14:paraId="7C08D985" w14:textId="6F99C9E4" w:rsidR="00F67ED5" w:rsidRPr="002171EE" w:rsidRDefault="00F67ED5" w:rsidP="00597C32">
            <w:pPr>
              <w:keepNext/>
              <w:keepLines/>
              <w:spacing w:before="240" w:after="240"/>
            </w:pPr>
            <w:r w:rsidRPr="002171EE">
              <w:t>January 2</w:t>
            </w:r>
            <w:r w:rsidR="00A955A7" w:rsidRPr="002171EE">
              <w:t>6</w:t>
            </w:r>
            <w:r w:rsidRPr="002171EE">
              <w:t>-</w:t>
            </w:r>
            <w:r w:rsidR="00A955A7" w:rsidRPr="002171EE">
              <w:t>30</w:t>
            </w:r>
            <w:r w:rsidRPr="002171EE">
              <w:t>, 202</w:t>
            </w:r>
            <w:r w:rsidR="00A955A7" w:rsidRPr="002171EE">
              <w:t>6</w:t>
            </w:r>
            <w:r w:rsidRPr="002171EE">
              <w:t xml:space="preserve"> (Tentative)</w:t>
            </w:r>
          </w:p>
        </w:tc>
      </w:tr>
      <w:tr w:rsidR="004D0DC2" w:rsidRPr="004D0DC2" w14:paraId="715245B6" w14:textId="77777777" w:rsidTr="54EA1D9A">
        <w:trPr>
          <w:cantSplit/>
          <w:trHeight w:val="295"/>
          <w:tblHeader/>
        </w:trPr>
        <w:tc>
          <w:tcPr>
            <w:tcW w:w="5220" w:type="dxa"/>
          </w:tcPr>
          <w:p w14:paraId="2D61622B" w14:textId="0E3D83D0" w:rsidR="004D0DC2" w:rsidRPr="002171EE" w:rsidRDefault="004D0DC2" w:rsidP="00597C32">
            <w:pPr>
              <w:keepNext/>
              <w:keepLines/>
              <w:spacing w:before="240" w:after="240"/>
            </w:pPr>
            <w:r w:rsidRPr="002171EE">
              <w:t>Public Opening of Cost Proposal</w:t>
            </w:r>
          </w:p>
        </w:tc>
        <w:tc>
          <w:tcPr>
            <w:tcW w:w="5490" w:type="dxa"/>
          </w:tcPr>
          <w:p w14:paraId="0BFFD9C6" w14:textId="3B4EB30A" w:rsidR="004D0DC2" w:rsidRPr="002171EE" w:rsidRDefault="004D0DC2" w:rsidP="00597C32">
            <w:pPr>
              <w:keepNext/>
              <w:keepLines/>
              <w:spacing w:before="240" w:after="240"/>
            </w:pPr>
            <w:r>
              <w:t>February 18, 2026</w:t>
            </w:r>
            <w:r w:rsidR="5A4A53A7">
              <w:t>,</w:t>
            </w:r>
            <w:r>
              <w:t xml:space="preserve"> at 10am</w:t>
            </w:r>
          </w:p>
        </w:tc>
      </w:tr>
      <w:tr w:rsidR="004D0DC2" w:rsidRPr="004D0DC2" w14:paraId="5150C06A" w14:textId="77777777" w:rsidTr="54EA1D9A">
        <w:trPr>
          <w:cantSplit/>
          <w:trHeight w:val="279"/>
          <w:tblHeader/>
        </w:trPr>
        <w:tc>
          <w:tcPr>
            <w:tcW w:w="5220" w:type="dxa"/>
          </w:tcPr>
          <w:p w14:paraId="7C494D93" w14:textId="5A14FF97" w:rsidR="004D0DC2" w:rsidRPr="002171EE" w:rsidRDefault="004D0DC2" w:rsidP="00597C32">
            <w:pPr>
              <w:keepNext/>
              <w:keepLines/>
              <w:spacing w:before="240" w:after="240"/>
            </w:pPr>
            <w:r w:rsidRPr="002171EE">
              <w:t>Posting of Intent to Award (five business days)</w:t>
            </w:r>
          </w:p>
        </w:tc>
        <w:tc>
          <w:tcPr>
            <w:tcW w:w="5490" w:type="dxa"/>
          </w:tcPr>
          <w:p w14:paraId="2332075A" w14:textId="575FB8EF" w:rsidR="004D0DC2" w:rsidRPr="002171EE" w:rsidRDefault="004D0DC2" w:rsidP="00597C32">
            <w:pPr>
              <w:keepNext/>
              <w:keepLines/>
              <w:spacing w:before="240" w:after="240"/>
            </w:pPr>
            <w:r>
              <w:t>March 9</w:t>
            </w:r>
            <w:r w:rsidR="43C71269">
              <w:t>–</w:t>
            </w:r>
            <w:r>
              <w:t>13, 2026 (Tentative)</w:t>
            </w:r>
          </w:p>
        </w:tc>
      </w:tr>
      <w:tr w:rsidR="004D0DC2" w:rsidRPr="004D0DC2" w14:paraId="3B1D31A7" w14:textId="77777777" w:rsidTr="54EA1D9A">
        <w:trPr>
          <w:cantSplit/>
          <w:trHeight w:val="314"/>
          <w:tblHeader/>
        </w:trPr>
        <w:tc>
          <w:tcPr>
            <w:tcW w:w="5220" w:type="dxa"/>
          </w:tcPr>
          <w:p w14:paraId="21F28F9B" w14:textId="1A33C9FF" w:rsidR="004D0DC2" w:rsidRPr="002171EE" w:rsidRDefault="004D0DC2" w:rsidP="00597C32">
            <w:pPr>
              <w:keepNext/>
              <w:keepLines/>
              <w:spacing w:before="240" w:after="240"/>
            </w:pPr>
            <w:r w:rsidRPr="002171EE">
              <w:t>Anticipated Contract Start Date</w:t>
            </w:r>
          </w:p>
        </w:tc>
        <w:tc>
          <w:tcPr>
            <w:tcW w:w="5490" w:type="dxa"/>
          </w:tcPr>
          <w:p w14:paraId="717BF2C4" w14:textId="247747C1" w:rsidR="004D0DC2" w:rsidRPr="002171EE" w:rsidRDefault="004D0DC2" w:rsidP="00597C32">
            <w:pPr>
              <w:keepNext/>
              <w:keepLines/>
              <w:spacing w:before="240" w:after="240"/>
            </w:pPr>
            <w:r>
              <w:t>July 1, 2026</w:t>
            </w:r>
            <w:r w:rsidR="3BCC2C25">
              <w:t xml:space="preserve">, </w:t>
            </w:r>
            <w:r>
              <w:t>or upon DGS approval, whichever is later</w:t>
            </w:r>
          </w:p>
        </w:tc>
      </w:tr>
    </w:tbl>
    <w:p w14:paraId="54BF2154" w14:textId="60AE3034" w:rsidR="00537458" w:rsidRPr="004D0DC2" w:rsidRDefault="00537458" w:rsidP="00F67ED5">
      <w:pPr>
        <w:pStyle w:val="Heading3"/>
        <w:rPr>
          <w:sz w:val="24"/>
        </w:rPr>
      </w:pPr>
      <w:r w:rsidRPr="004D0DC2">
        <w:t>2.4 Contract Funding, and Time Period</w:t>
      </w:r>
    </w:p>
    <w:p w14:paraId="436E8927" w14:textId="54061DAC" w:rsidR="00537458" w:rsidRPr="004D0DC2" w:rsidRDefault="00537458" w:rsidP="00537458">
      <w:pPr>
        <w:pStyle w:val="Heading4"/>
      </w:pPr>
      <w:r w:rsidRPr="004D0DC2">
        <w:t>2.4.1 Funding</w:t>
      </w:r>
    </w:p>
    <w:p w14:paraId="13A87037" w14:textId="6ADC07AF" w:rsidR="00C10F90" w:rsidRPr="004D0DC2" w:rsidRDefault="00537458" w:rsidP="00537458">
      <w:pPr>
        <w:rPr>
          <w:rFonts w:eastAsia="Times New Roman" w:cs="Arial"/>
          <w:szCs w:val="24"/>
        </w:rPr>
      </w:pPr>
      <w:r w:rsidRPr="004D0DC2">
        <w:rPr>
          <w:rFonts w:eastAsia="Times New Roman" w:cs="Arial"/>
          <w:szCs w:val="24"/>
        </w:rPr>
        <w:t xml:space="preserve">Contract funding is contingent upon the availability of funds, </w:t>
      </w:r>
      <w:r w:rsidRPr="000D5A75">
        <w:rPr>
          <w:rFonts w:eastAsia="Times New Roman" w:cs="Arial"/>
          <w:szCs w:val="24"/>
        </w:rPr>
        <w:t>including appropriation in the annual Budget Act. The total amount projected to be available for this project is $</w:t>
      </w:r>
      <w:r w:rsidR="008F4234" w:rsidRPr="000D5A75">
        <w:rPr>
          <w:rFonts w:eastAsia="Times New Roman" w:cs="Arial"/>
          <w:szCs w:val="24"/>
        </w:rPr>
        <w:t>4,</w:t>
      </w:r>
      <w:r w:rsidR="005C6EAD">
        <w:rPr>
          <w:rFonts w:eastAsia="Times New Roman" w:cs="Arial"/>
          <w:szCs w:val="24"/>
        </w:rPr>
        <w:t>4</w:t>
      </w:r>
      <w:r w:rsidR="008F4234" w:rsidRPr="000D5A75">
        <w:rPr>
          <w:rFonts w:eastAsia="Times New Roman" w:cs="Arial"/>
          <w:szCs w:val="24"/>
        </w:rPr>
        <w:t>00,</w:t>
      </w:r>
      <w:r w:rsidR="000D5A75" w:rsidRPr="000D5A75">
        <w:rPr>
          <w:rFonts w:eastAsia="Times New Roman" w:cs="Arial"/>
          <w:szCs w:val="24"/>
        </w:rPr>
        <w:t>000.</w:t>
      </w:r>
    </w:p>
    <w:p w14:paraId="2873B8C5" w14:textId="77777777" w:rsidR="00C10F90" w:rsidRPr="004D0DC2" w:rsidRDefault="00C10F90" w:rsidP="00537458">
      <w:pPr>
        <w:rPr>
          <w:rFonts w:eastAsia="Times New Roman" w:cs="Arial"/>
          <w:szCs w:val="24"/>
        </w:rPr>
      </w:pPr>
    </w:p>
    <w:p w14:paraId="1A5DB19C" w14:textId="7E08906D" w:rsidR="00537458" w:rsidRPr="004D0DC2" w:rsidRDefault="00537458" w:rsidP="00537458">
      <w:pPr>
        <w:spacing w:after="240"/>
        <w:rPr>
          <w:rFonts w:ascii="&amp;quot" w:eastAsia="Times New Roman" w:hAnsi="&amp;quot"/>
          <w:color w:val="212121"/>
          <w:sz w:val="23"/>
          <w:szCs w:val="23"/>
        </w:rPr>
      </w:pPr>
      <w:r w:rsidRPr="004D0DC2">
        <w:rPr>
          <w:rFonts w:eastAsia="Times New Roman" w:cs="Arial"/>
          <w:szCs w:val="24"/>
        </w:rPr>
        <w:t>If insufficient funds are appropriated in the annual Budget Act for any portion of the work in this contract, or if any other funds upon which this contract is contingent are reduced or no longer available, CDE may cancel the contract, or portion thereof, with no liability of any kind accruing to or against CDE, it</w:t>
      </w:r>
      <w:r w:rsidR="006C6950" w:rsidRPr="004D0DC2">
        <w:rPr>
          <w:rFonts w:eastAsia="Times New Roman" w:cs="Arial"/>
          <w:szCs w:val="24"/>
        </w:rPr>
        <w:t>s</w:t>
      </w:r>
      <w:r w:rsidRPr="004D0DC2">
        <w:rPr>
          <w:rFonts w:eastAsia="Times New Roman" w:cs="Arial"/>
          <w:szCs w:val="24"/>
        </w:rPr>
        <w:t xml:space="preserve"> employees</w:t>
      </w:r>
      <w:r w:rsidRPr="004D0DC2">
        <w:rPr>
          <w:rFonts w:eastAsia="Times New Roman" w:cs="Arial"/>
          <w:color w:val="212121"/>
          <w:szCs w:val="24"/>
        </w:rPr>
        <w:t xml:space="preserve">, agents, contractors or representatives. The bidder shall not be obligated to perform any work, or the </w:t>
      </w:r>
      <w:r w:rsidR="006C6950" w:rsidRPr="004D0DC2">
        <w:rPr>
          <w:rFonts w:eastAsia="Times New Roman" w:cs="Arial"/>
          <w:color w:val="212121"/>
          <w:szCs w:val="24"/>
        </w:rPr>
        <w:t>c</w:t>
      </w:r>
      <w:r w:rsidRPr="004D0DC2">
        <w:rPr>
          <w:rFonts w:eastAsia="Times New Roman" w:cs="Arial"/>
          <w:color w:val="212121"/>
          <w:szCs w:val="24"/>
        </w:rPr>
        <w:t>ontract may be amended by CDE and the successful bidder to reflect a reduction of work and the reduced appropriation subject to appropriate government agency approval.</w:t>
      </w:r>
    </w:p>
    <w:p w14:paraId="177367E5" w14:textId="5727B802" w:rsidR="00537458" w:rsidRPr="004D0DC2" w:rsidRDefault="00537458" w:rsidP="00537458">
      <w:pPr>
        <w:pStyle w:val="Heading4"/>
      </w:pPr>
      <w:r w:rsidRPr="004D0DC2">
        <w:lastRenderedPageBreak/>
        <w:t>2.4.2 Time Period</w:t>
      </w:r>
    </w:p>
    <w:p w14:paraId="416574D6" w14:textId="2E4DCE27" w:rsidR="00537458" w:rsidRPr="004D0DC2" w:rsidRDefault="00537458" w:rsidP="54EA1D9A">
      <w:pPr>
        <w:widowControl w:val="0"/>
        <w:tabs>
          <w:tab w:val="left" w:pos="1170"/>
        </w:tabs>
        <w:spacing w:before="240" w:after="240"/>
        <w:rPr>
          <w:rFonts w:cs="Arial"/>
        </w:rPr>
      </w:pPr>
      <w:r w:rsidRPr="54EA1D9A">
        <w:rPr>
          <w:rFonts w:cs="Arial"/>
        </w:rPr>
        <w:t xml:space="preserve">It is anticipated that the contract start date will begin approximately on </w:t>
      </w:r>
      <w:r w:rsidR="005F64AC" w:rsidRPr="54EA1D9A">
        <w:rPr>
          <w:rFonts w:cs="Arial"/>
        </w:rPr>
        <w:t>July</w:t>
      </w:r>
      <w:r w:rsidRPr="54EA1D9A">
        <w:rPr>
          <w:rFonts w:cs="Arial"/>
        </w:rPr>
        <w:t xml:space="preserve"> 1, 202</w:t>
      </w:r>
      <w:r w:rsidR="00E653B9" w:rsidRPr="54EA1D9A">
        <w:rPr>
          <w:rFonts w:cs="Arial"/>
        </w:rPr>
        <w:t>6</w:t>
      </w:r>
      <w:r w:rsidR="11A1A4E5" w:rsidRPr="54EA1D9A">
        <w:rPr>
          <w:rFonts w:cs="Arial"/>
        </w:rPr>
        <w:t>,</w:t>
      </w:r>
      <w:r w:rsidR="00E653B9" w:rsidRPr="54EA1D9A">
        <w:rPr>
          <w:rFonts w:cs="Arial"/>
        </w:rPr>
        <w:t xml:space="preserve"> </w:t>
      </w:r>
      <w:r w:rsidRPr="54EA1D9A">
        <w:rPr>
          <w:rFonts w:cs="Arial"/>
        </w:rPr>
        <w:t xml:space="preserve">or upon DGS approval (whichever is later) and </w:t>
      </w:r>
      <w:r w:rsidR="005F64AC" w:rsidRPr="54EA1D9A">
        <w:rPr>
          <w:rFonts w:cs="Arial"/>
        </w:rPr>
        <w:t>contract end date will be</w:t>
      </w:r>
      <w:r w:rsidRPr="54EA1D9A">
        <w:rPr>
          <w:rFonts w:cs="Arial"/>
        </w:rPr>
        <w:t xml:space="preserve"> on August 31, </w:t>
      </w:r>
      <w:r w:rsidR="00E653B9" w:rsidRPr="54EA1D9A">
        <w:rPr>
          <w:rFonts w:cs="Arial"/>
        </w:rPr>
        <w:t>2028</w:t>
      </w:r>
      <w:r w:rsidR="00996AC1" w:rsidRPr="54EA1D9A">
        <w:rPr>
          <w:rFonts w:cs="Arial"/>
        </w:rPr>
        <w:t>. The</w:t>
      </w:r>
      <w:r w:rsidRPr="54EA1D9A">
        <w:rPr>
          <w:rFonts w:cs="Arial"/>
        </w:rPr>
        <w:t xml:space="preserve"> actual start date of the contract is contingent upon approval of the agreement by the DGS.</w:t>
      </w:r>
    </w:p>
    <w:p w14:paraId="6C401BDE" w14:textId="2CF3BA27" w:rsidR="00537458" w:rsidRPr="004D0DC2" w:rsidRDefault="00537458" w:rsidP="00537458">
      <w:pPr>
        <w:widowControl w:val="0"/>
        <w:tabs>
          <w:tab w:val="left" w:pos="-1440"/>
          <w:tab w:val="left" w:pos="1170"/>
        </w:tabs>
        <w:spacing w:before="240" w:after="240"/>
        <w:rPr>
          <w:rFonts w:cs="Arial"/>
          <w:szCs w:val="24"/>
        </w:rPr>
      </w:pPr>
      <w:r w:rsidRPr="004D0DC2">
        <w:rPr>
          <w:rFonts w:cs="Arial"/>
          <w:szCs w:val="24"/>
        </w:rPr>
        <w:t xml:space="preserve">The contract period covers </w:t>
      </w:r>
      <w:r w:rsidR="005F64AC" w:rsidRPr="004D0DC2">
        <w:rPr>
          <w:rFonts w:cs="Arial"/>
          <w:szCs w:val="24"/>
        </w:rPr>
        <w:t>three</w:t>
      </w:r>
      <w:r w:rsidRPr="004D0DC2">
        <w:rPr>
          <w:rFonts w:cs="Arial"/>
          <w:szCs w:val="24"/>
        </w:rPr>
        <w:t xml:space="preserve"> fiscal years, for a total of 2</w:t>
      </w:r>
      <w:r w:rsidR="005F64AC" w:rsidRPr="004D0DC2">
        <w:rPr>
          <w:rFonts w:cs="Arial"/>
          <w:szCs w:val="24"/>
        </w:rPr>
        <w:t>6</w:t>
      </w:r>
      <w:r w:rsidRPr="004D0DC2">
        <w:rPr>
          <w:rFonts w:cs="Arial"/>
          <w:szCs w:val="24"/>
        </w:rPr>
        <w:t xml:space="preserve"> months (Refer to RFP, Section </w:t>
      </w:r>
      <w:r w:rsidR="00982288" w:rsidRPr="004D0DC2">
        <w:rPr>
          <w:rFonts w:cs="Arial"/>
          <w:szCs w:val="24"/>
        </w:rPr>
        <w:t>2</w:t>
      </w:r>
      <w:r w:rsidRPr="004D0DC2">
        <w:rPr>
          <w:rFonts w:cs="Arial"/>
          <w:szCs w:val="24"/>
        </w:rPr>
        <w:t>.8 for the definition of “fiscal year”):</w:t>
      </w:r>
    </w:p>
    <w:p w14:paraId="4DE8A015" w14:textId="008C9DD9" w:rsidR="00537458" w:rsidRPr="004D0DC2" w:rsidRDefault="006F3E2D" w:rsidP="54EA1D9A">
      <w:pPr>
        <w:pStyle w:val="ListParagraph"/>
        <w:numPr>
          <w:ilvl w:val="0"/>
          <w:numId w:val="36"/>
        </w:numPr>
        <w:spacing w:after="240"/>
        <w:ind w:left="360" w:hanging="360"/>
        <w:rPr>
          <w:rFonts w:eastAsia="Times New Roman" w:cs="Arial"/>
          <w:snapToGrid w:val="0"/>
        </w:rPr>
      </w:pPr>
      <w:r w:rsidRPr="54EA1D9A">
        <w:rPr>
          <w:rFonts w:eastAsia="Times New Roman" w:cs="Arial"/>
          <w:snapToGrid w:val="0"/>
        </w:rPr>
        <w:t>2026</w:t>
      </w:r>
      <w:r w:rsidR="075E6065" w:rsidRPr="54EA1D9A">
        <w:rPr>
          <w:rFonts w:eastAsia="Times New Roman" w:cs="Arial"/>
          <w:snapToGrid w:val="0"/>
        </w:rPr>
        <w:t>–</w:t>
      </w:r>
      <w:r w:rsidRPr="54EA1D9A">
        <w:rPr>
          <w:rFonts w:eastAsia="Times New Roman" w:cs="Arial"/>
          <w:snapToGrid w:val="0"/>
        </w:rPr>
        <w:t>2027</w:t>
      </w:r>
      <w:r w:rsidR="00537458" w:rsidRPr="54EA1D9A">
        <w:rPr>
          <w:rFonts w:eastAsia="Times New Roman" w:cs="Arial"/>
          <w:snapToGrid w:val="0"/>
        </w:rPr>
        <w:t>: July 1, 202</w:t>
      </w:r>
      <w:r w:rsidR="00E653B9" w:rsidRPr="54EA1D9A">
        <w:rPr>
          <w:rFonts w:eastAsia="Times New Roman" w:cs="Arial"/>
          <w:snapToGrid w:val="0"/>
        </w:rPr>
        <w:t>6</w:t>
      </w:r>
      <w:r w:rsidR="00537458" w:rsidRPr="54EA1D9A">
        <w:rPr>
          <w:rFonts w:eastAsia="Times New Roman" w:cs="Arial"/>
          <w:snapToGrid w:val="0"/>
        </w:rPr>
        <w:t xml:space="preserve"> – June 30, 202</w:t>
      </w:r>
      <w:r w:rsidR="00E653B9" w:rsidRPr="54EA1D9A">
        <w:rPr>
          <w:rFonts w:eastAsia="Times New Roman" w:cs="Arial"/>
          <w:snapToGrid w:val="0"/>
        </w:rPr>
        <w:t>7</w:t>
      </w:r>
      <w:r w:rsidR="005F64AC" w:rsidRPr="54EA1D9A">
        <w:rPr>
          <w:rFonts w:eastAsia="Times New Roman" w:cs="Arial"/>
          <w:snapToGrid w:val="0"/>
        </w:rPr>
        <w:t xml:space="preserve"> (12 months)</w:t>
      </w:r>
    </w:p>
    <w:p w14:paraId="70521294" w14:textId="46E75217" w:rsidR="00537458" w:rsidRPr="004D0DC2" w:rsidRDefault="00537458" w:rsidP="005F64AC">
      <w:pPr>
        <w:pStyle w:val="ListParagraph"/>
        <w:numPr>
          <w:ilvl w:val="0"/>
          <w:numId w:val="36"/>
        </w:numPr>
        <w:spacing w:after="240"/>
        <w:ind w:left="360" w:hanging="360"/>
        <w:rPr>
          <w:rFonts w:eastAsia="Times New Roman" w:cs="Arial"/>
          <w:bCs/>
          <w:snapToGrid w:val="0"/>
          <w:szCs w:val="20"/>
        </w:rPr>
      </w:pPr>
      <w:r w:rsidRPr="004D0DC2">
        <w:rPr>
          <w:rFonts w:eastAsia="Times New Roman" w:cs="Arial"/>
          <w:bCs/>
          <w:snapToGrid w:val="0"/>
          <w:szCs w:val="20"/>
        </w:rPr>
        <w:t>202</w:t>
      </w:r>
      <w:r w:rsidR="006F3E2D" w:rsidRPr="004D0DC2">
        <w:rPr>
          <w:rFonts w:eastAsia="Times New Roman" w:cs="Arial"/>
          <w:bCs/>
          <w:snapToGrid w:val="0"/>
          <w:szCs w:val="20"/>
        </w:rPr>
        <w:t>7</w:t>
      </w:r>
      <w:r w:rsidRPr="004D0DC2">
        <w:rPr>
          <w:rFonts w:eastAsia="Times New Roman" w:cs="Arial"/>
          <w:bCs/>
          <w:snapToGrid w:val="0"/>
          <w:szCs w:val="20"/>
        </w:rPr>
        <w:t>–202</w:t>
      </w:r>
      <w:r w:rsidR="006F3E2D" w:rsidRPr="004D0DC2">
        <w:rPr>
          <w:rFonts w:eastAsia="Times New Roman" w:cs="Arial"/>
          <w:bCs/>
          <w:snapToGrid w:val="0"/>
          <w:szCs w:val="20"/>
        </w:rPr>
        <w:t>8</w:t>
      </w:r>
      <w:r w:rsidRPr="004D0DC2">
        <w:rPr>
          <w:rFonts w:eastAsia="Times New Roman" w:cs="Arial"/>
          <w:bCs/>
          <w:snapToGrid w:val="0"/>
          <w:szCs w:val="20"/>
        </w:rPr>
        <w:t>: July 1, 202</w:t>
      </w:r>
      <w:r w:rsidR="00E653B9" w:rsidRPr="004D0DC2">
        <w:rPr>
          <w:rFonts w:eastAsia="Times New Roman" w:cs="Arial"/>
          <w:bCs/>
          <w:snapToGrid w:val="0"/>
          <w:szCs w:val="20"/>
        </w:rPr>
        <w:t>7</w:t>
      </w:r>
      <w:r w:rsidRPr="004D0DC2">
        <w:rPr>
          <w:rFonts w:eastAsia="Times New Roman" w:cs="Arial"/>
          <w:bCs/>
          <w:snapToGrid w:val="0"/>
          <w:szCs w:val="20"/>
        </w:rPr>
        <w:t xml:space="preserve"> – June 30, 202</w:t>
      </w:r>
      <w:r w:rsidR="00E653B9" w:rsidRPr="004D0DC2">
        <w:rPr>
          <w:rFonts w:eastAsia="Times New Roman" w:cs="Arial"/>
          <w:bCs/>
          <w:snapToGrid w:val="0"/>
          <w:szCs w:val="20"/>
        </w:rPr>
        <w:t>8</w:t>
      </w:r>
      <w:r w:rsidR="005F64AC" w:rsidRPr="004D0DC2">
        <w:rPr>
          <w:rFonts w:eastAsia="Times New Roman" w:cs="Arial"/>
          <w:bCs/>
          <w:snapToGrid w:val="0"/>
          <w:szCs w:val="20"/>
        </w:rPr>
        <w:t xml:space="preserve"> (12 months)</w:t>
      </w:r>
    </w:p>
    <w:p w14:paraId="179FA683" w14:textId="2FC29905" w:rsidR="00537458" w:rsidRPr="004D0DC2" w:rsidRDefault="00537458" w:rsidP="54EA1D9A">
      <w:pPr>
        <w:pStyle w:val="ListParagraph"/>
        <w:numPr>
          <w:ilvl w:val="0"/>
          <w:numId w:val="36"/>
        </w:numPr>
        <w:spacing w:after="240"/>
        <w:ind w:left="360" w:hanging="360"/>
        <w:rPr>
          <w:rFonts w:eastAsia="Times New Roman" w:cs="Arial"/>
          <w:snapToGrid w:val="0"/>
        </w:rPr>
      </w:pPr>
      <w:r w:rsidRPr="54EA1D9A">
        <w:rPr>
          <w:rFonts w:eastAsia="Times New Roman" w:cs="Arial"/>
          <w:snapToGrid w:val="0"/>
        </w:rPr>
        <w:t>202</w:t>
      </w:r>
      <w:r w:rsidR="006F3E2D" w:rsidRPr="54EA1D9A">
        <w:rPr>
          <w:rFonts w:eastAsia="Times New Roman" w:cs="Arial"/>
          <w:snapToGrid w:val="0"/>
        </w:rPr>
        <w:t>8</w:t>
      </w:r>
      <w:r w:rsidR="78C12121" w:rsidRPr="54EA1D9A">
        <w:rPr>
          <w:rFonts w:eastAsia="Times New Roman" w:cs="Arial"/>
          <w:snapToGrid w:val="0"/>
        </w:rPr>
        <w:t>–</w:t>
      </w:r>
      <w:r w:rsidR="006F3E2D" w:rsidRPr="54EA1D9A">
        <w:rPr>
          <w:rFonts w:eastAsia="Times New Roman" w:cs="Arial"/>
          <w:snapToGrid w:val="0"/>
        </w:rPr>
        <w:t>2028</w:t>
      </w:r>
      <w:r w:rsidRPr="54EA1D9A">
        <w:rPr>
          <w:rFonts w:eastAsia="Times New Roman" w:cs="Arial"/>
          <w:snapToGrid w:val="0"/>
        </w:rPr>
        <w:t>: July 1, 202</w:t>
      </w:r>
      <w:r w:rsidR="006F3E2D" w:rsidRPr="54EA1D9A">
        <w:rPr>
          <w:rFonts w:eastAsia="Times New Roman" w:cs="Arial"/>
          <w:snapToGrid w:val="0"/>
        </w:rPr>
        <w:t>8</w:t>
      </w:r>
      <w:r w:rsidRPr="54EA1D9A">
        <w:rPr>
          <w:rFonts w:eastAsia="Times New Roman" w:cs="Arial"/>
          <w:snapToGrid w:val="0"/>
        </w:rPr>
        <w:t xml:space="preserve"> – August 31, 202</w:t>
      </w:r>
      <w:r w:rsidR="00E653B9" w:rsidRPr="54EA1D9A">
        <w:rPr>
          <w:rFonts w:eastAsia="Times New Roman" w:cs="Arial"/>
          <w:snapToGrid w:val="0"/>
        </w:rPr>
        <w:t>8</w:t>
      </w:r>
      <w:r w:rsidR="005F64AC" w:rsidRPr="54EA1D9A">
        <w:rPr>
          <w:rFonts w:eastAsia="Times New Roman" w:cs="Arial"/>
          <w:snapToGrid w:val="0"/>
        </w:rPr>
        <w:t xml:space="preserve"> (2 months)</w:t>
      </w:r>
    </w:p>
    <w:p w14:paraId="62C3B50C" w14:textId="6C2A4B9F" w:rsidR="00537458" w:rsidRPr="004D0DC2" w:rsidRDefault="00537458" w:rsidP="00537458">
      <w:pPr>
        <w:pStyle w:val="Heading4"/>
        <w:rPr>
          <w:rFonts w:eastAsia="Times New Roman"/>
          <w:snapToGrid w:val="0"/>
        </w:rPr>
      </w:pPr>
      <w:r w:rsidRPr="004D0DC2">
        <w:rPr>
          <w:rFonts w:eastAsia="Times New Roman"/>
          <w:snapToGrid w:val="0"/>
        </w:rPr>
        <w:t>2.4.3 Option to Renew</w:t>
      </w:r>
    </w:p>
    <w:p w14:paraId="090575D0" w14:textId="3688D78F" w:rsidR="00537458" w:rsidRPr="004D0DC2" w:rsidRDefault="00537458" w:rsidP="00537458">
      <w:pPr>
        <w:spacing w:after="240"/>
      </w:pPr>
      <w:r>
        <w:t>At the sole discretion of the CDE, the contract may be extended by written agreement and formal amendment between the parties, for an additional year beginning September 1, 202</w:t>
      </w:r>
      <w:r w:rsidR="00E653B9">
        <w:t>8</w:t>
      </w:r>
      <w:r w:rsidR="065855E6">
        <w:t>,</w:t>
      </w:r>
      <w:r w:rsidR="00D86B89">
        <w:t xml:space="preserve"> </w:t>
      </w:r>
      <w:r>
        <w:t>through August 31, 202</w:t>
      </w:r>
      <w:r w:rsidR="00E653B9">
        <w:t>9</w:t>
      </w:r>
      <w:r>
        <w:t xml:space="preserve">, covering portions of </w:t>
      </w:r>
      <w:r w:rsidR="00E653B9">
        <w:t>2028</w:t>
      </w:r>
      <w:r w:rsidR="5C24092D">
        <w:t>–</w:t>
      </w:r>
      <w:r w:rsidR="00D86B89">
        <w:t xml:space="preserve">2029 </w:t>
      </w:r>
      <w:r>
        <w:t>and 202</w:t>
      </w:r>
      <w:r w:rsidR="00E653B9">
        <w:t>9</w:t>
      </w:r>
      <w:r w:rsidR="160086F5">
        <w:t>–</w:t>
      </w:r>
      <w:r w:rsidR="004D0DC2">
        <w:t>2030 fiscal</w:t>
      </w:r>
      <w:r>
        <w:t xml:space="preserve"> years, at the same or lower rates, under the same terms.</w:t>
      </w:r>
    </w:p>
    <w:p w14:paraId="318567FB" w14:textId="0708C70E" w:rsidR="00537458" w:rsidRPr="004D0DC2" w:rsidRDefault="00537458" w:rsidP="00F67ED5">
      <w:pPr>
        <w:pStyle w:val="Heading3"/>
        <w:rPr>
          <w:sz w:val="24"/>
        </w:rPr>
      </w:pPr>
      <w:r w:rsidRPr="004D0DC2">
        <w:t>2.5 Intent to Submit a Proposal</w:t>
      </w:r>
    </w:p>
    <w:p w14:paraId="65F2E398" w14:textId="06A0A4CB" w:rsidR="00537458" w:rsidRPr="004D0DC2" w:rsidRDefault="00537458" w:rsidP="00537458">
      <w:pPr>
        <w:spacing w:before="240" w:after="240"/>
      </w:pPr>
      <w:r w:rsidRPr="004D0DC2">
        <w:t>Bidders are required to submit an Intent to Submit a Proposal (Attachment 1), mailed</w:t>
      </w:r>
      <w:r w:rsidR="004D0DC2">
        <w:t xml:space="preserve"> or </w:t>
      </w:r>
      <w:r w:rsidRPr="004D0DC2">
        <w:t xml:space="preserve">emailed that must be received by the time, day, and date specified in RFP Section </w:t>
      </w:r>
      <w:r w:rsidR="00A40EF1" w:rsidRPr="004D0DC2">
        <w:t>2</w:t>
      </w:r>
      <w:r w:rsidRPr="004D0DC2">
        <w:t xml:space="preserve">.3 (RFP Schedule of Events). The Intent to Submit a Proposal does not require an organization to submit a proposal </w:t>
      </w:r>
      <w:r w:rsidR="004D0DC2" w:rsidRPr="004D0DC2">
        <w:t>however;</w:t>
      </w:r>
      <w:r w:rsidRPr="004D0DC2">
        <w:t xml:space="preserve"> a proposal will not be accepted unless an Intent to Submit a Proposal (Attachment 1) is submitted on time.</w:t>
      </w:r>
    </w:p>
    <w:p w14:paraId="32122F23" w14:textId="53D9DDBD" w:rsidR="00537458" w:rsidRPr="004D0DC2" w:rsidRDefault="00537458" w:rsidP="00537458">
      <w:pPr>
        <w:spacing w:before="240" w:after="240"/>
      </w:pPr>
      <w:r>
        <w:t>The Intent to Submit a Proposal must be signed by the bidder or the bidder’s representative and include the title of the person signing the Intent to Submit a Proposal and show the date of submission. In the case of emailing</w:t>
      </w:r>
      <w:r w:rsidR="1C9C7530">
        <w:t>,</w:t>
      </w:r>
      <w:r>
        <w:t xml:space="preserve"> an electronic signature must be affixed. Questions regarding this RFP may be included with the Intent to Submit a Proposal and must be mailed, emailed, by the time, day, and date specified in RFP Section </w:t>
      </w:r>
      <w:r w:rsidR="00A40EF1">
        <w:t>2</w:t>
      </w:r>
      <w:r>
        <w:t>.3 (RFP Schedule of Events).</w:t>
      </w:r>
    </w:p>
    <w:p w14:paraId="7EA72149" w14:textId="317D0B05" w:rsidR="00537458" w:rsidRPr="004D0DC2" w:rsidRDefault="00537458" w:rsidP="00537458">
      <w:pPr>
        <w:spacing w:before="240" w:after="240"/>
      </w:pPr>
      <w:r w:rsidRPr="004D0DC2">
        <w:t>The Intent to Submit a Proposal and questions regarding the RFP must be mailed, emailed to:</w:t>
      </w:r>
    </w:p>
    <w:p w14:paraId="6CB4E9F9" w14:textId="1265D9A4" w:rsidR="00537458" w:rsidRDefault="00E653B9" w:rsidP="00A406D0">
      <w:pPr>
        <w:spacing w:before="240"/>
      </w:pPr>
      <w:r w:rsidRPr="002171EE">
        <w:t>Attention: Jennifer Boone</w:t>
      </w:r>
      <w:r w:rsidR="00A406D0">
        <w:br/>
      </w:r>
      <w:r w:rsidR="00537458" w:rsidRPr="002171EE">
        <w:t>California Department of Education</w:t>
      </w:r>
      <w:r w:rsidR="00537458" w:rsidRPr="002171EE">
        <w:br/>
      </w:r>
      <w:r w:rsidRPr="002171EE">
        <w:t>Career and College Transition Division</w:t>
      </w:r>
      <w:r w:rsidR="00A406D0">
        <w:t xml:space="preserve"> (CCTD)</w:t>
      </w:r>
      <w:r w:rsidR="00A40EF1" w:rsidRPr="002171EE">
        <w:br/>
      </w:r>
      <w:r w:rsidR="00537458" w:rsidRPr="002171EE">
        <w:t xml:space="preserve">1430 N Street, Suite </w:t>
      </w:r>
      <w:r w:rsidR="00A40EF1" w:rsidRPr="002171EE">
        <w:t>#</w:t>
      </w:r>
      <w:r w:rsidR="00603DD4" w:rsidRPr="002171EE">
        <w:t>4202</w:t>
      </w:r>
      <w:r w:rsidR="00537458" w:rsidRPr="002171EE">
        <w:br/>
        <w:t>Sacramento, CA 95814-5901</w:t>
      </w:r>
      <w:r w:rsidR="00537458" w:rsidRPr="002171EE">
        <w:br/>
        <w:t>Email</w:t>
      </w:r>
      <w:r w:rsidR="00A40EF1" w:rsidRPr="002171EE">
        <w:t xml:space="preserve">: </w:t>
      </w:r>
      <w:hyperlink r:id="rId9" w:history="1">
        <w:r w:rsidR="006E6F31" w:rsidRPr="004B0858">
          <w:rPr>
            <w:rStyle w:val="Hyperlink"/>
          </w:rPr>
          <w:t>JBoone@cde.ca.gov</w:t>
        </w:r>
      </w:hyperlink>
    </w:p>
    <w:p w14:paraId="7380EA6B" w14:textId="5B7EDAD6" w:rsidR="00537458" w:rsidRPr="002171EE" w:rsidRDefault="00537458" w:rsidP="00537458">
      <w:pPr>
        <w:spacing w:before="240" w:after="240"/>
      </w:pPr>
      <w:r w:rsidRPr="002171EE">
        <w:t xml:space="preserve">It is the bidders’ responsibility to ensure that the Intent to Submit a Proposal reaches </w:t>
      </w:r>
      <w:r w:rsidR="00996AC1" w:rsidRPr="002171EE">
        <w:t>the CCTD</w:t>
      </w:r>
      <w:r w:rsidRPr="002171EE">
        <w:t xml:space="preserve"> no later than the time, day, and date specified in RFP Section </w:t>
      </w:r>
      <w:r w:rsidR="00A40EF1" w:rsidRPr="002171EE">
        <w:t>2</w:t>
      </w:r>
      <w:r w:rsidRPr="002171EE">
        <w:t>.3 (RFP Schedule of Events). Proposals for which the Intent to Submit a Proposal (Attachment 1) has not been received by the date and time specified shall not be accepted.</w:t>
      </w:r>
    </w:p>
    <w:p w14:paraId="33ADF98B" w14:textId="1BD61E45" w:rsidR="00537458" w:rsidRPr="004D0DC2" w:rsidRDefault="00537458" w:rsidP="00F67ED5">
      <w:pPr>
        <w:pStyle w:val="Heading3"/>
        <w:rPr>
          <w:sz w:val="24"/>
        </w:rPr>
      </w:pPr>
      <w:r w:rsidRPr="004D0DC2">
        <w:t>2.6 Questions and Clarifications</w:t>
      </w:r>
    </w:p>
    <w:p w14:paraId="344B07EA" w14:textId="161FAD8D" w:rsidR="00537458" w:rsidRPr="004D0DC2" w:rsidRDefault="00537458" w:rsidP="00537458">
      <w:pPr>
        <w:spacing w:before="240" w:after="240"/>
      </w:pPr>
      <w:r>
        <w:lastRenderedPageBreak/>
        <w:t xml:space="preserve">Bidders may submit questions, requests for clarification, concerns, and/or comments (hereinafter referred to collectively as “questions”) regarding this RFP. All questions must be submitted in writing and may be submitted with the Intent to Submit a Proposal (Refer to Section </w:t>
      </w:r>
      <w:r w:rsidR="00A40EF1">
        <w:t>2</w:t>
      </w:r>
      <w:r>
        <w:t xml:space="preserve">.5). The bidder must include its name, email address, and telephone number with its submission of questions. The bidder should specify the relevant section, task/subtask, and page number of the RFP for each question submitted. Questions must be received by the time, day, and date specified in RFP Section </w:t>
      </w:r>
      <w:r w:rsidR="00A40EF1">
        <w:t>2</w:t>
      </w:r>
      <w:r>
        <w:t xml:space="preserve">.3 (RFP Schedule of Events). </w:t>
      </w:r>
      <w:r w:rsidR="006C6950">
        <w:t xml:space="preserve">The </w:t>
      </w:r>
      <w:r>
        <w:t xml:space="preserve">CDE will make every effort to email its responses to the questions to all who submitted an Intent to Submit a Proposal by the time, day, and date specified in RFP Section </w:t>
      </w:r>
      <w:r w:rsidR="00A40EF1">
        <w:t>2</w:t>
      </w:r>
      <w:r>
        <w:t xml:space="preserve">.3 (RFP Schedule of Events). At its discretion, the CDE may respond to questions that are submitted late or not in proper form. The CDE reserves the right to rephrase or not answer any </w:t>
      </w:r>
      <w:r w:rsidR="209FC078">
        <w:t>questions</w:t>
      </w:r>
      <w:r>
        <w:t xml:space="preserve"> submitted.</w:t>
      </w:r>
    </w:p>
    <w:p w14:paraId="3D7B5B3F" w14:textId="1C650E32" w:rsidR="00537458" w:rsidRPr="004D0DC2" w:rsidRDefault="00537458" w:rsidP="00537458">
      <w:pPr>
        <w:spacing w:before="240" w:after="240"/>
      </w:pPr>
      <w:r w:rsidRPr="004D0DC2">
        <w:t xml:space="preserve">Written questions regarding the RFP will be included in the response to questions posted on the CDE </w:t>
      </w:r>
      <w:r w:rsidR="0018588B" w:rsidRPr="004D0DC2">
        <w:t>w</w:t>
      </w:r>
      <w:r w:rsidRPr="004D0DC2">
        <w:t xml:space="preserve">ebsite which will occur on the time, day, and date specified in RFP Section </w:t>
      </w:r>
      <w:r w:rsidR="00A40EF1" w:rsidRPr="004D0DC2">
        <w:t>2</w:t>
      </w:r>
      <w:r w:rsidRPr="004D0DC2">
        <w:t>.3 (RFP Schedule of Events).</w:t>
      </w:r>
    </w:p>
    <w:p w14:paraId="4068656A" w14:textId="030840B6" w:rsidR="00537458" w:rsidRPr="004D0DC2" w:rsidRDefault="00537458" w:rsidP="00537458">
      <w:pPr>
        <w:spacing w:before="240" w:after="240"/>
      </w:pPr>
      <w:r w:rsidRPr="004D0DC2">
        <w:t>All questions must be submitted either by emai</w:t>
      </w:r>
      <w:r w:rsidR="00996AC1">
        <w:t>l or</w:t>
      </w:r>
      <w:r w:rsidRPr="004D0DC2">
        <w:t xml:space="preserve"> mail (express or standard). Address emails to the contact person identified in Section </w:t>
      </w:r>
      <w:r w:rsidR="00A40EF1" w:rsidRPr="004D0DC2">
        <w:t>2</w:t>
      </w:r>
      <w:r w:rsidRPr="004D0DC2">
        <w:t>.5 of this RFP.</w:t>
      </w:r>
    </w:p>
    <w:p w14:paraId="00077212" w14:textId="27FD51C3" w:rsidR="00537458" w:rsidRPr="004D0DC2" w:rsidRDefault="00537458" w:rsidP="00F67ED5">
      <w:pPr>
        <w:pStyle w:val="Heading3"/>
        <w:rPr>
          <w:sz w:val="24"/>
        </w:rPr>
      </w:pPr>
      <w:r w:rsidRPr="004D0DC2">
        <w:t>2.7 Cost of Preparing a Proposal</w:t>
      </w:r>
    </w:p>
    <w:p w14:paraId="38AFD8DB" w14:textId="77777777" w:rsidR="00537458" w:rsidRPr="004D0DC2" w:rsidRDefault="00537458" w:rsidP="00537458">
      <w:pPr>
        <w:spacing w:before="240" w:after="240"/>
      </w:pPr>
      <w:r w:rsidRPr="004D0DC2">
        <w:t>The costs of preparing and delivering the proposal are the sole responsibility of the bidder. The State of California will not provide reimbursement for any costs incurred or related to the bidder’s involvement or participation in the RFP process.</w:t>
      </w:r>
    </w:p>
    <w:p w14:paraId="4D1F2BDE" w14:textId="0D691A74" w:rsidR="00537458" w:rsidRPr="004D0DC2" w:rsidRDefault="00537458" w:rsidP="00F67ED5">
      <w:pPr>
        <w:pStyle w:val="Heading3"/>
        <w:rPr>
          <w:sz w:val="24"/>
        </w:rPr>
      </w:pPr>
      <w:r w:rsidRPr="004D0DC2">
        <w:t>2.8 Definitions</w:t>
      </w:r>
    </w:p>
    <w:p w14:paraId="3FE2B0C0" w14:textId="77777777" w:rsidR="00537458" w:rsidRPr="004D0DC2" w:rsidRDefault="00537458" w:rsidP="0073322E">
      <w:pPr>
        <w:pStyle w:val="ListParagraph"/>
        <w:widowControl w:val="0"/>
        <w:numPr>
          <w:ilvl w:val="0"/>
          <w:numId w:val="20"/>
        </w:numPr>
        <w:spacing w:before="240" w:after="240"/>
        <w:ind w:left="720"/>
        <w:contextualSpacing w:val="0"/>
        <w:jc w:val="both"/>
      </w:pPr>
      <w:r w:rsidRPr="004D0DC2">
        <w:t xml:space="preserve">“Assessment” shall mean any systematic method of obtaining information from tests and other sources, used to draw inferences about characteristics of people, objects, or programs, as defined in </w:t>
      </w:r>
      <w:r w:rsidRPr="004D0DC2">
        <w:rPr>
          <w:i/>
        </w:rPr>
        <w:t>Standards for Educational and Psychological Testing</w:t>
      </w:r>
      <w:r w:rsidRPr="004D0DC2">
        <w:t xml:space="preserve"> (2014).</w:t>
      </w:r>
    </w:p>
    <w:p w14:paraId="76A38C10" w14:textId="77777777" w:rsidR="00537458" w:rsidRPr="004D0DC2" w:rsidRDefault="00537458" w:rsidP="0073322E">
      <w:pPr>
        <w:pStyle w:val="ListParagraph"/>
        <w:numPr>
          <w:ilvl w:val="0"/>
          <w:numId w:val="20"/>
        </w:numPr>
        <w:spacing w:before="240" w:after="240"/>
        <w:ind w:left="720"/>
        <w:contextualSpacing w:val="0"/>
      </w:pPr>
      <w:r w:rsidRPr="004D0DC2">
        <w:t>“Bidder” shall mean each and every business entity, sole proprietorship, partnership, public or private corporation, agency, organization, or association that submits a proposal in response to the RFP.</w:t>
      </w:r>
    </w:p>
    <w:p w14:paraId="7B414B9A" w14:textId="77777777" w:rsidR="00537458" w:rsidRPr="004D0DC2" w:rsidRDefault="00537458" w:rsidP="0073322E">
      <w:pPr>
        <w:pStyle w:val="ListParagraph"/>
        <w:numPr>
          <w:ilvl w:val="0"/>
          <w:numId w:val="20"/>
        </w:numPr>
        <w:spacing w:before="240" w:after="240"/>
        <w:ind w:left="720"/>
        <w:contextualSpacing w:val="0"/>
      </w:pPr>
      <w:r w:rsidRPr="004D0DC2">
        <w:t>“CDE Business Hours” shall be from 8:00am to 5:00pm PST/PDT.</w:t>
      </w:r>
    </w:p>
    <w:p w14:paraId="12FE54A6" w14:textId="2C2FEE24" w:rsidR="00537458" w:rsidRPr="004D0DC2" w:rsidRDefault="00537458" w:rsidP="0073322E">
      <w:pPr>
        <w:numPr>
          <w:ilvl w:val="0"/>
          <w:numId w:val="20"/>
        </w:numPr>
        <w:spacing w:after="240"/>
        <w:ind w:left="720"/>
        <w:rPr>
          <w:rFonts w:cs="Arial"/>
          <w:color w:val="000000"/>
        </w:rPr>
      </w:pPr>
      <w:r w:rsidRPr="004D0DC2">
        <w:rPr>
          <w:rFonts w:cs="Arial"/>
        </w:rPr>
        <w:t xml:space="preserve">“Contract” shall mean the requirements set forth in this RFP and the technical and cost proposals submitted by the bidder and approved by the </w:t>
      </w:r>
      <w:r w:rsidR="0028389D" w:rsidRPr="004D0DC2">
        <w:rPr>
          <w:rFonts w:cs="Arial"/>
        </w:rPr>
        <w:t>DGS</w:t>
      </w:r>
      <w:r w:rsidRPr="004D0DC2">
        <w:rPr>
          <w:rFonts w:cs="Arial"/>
        </w:rPr>
        <w:t>.</w:t>
      </w:r>
    </w:p>
    <w:p w14:paraId="420227F7" w14:textId="77777777" w:rsidR="00537458" w:rsidRPr="004D0DC2" w:rsidRDefault="00537458" w:rsidP="0073322E">
      <w:pPr>
        <w:pStyle w:val="ListParagraph"/>
        <w:numPr>
          <w:ilvl w:val="0"/>
          <w:numId w:val="20"/>
        </w:numPr>
        <w:spacing w:before="240" w:after="240"/>
        <w:ind w:left="720"/>
        <w:contextualSpacing w:val="0"/>
      </w:pPr>
      <w:r w:rsidRPr="004D0DC2">
        <w:t>“Contractor” shall mean the successful bidder selected by the CDE as the business entity to administer its proposal and subsequent contract to support the accomplishment of any tasks described in this RFP.</w:t>
      </w:r>
    </w:p>
    <w:p w14:paraId="67C40964" w14:textId="77777777" w:rsidR="00537458" w:rsidRPr="004D0DC2" w:rsidRDefault="00537458" w:rsidP="0073322E">
      <w:pPr>
        <w:pStyle w:val="ListParagraph"/>
        <w:numPr>
          <w:ilvl w:val="0"/>
          <w:numId w:val="20"/>
        </w:numPr>
        <w:spacing w:before="240" w:after="240"/>
        <w:ind w:left="720"/>
        <w:contextualSpacing w:val="0"/>
      </w:pPr>
      <w:r w:rsidRPr="004D0DC2">
        <w:t>“Cost reimbursement contract” provides for payment of allowable incurred costs related to services performed, to the extent prescribed in the contract. These contracts establish an estimate of total cost for the purpose of obligating funds and establishing a ceiling that the successful bidder may not exceed for each line item.</w:t>
      </w:r>
    </w:p>
    <w:p w14:paraId="1430C2DA" w14:textId="38E8EC93" w:rsidR="0073322E" w:rsidRPr="004D0DC2" w:rsidRDefault="0073322E" w:rsidP="0073322E">
      <w:pPr>
        <w:pStyle w:val="ListParagraph"/>
        <w:numPr>
          <w:ilvl w:val="0"/>
          <w:numId w:val="20"/>
        </w:numPr>
        <w:spacing w:before="240" w:after="240"/>
        <w:ind w:left="720"/>
        <w:contextualSpacing w:val="0"/>
      </w:pPr>
      <w:r w:rsidRPr="004D0DC2">
        <w:lastRenderedPageBreak/>
        <w:t>“Department of General Services”</w:t>
      </w:r>
      <w:r w:rsidR="00B911A3" w:rsidRPr="004D0DC2">
        <w:t xml:space="preserve"> (DGS) is the California state agency that provides oversight of the state contracting process.</w:t>
      </w:r>
    </w:p>
    <w:p w14:paraId="66A93949" w14:textId="3FBB6C26" w:rsidR="00537458" w:rsidRPr="004D0DC2" w:rsidRDefault="00537458" w:rsidP="0073322E">
      <w:pPr>
        <w:pStyle w:val="ListParagraph"/>
        <w:numPr>
          <w:ilvl w:val="0"/>
          <w:numId w:val="20"/>
        </w:numPr>
        <w:spacing w:before="240" w:after="240"/>
        <w:ind w:left="720"/>
        <w:contextualSpacing w:val="0"/>
      </w:pPr>
      <w:r w:rsidRPr="004D0DC2">
        <w:t>“Fiscal year” means the state fiscal year July 1 through and including the following June 30.</w:t>
      </w:r>
    </w:p>
    <w:p w14:paraId="05079E4F" w14:textId="56728550" w:rsidR="00537458" w:rsidRPr="004D0DC2" w:rsidRDefault="00537458" w:rsidP="0073322E">
      <w:pPr>
        <w:pStyle w:val="ListParagraph"/>
        <w:widowControl w:val="0"/>
        <w:numPr>
          <w:ilvl w:val="0"/>
          <w:numId w:val="20"/>
        </w:numPr>
        <w:spacing w:before="240" w:after="240"/>
        <w:ind w:left="720"/>
        <w:contextualSpacing w:val="0"/>
        <w:rPr>
          <w:rFonts w:eastAsia="Times New Roman" w:cs="Arial"/>
          <w:snapToGrid w:val="0"/>
          <w:szCs w:val="24"/>
        </w:rPr>
      </w:pPr>
      <w:r w:rsidRPr="004D0DC2">
        <w:rPr>
          <w:rFonts w:eastAsia="Times New Roman" w:cs="Arial"/>
          <w:snapToGrid w:val="0"/>
          <w:szCs w:val="24"/>
        </w:rPr>
        <w:t xml:space="preserve">“Key Personnel” are defined as those people in conjunction with the Project Manager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RFP. </w:t>
      </w:r>
      <w:r w:rsidR="00021B70" w:rsidRPr="004D0DC2">
        <w:rPr>
          <w:rFonts w:eastAsia="Times New Roman" w:cs="Arial"/>
          <w:snapToGrid w:val="0"/>
          <w:szCs w:val="24"/>
        </w:rPr>
        <w:t xml:space="preserve">Key Personnel include the Project Manager and Fiscal Manager. </w:t>
      </w:r>
      <w:r w:rsidRPr="004D0DC2">
        <w:rPr>
          <w:rFonts w:eastAsia="Times New Roman" w:cs="Arial"/>
          <w:snapToGrid w:val="0"/>
          <w:szCs w:val="24"/>
        </w:rPr>
        <w:t>Key personnel do not include clerical staff.</w:t>
      </w:r>
    </w:p>
    <w:p w14:paraId="1050E8AF" w14:textId="77777777" w:rsidR="00537458" w:rsidRPr="004D0DC2" w:rsidRDefault="00537458" w:rsidP="0073322E">
      <w:pPr>
        <w:pStyle w:val="ListParagraph"/>
        <w:numPr>
          <w:ilvl w:val="0"/>
          <w:numId w:val="20"/>
        </w:numPr>
        <w:tabs>
          <w:tab w:val="left" w:pos="720"/>
        </w:tabs>
        <w:spacing w:before="240" w:after="240"/>
        <w:ind w:left="720"/>
      </w:pPr>
      <w:r w:rsidRPr="004D0DC2">
        <w:rPr>
          <w:rFonts w:cs="Arial"/>
          <w:color w:val="000000"/>
          <w:szCs w:val="24"/>
        </w:rPr>
        <w:t xml:space="preserve">“Local educational agency (LEA)” means a county office of education, school district, state special school, or direct-funded charter school as described in </w:t>
      </w:r>
      <w:r w:rsidRPr="004D0DC2">
        <w:rPr>
          <w:rFonts w:cs="Arial"/>
          <w:i/>
          <w:color w:val="000000"/>
          <w:szCs w:val="24"/>
        </w:rPr>
        <w:t>EC</w:t>
      </w:r>
      <w:r w:rsidRPr="004D0DC2">
        <w:rPr>
          <w:rFonts w:cs="Arial"/>
          <w:color w:val="000000"/>
          <w:szCs w:val="24"/>
        </w:rPr>
        <w:t xml:space="preserve"> Section 47651.</w:t>
      </w:r>
    </w:p>
    <w:p w14:paraId="0AFB4CF5" w14:textId="77777777" w:rsidR="00537458" w:rsidRPr="004D0DC2" w:rsidRDefault="00537458" w:rsidP="00537458">
      <w:pPr>
        <w:pStyle w:val="ListParagraph"/>
        <w:tabs>
          <w:tab w:val="left" w:pos="720"/>
        </w:tabs>
        <w:spacing w:before="240" w:after="240"/>
      </w:pPr>
    </w:p>
    <w:p w14:paraId="43CB5F98" w14:textId="6C644B44" w:rsidR="00F67ED5" w:rsidRPr="004D0DC2" w:rsidRDefault="00F67ED5" w:rsidP="0073322E">
      <w:pPr>
        <w:pStyle w:val="ListParagraph"/>
        <w:numPr>
          <w:ilvl w:val="0"/>
          <w:numId w:val="20"/>
        </w:numPr>
        <w:spacing w:before="240" w:after="240"/>
        <w:ind w:left="720"/>
        <w:contextualSpacing w:val="0"/>
      </w:pPr>
      <w:r w:rsidRPr="004D0DC2">
        <w:t>“Original Signature” shall mean a manual handwritten signature or mark in wet ink.</w:t>
      </w:r>
    </w:p>
    <w:p w14:paraId="65C3FC23" w14:textId="38417FAA" w:rsidR="00537458" w:rsidRPr="004D0DC2" w:rsidRDefault="00537458" w:rsidP="0073322E">
      <w:pPr>
        <w:pStyle w:val="ListParagraph"/>
        <w:numPr>
          <w:ilvl w:val="0"/>
          <w:numId w:val="20"/>
        </w:numPr>
        <w:spacing w:before="240" w:after="240"/>
        <w:ind w:left="720"/>
        <w:contextualSpacing w:val="0"/>
      </w:pPr>
      <w:r w:rsidRPr="004D0DC2">
        <w:t xml:space="preserve">“Portions of work” shall be defined by the bidder for the purposes of compliance with Disabled Veterans Business Enterprise (DVBE) requirements. Public Contract Code Section 10115.12(a)(2) precludes the use of more than one subcontractor to perform a “portion of work” as defined by the bidder in </w:t>
      </w:r>
      <w:r w:rsidR="00B005A5" w:rsidRPr="004D0DC2">
        <w:t>their</w:t>
      </w:r>
      <w:r w:rsidRPr="004D0DC2">
        <w:t xml:space="preserve"> proposal.</w:t>
      </w:r>
    </w:p>
    <w:p w14:paraId="2AACC034" w14:textId="77777777" w:rsidR="00537458" w:rsidRPr="004D0DC2" w:rsidRDefault="00537458" w:rsidP="0073322E">
      <w:pPr>
        <w:pStyle w:val="ListParagraph"/>
        <w:numPr>
          <w:ilvl w:val="0"/>
          <w:numId w:val="20"/>
        </w:numPr>
        <w:spacing w:before="240" w:after="240"/>
        <w:ind w:left="720"/>
        <w:contextualSpacing w:val="0"/>
      </w:pPr>
      <w:r w:rsidRPr="004D0DC2">
        <w:t>“Prime Contractor” shall be defined as the entity who submits a proposal in response to this RFP and is the responsible entity in ensuring that all tasks and activities are competently and successfully completed.</w:t>
      </w:r>
      <w:r w:rsidRPr="004D0DC2">
        <w:rPr>
          <w:rFonts w:cs="Arial"/>
          <w:szCs w:val="24"/>
        </w:rPr>
        <w:t xml:space="preserve"> The Prime Contractor must have the experience and qualifications to provide oversight to all proposed subcontractors and review and approve work products created by all proposed subcontractors.</w:t>
      </w:r>
    </w:p>
    <w:p w14:paraId="40565D89" w14:textId="77777777" w:rsidR="00537458" w:rsidRPr="004D0DC2" w:rsidRDefault="00537458" w:rsidP="0073322E">
      <w:pPr>
        <w:pStyle w:val="ListParagraph"/>
        <w:numPr>
          <w:ilvl w:val="0"/>
          <w:numId w:val="20"/>
        </w:numPr>
        <w:spacing w:before="240" w:after="240"/>
        <w:ind w:left="720"/>
        <w:contextualSpacing w:val="0"/>
      </w:pPr>
      <w:r w:rsidRPr="004D0DC2">
        <w:t>“Specifications” shall mean the minimum specifications required by the CDE for a task, subtask, or activity. Specifications provided in this RFP represent a comprehensive outline of the detail required in the bidder’s proposal for successful accomplishment of a task, subtask, or activity.</w:t>
      </w:r>
    </w:p>
    <w:p w14:paraId="4C4F3805" w14:textId="7411D5D6" w:rsidR="00537458" w:rsidRPr="004D0DC2" w:rsidRDefault="00537458" w:rsidP="0073322E">
      <w:pPr>
        <w:pStyle w:val="ListParagraph"/>
        <w:numPr>
          <w:ilvl w:val="0"/>
          <w:numId w:val="20"/>
        </w:numPr>
        <w:spacing w:before="240" w:after="240"/>
        <w:ind w:left="720"/>
        <w:contextualSpacing w:val="0"/>
      </w:pPr>
      <w:r w:rsidRPr="004D0DC2">
        <w:t>“Subcontract” shall mean any and all agreement(s) between a bidder and another entity (including</w:t>
      </w:r>
      <w:r w:rsidR="00FF59F5" w:rsidRPr="004D0DC2">
        <w:t>,</w:t>
      </w:r>
      <w:r w:rsidRPr="004D0DC2">
        <w:t xml:space="preserve"> but not limited to</w:t>
      </w:r>
      <w:r w:rsidR="00FF59F5" w:rsidRPr="004D0DC2">
        <w:t>,</w:t>
      </w:r>
      <w:r w:rsidRPr="004D0DC2">
        <w:t xml:space="preserve"> an individual or business) for the accomplishment of any task, subtask or activity, in whole or in part, described in this RFP, or to provide goods or services in support of the work described in this RFP.</w:t>
      </w:r>
    </w:p>
    <w:p w14:paraId="1624FD32" w14:textId="608014DE" w:rsidR="00537458" w:rsidRPr="004D0DC2" w:rsidRDefault="00537458" w:rsidP="0073322E">
      <w:pPr>
        <w:pStyle w:val="ListParagraph"/>
        <w:numPr>
          <w:ilvl w:val="0"/>
          <w:numId w:val="20"/>
        </w:numPr>
        <w:spacing w:before="240" w:after="240"/>
        <w:ind w:left="720"/>
        <w:contextualSpacing w:val="0"/>
      </w:pPr>
      <w:r w:rsidRPr="004D0DC2">
        <w:t>“Subcontractor” shall mean each and every entity (including</w:t>
      </w:r>
      <w:r w:rsidR="00FF59F5" w:rsidRPr="004D0DC2">
        <w:t>,</w:t>
      </w:r>
      <w:r w:rsidRPr="004D0DC2">
        <w:t xml:space="preserve"> but not limited to</w:t>
      </w:r>
      <w:r w:rsidR="00FF59F5" w:rsidRPr="004D0DC2">
        <w:t>,</w:t>
      </w:r>
      <w:r w:rsidRPr="004D0DC2">
        <w:t xml:space="preserve"> an individual or business) with whom a bidder enters into any agreement for the accomplishment of any task, subtask, or activity, in whole or in part, described in this RFP, or to provide goods or services in support of the work described in this RFP. All persons who are not employees of the bidder are to be considered subcontractors.</w:t>
      </w:r>
    </w:p>
    <w:p w14:paraId="241237CA" w14:textId="77777777" w:rsidR="00537458" w:rsidRPr="004D0DC2" w:rsidRDefault="00537458" w:rsidP="0073322E">
      <w:pPr>
        <w:pStyle w:val="ListParagraph"/>
        <w:numPr>
          <w:ilvl w:val="0"/>
          <w:numId w:val="20"/>
        </w:numPr>
        <w:spacing w:before="240" w:after="240"/>
        <w:ind w:left="720"/>
        <w:contextualSpacing w:val="0"/>
      </w:pPr>
      <w:r w:rsidRPr="004D0DC2">
        <w:t>“Successful bidder” shall mean the business entity selected by the CDE as the business entity to administer its proposal and subsequent contract to support the accomplishment of any task(s) described in this RFP.</w:t>
      </w:r>
    </w:p>
    <w:p w14:paraId="69F304F1" w14:textId="77777777" w:rsidR="00537458" w:rsidRPr="004D0DC2" w:rsidRDefault="00537458" w:rsidP="0073322E">
      <w:pPr>
        <w:pStyle w:val="ListParagraph"/>
        <w:numPr>
          <w:ilvl w:val="0"/>
          <w:numId w:val="20"/>
        </w:numPr>
        <w:spacing w:before="240" w:after="240"/>
        <w:ind w:left="720"/>
        <w:contextualSpacing w:val="0"/>
      </w:pPr>
      <w:r w:rsidRPr="004D0DC2">
        <w:lastRenderedPageBreak/>
        <w:t>“Working day” shall mean days Monday through Friday, inclusive, but exclusive of the CDE-observed holidays.</w:t>
      </w:r>
    </w:p>
    <w:p w14:paraId="2B11731C" w14:textId="77777777" w:rsidR="00537458" w:rsidRPr="004D0DC2" w:rsidRDefault="00537458" w:rsidP="00537458">
      <w:pPr>
        <w:rPr>
          <w:rFonts w:eastAsia="Times New Roman" w:cs="Arial"/>
          <w:b/>
          <w:bCs/>
          <w:iCs/>
          <w:snapToGrid w:val="0"/>
          <w:sz w:val="32"/>
          <w:szCs w:val="28"/>
        </w:rPr>
      </w:pPr>
      <w:r w:rsidRPr="004D0DC2">
        <w:rPr>
          <w:snapToGrid w:val="0"/>
        </w:rPr>
        <w:br w:type="page"/>
      </w:r>
    </w:p>
    <w:p w14:paraId="3E6DF750" w14:textId="65D753A3" w:rsidR="00537458" w:rsidRPr="004D0DC2" w:rsidRDefault="00537458" w:rsidP="00E43B4A">
      <w:pPr>
        <w:pStyle w:val="Heading2"/>
        <w:rPr>
          <w:rStyle w:val="Heading3Char"/>
          <w:b/>
        </w:rPr>
      </w:pPr>
      <w:bookmarkStart w:id="8" w:name="_Toc210913295"/>
      <w:r w:rsidRPr="004D0DC2">
        <w:rPr>
          <w:snapToGrid w:val="0"/>
        </w:rPr>
        <w:lastRenderedPageBreak/>
        <w:t>3</w:t>
      </w:r>
      <w:r w:rsidRPr="004D0DC2">
        <w:rPr>
          <w:rStyle w:val="Heading2Char"/>
          <w:b/>
        </w:rPr>
        <w:t>. PROPOSAL SPECIFICATIONS</w:t>
      </w:r>
      <w:bookmarkEnd w:id="8"/>
    </w:p>
    <w:p w14:paraId="1BB59A5F" w14:textId="6068C7FB" w:rsidR="00537458" w:rsidRPr="004D0DC2" w:rsidRDefault="00537458" w:rsidP="00F67ED5">
      <w:pPr>
        <w:pStyle w:val="Heading3"/>
      </w:pPr>
      <w:r w:rsidRPr="004D0DC2">
        <w:t>3.1 Technical Proposal Requirements</w:t>
      </w:r>
    </w:p>
    <w:p w14:paraId="20EFEDFA" w14:textId="169BB9FD" w:rsidR="00537458" w:rsidRPr="004D0DC2" w:rsidRDefault="00537458" w:rsidP="54EA1D9A">
      <w:pPr>
        <w:spacing w:before="240" w:after="240"/>
        <w:rPr>
          <w:rFonts w:cs="Arial"/>
        </w:rPr>
      </w:pPr>
      <w:r>
        <w:t xml:space="preserve">Each bidder must submit a Technical Proposal that contains </w:t>
      </w:r>
      <w:r w:rsidR="006F55B3">
        <w:t>all</w:t>
      </w:r>
      <w:r>
        <w:t xml:space="preserve"> the required items listed below. One original</w:t>
      </w:r>
      <w:r w:rsidR="00B911A3">
        <w:t xml:space="preserve"> hardcopy</w:t>
      </w:r>
      <w:r>
        <w:t xml:space="preserve"> (clearly marked original) and </w:t>
      </w:r>
      <w:r w:rsidR="001B23D5">
        <w:t>three</w:t>
      </w:r>
      <w:r>
        <w:t xml:space="preserve"> (</w:t>
      </w:r>
      <w:r w:rsidR="001B23D5">
        <w:t>3</w:t>
      </w:r>
      <w:r>
        <w:t xml:space="preserve">) copies </w:t>
      </w:r>
      <w:r w:rsidR="00B911A3">
        <w:t xml:space="preserve">(hardcopy) </w:t>
      </w:r>
      <w:r>
        <w:t xml:space="preserve">of the Technical Proposal, </w:t>
      </w:r>
      <w:r w:rsidR="001B23D5">
        <w:t xml:space="preserve">and one electronic copy of the Technical Proposal’s complete submission on a portable </w:t>
      </w:r>
      <w:r w:rsidR="00B911A3">
        <w:t xml:space="preserve">USB </w:t>
      </w:r>
      <w:r w:rsidR="001B23D5">
        <w:t xml:space="preserve">drive, must be submitted </w:t>
      </w:r>
      <w:r>
        <w:t xml:space="preserve">along with all required attachments, </w:t>
      </w:r>
      <w:r w:rsidR="001B23D5">
        <w:t xml:space="preserve">and </w:t>
      </w:r>
      <w:r>
        <w:t xml:space="preserve">must be sealed, marked, and packaged separately from the Cost Proposal. Also refer to RFP Section </w:t>
      </w:r>
      <w:r w:rsidR="00A40EF1">
        <w:t>3</w:t>
      </w:r>
      <w:r>
        <w:t xml:space="preserve">.2 (Required Forms/Attachments) for attachments that must accompany the Technical Proposal and RFP Section </w:t>
      </w:r>
      <w:r w:rsidR="00A40EF1">
        <w:t>3</w:t>
      </w:r>
      <w:r>
        <w:t>.5 (Submission of Proposal) for submittal details.</w:t>
      </w:r>
      <w:r w:rsidR="00971DC4">
        <w:t xml:space="preserve"> </w:t>
      </w:r>
      <w:r w:rsidR="00971DC4" w:rsidRPr="54EA1D9A">
        <w:rPr>
          <w:rFonts w:cs="Arial"/>
        </w:rPr>
        <w:t>The resulting contract will be a cost reimbursement contract using the Technical Proposal as the contract scope of work. (Refer to RFP, Section 2.8 for the definition of “cost reimbursement</w:t>
      </w:r>
      <w:r w:rsidR="5B725DC1" w:rsidRPr="54EA1D9A">
        <w:rPr>
          <w:rFonts w:cs="Arial"/>
        </w:rPr>
        <w:t>.</w:t>
      </w:r>
      <w:r w:rsidR="00971DC4" w:rsidRPr="54EA1D9A">
        <w:rPr>
          <w:rFonts w:cs="Arial"/>
        </w:rPr>
        <w:t>”)</w:t>
      </w:r>
    </w:p>
    <w:p w14:paraId="2F8963E4" w14:textId="78612EAF" w:rsidR="00537458" w:rsidRPr="004D0DC2" w:rsidRDefault="00537458" w:rsidP="00537458">
      <w:pPr>
        <w:spacing w:before="240" w:after="240"/>
      </w:pPr>
      <w:r w:rsidRPr="004D0DC2">
        <w:t>Separately, each bidder must submit a Cost Proposal that includes the costs for completing all tasks in the Technical Proposal</w:t>
      </w:r>
      <w:r w:rsidR="00B911A3" w:rsidRPr="004D0DC2">
        <w:t>. See RFP Section 3.3 Cost Proposal Requirements for submission requirements for the Cost Proposal</w:t>
      </w:r>
      <w:r w:rsidRPr="004D0DC2">
        <w:t>. Do not submit any cost information with the Technical Proposal.</w:t>
      </w:r>
    </w:p>
    <w:p w14:paraId="44C9F406" w14:textId="77777777" w:rsidR="00537458" w:rsidRPr="004D0DC2" w:rsidRDefault="00537458" w:rsidP="00537458">
      <w:pPr>
        <w:spacing w:before="240" w:after="240"/>
      </w:pPr>
      <w:r w:rsidRPr="004D0DC2">
        <w:t>DO NOT include the "budget" or any financial or cost information with the Technical Proposal.</w:t>
      </w:r>
      <w:r w:rsidRPr="004D0DC2">
        <w:rPr>
          <w:rFonts w:cs="Arial"/>
        </w:rPr>
        <w:t xml:space="preserve"> IF ANY COSTS, RATES, OR DOLLAR AMOUNTS APPEAR IN THE TECHNICAL PROPOSAL, THE BIDDER’S PROPOSAL MAY BE DISQUALIFIED.</w:t>
      </w:r>
    </w:p>
    <w:p w14:paraId="12A36DFD" w14:textId="0501DAE4" w:rsidR="00537458" w:rsidRPr="004D0DC2" w:rsidRDefault="00537458" w:rsidP="00537458">
      <w:pPr>
        <w:pStyle w:val="Heading4"/>
        <w:rPr>
          <w:rFonts w:eastAsia="Times New Roman"/>
          <w:snapToGrid w:val="0"/>
        </w:rPr>
      </w:pPr>
      <w:r w:rsidRPr="004D0DC2">
        <w:rPr>
          <w:rFonts w:eastAsia="Times New Roman"/>
          <w:snapToGrid w:val="0"/>
        </w:rPr>
        <w:t>3.1.1 Table of Contents</w:t>
      </w:r>
    </w:p>
    <w:p w14:paraId="22BF344A" w14:textId="77777777" w:rsidR="00537458" w:rsidRPr="004D0DC2" w:rsidRDefault="00537458" w:rsidP="00537458">
      <w:pPr>
        <w:spacing w:after="240"/>
        <w:rPr>
          <w:snapToGrid w:val="0"/>
        </w:rPr>
      </w:pPr>
      <w:r w:rsidRPr="004D0DC2">
        <w:rPr>
          <w:snapToGrid w:val="0"/>
        </w:rPr>
        <w:t>The Technical Proposal must include a Table of Contents which identifies by page number all section and subsection headings in the Technical Proposal.</w:t>
      </w:r>
    </w:p>
    <w:p w14:paraId="1C45C943" w14:textId="6464DBE4" w:rsidR="00537458" w:rsidRPr="004D0DC2" w:rsidRDefault="00537458" w:rsidP="00537458">
      <w:pPr>
        <w:pStyle w:val="Heading4"/>
        <w:rPr>
          <w:rFonts w:eastAsia="Times New Roman"/>
          <w:snapToGrid w:val="0"/>
        </w:rPr>
      </w:pPr>
      <w:r w:rsidRPr="004D0DC2">
        <w:rPr>
          <w:rFonts w:eastAsia="Times New Roman"/>
          <w:snapToGrid w:val="0"/>
        </w:rPr>
        <w:t>3.1.2 Scope of Project</w:t>
      </w:r>
    </w:p>
    <w:p w14:paraId="3C46C2AB" w14:textId="5B9DA3F7" w:rsidR="00537458" w:rsidRPr="002171EE" w:rsidRDefault="00537458" w:rsidP="00537458">
      <w:pPr>
        <w:spacing w:after="240"/>
        <w:rPr>
          <w:snapToGrid w:val="0"/>
        </w:rPr>
      </w:pPr>
      <w:r w:rsidRPr="004D0DC2">
        <w:rPr>
          <w:snapToGrid w:val="0"/>
        </w:rPr>
        <w:t xml:space="preserve">The Technical Proposal must include a section that addresses all parts of Section </w:t>
      </w:r>
      <w:r w:rsidR="00DC395C" w:rsidRPr="004D0DC2">
        <w:rPr>
          <w:snapToGrid w:val="0"/>
        </w:rPr>
        <w:t>7</w:t>
      </w:r>
      <w:r w:rsidRPr="004D0DC2">
        <w:rPr>
          <w:snapToGrid w:val="0"/>
        </w:rPr>
        <w:t xml:space="preserve"> of the RFP. All tasks and subtasks in Section </w:t>
      </w:r>
      <w:r w:rsidR="001B23D5" w:rsidRPr="004D0DC2">
        <w:rPr>
          <w:snapToGrid w:val="0"/>
        </w:rPr>
        <w:t>7</w:t>
      </w:r>
      <w:r w:rsidRPr="004D0DC2">
        <w:rPr>
          <w:snapToGrid w:val="0"/>
        </w:rPr>
        <w:t xml:space="preserve"> must be addressed.</w:t>
      </w:r>
      <w:r w:rsidRPr="004D0DC2">
        <w:t xml:space="preserve"> Any deviation from the tasks and subtasks described in Section </w:t>
      </w:r>
      <w:r w:rsidR="001B23D5" w:rsidRPr="004D0DC2">
        <w:t>7</w:t>
      </w:r>
      <w:r w:rsidRPr="004D0DC2">
        <w:t xml:space="preserve"> (Scope of Project) will not be considered and will cause a proposal to be </w:t>
      </w:r>
      <w:r w:rsidRPr="002171EE">
        <w:t>rejected.</w:t>
      </w:r>
    </w:p>
    <w:p w14:paraId="01A6DDDC" w14:textId="62DDCE32"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 xml:space="preserve">This Technical Proposal must address </w:t>
      </w:r>
      <w:r w:rsidR="00376C7D" w:rsidRPr="002171EE">
        <w:rPr>
          <w:rFonts w:eastAsia="Times New Roman" w:cs="Arial"/>
          <w:bCs/>
          <w:snapToGrid w:val="0"/>
          <w:szCs w:val="20"/>
        </w:rPr>
        <w:t>four</w:t>
      </w:r>
      <w:r w:rsidRPr="002171EE">
        <w:rPr>
          <w:rFonts w:eastAsia="Times New Roman" w:cs="Arial"/>
          <w:bCs/>
          <w:snapToGrid w:val="0"/>
          <w:szCs w:val="20"/>
        </w:rPr>
        <w:t xml:space="preserve"> main tasks:</w:t>
      </w:r>
    </w:p>
    <w:p w14:paraId="7999FC30" w14:textId="77777777"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Task 1 – Coordination and Communications with the CDE</w:t>
      </w:r>
    </w:p>
    <w:p w14:paraId="236CB148" w14:textId="77777777"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Task 2 – Reports, Invoices, and Data File Requirements</w:t>
      </w:r>
    </w:p>
    <w:p w14:paraId="1BD9CF21" w14:textId="77777777"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Task 3 – Comprehensive Plan and Schedule for Project Activities and Deliverables</w:t>
      </w:r>
    </w:p>
    <w:p w14:paraId="0DEBF2C4" w14:textId="5648222B"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 xml:space="preserve">Task 4 – </w:t>
      </w:r>
      <w:r w:rsidR="00BD285D" w:rsidRPr="002171EE">
        <w:rPr>
          <w:rFonts w:cs="Arial"/>
          <w:szCs w:val="24"/>
        </w:rPr>
        <w:t>Professional Development Activities</w:t>
      </w:r>
      <w:r w:rsidR="009F49B9" w:rsidRPr="002171EE">
        <w:rPr>
          <w:rFonts w:cs="Arial"/>
          <w:szCs w:val="24"/>
        </w:rPr>
        <w:t xml:space="preserve"> </w:t>
      </w:r>
    </w:p>
    <w:p w14:paraId="69258CEE" w14:textId="27410FCC" w:rsidR="00537458" w:rsidRPr="004D0DC2" w:rsidRDefault="00537458" w:rsidP="00537458">
      <w:pPr>
        <w:pStyle w:val="Heading4"/>
        <w:rPr>
          <w:rFonts w:eastAsia="Times New Roman"/>
          <w:snapToGrid w:val="0"/>
        </w:rPr>
      </w:pPr>
      <w:r w:rsidRPr="004D0DC2">
        <w:rPr>
          <w:rFonts w:eastAsia="Times New Roman"/>
          <w:snapToGrid w:val="0"/>
        </w:rPr>
        <w:t>3.1.3 Organization Structure and Personnel Resources</w:t>
      </w:r>
    </w:p>
    <w:p w14:paraId="609C6518" w14:textId="3B2759E3" w:rsidR="00537458" w:rsidRPr="004D0DC2" w:rsidRDefault="00537458" w:rsidP="00537458">
      <w:pPr>
        <w:widowControl w:val="0"/>
        <w:spacing w:before="240" w:after="240"/>
        <w:rPr>
          <w:rFonts w:eastAsia="Times New Roman" w:cs="Arial"/>
          <w:snapToGrid w:val="0"/>
          <w:szCs w:val="20"/>
        </w:rPr>
      </w:pPr>
      <w:r w:rsidRPr="004D0DC2">
        <w:rPr>
          <w:rFonts w:eastAsia="Times New Roman" w:cs="Arial"/>
          <w:snapToGrid w:val="0"/>
          <w:szCs w:val="20"/>
        </w:rPr>
        <w:t xml:space="preserve">The content of this section must describe how the bidder proposes to organize its resources necessary to complete the tasks and deliverables contained in RFP Section </w:t>
      </w:r>
      <w:r w:rsidR="001B23D5" w:rsidRPr="004D0DC2">
        <w:rPr>
          <w:rFonts w:eastAsia="Times New Roman" w:cs="Arial"/>
          <w:snapToGrid w:val="0"/>
          <w:szCs w:val="20"/>
        </w:rPr>
        <w:t>7</w:t>
      </w:r>
      <w:r w:rsidRPr="004D0DC2">
        <w:rPr>
          <w:rFonts w:eastAsia="Times New Roman" w:cs="Arial"/>
          <w:snapToGrid w:val="0"/>
          <w:szCs w:val="20"/>
        </w:rPr>
        <w:t xml:space="preserve"> Scope of Project. </w:t>
      </w:r>
      <w:r w:rsidRPr="004D0DC2">
        <w:rPr>
          <w:rFonts w:eastAsia="Times New Roman" w:cs="Arial"/>
          <w:snapToGrid w:val="0"/>
          <w:szCs w:val="20"/>
        </w:rPr>
        <w:lastRenderedPageBreak/>
        <w:t>The content must demonstrate the bidder’s ability to provide the services set forth in this RFP. This section of the Technical Proposal must address the following:</w:t>
      </w:r>
    </w:p>
    <w:p w14:paraId="6ADF335E"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t>Services and Activities</w:t>
      </w:r>
    </w:p>
    <w:p w14:paraId="0FC27B56" w14:textId="77777777" w:rsidR="00537458" w:rsidRPr="004D0DC2" w:rsidRDefault="00537458" w:rsidP="00537458">
      <w:pPr>
        <w:widowControl w:val="0"/>
        <w:spacing w:before="240" w:after="240"/>
        <w:ind w:left="720"/>
        <w:rPr>
          <w:rFonts w:eastAsia="Times New Roman" w:cs="Arial"/>
          <w:snapToGrid w:val="0"/>
          <w:szCs w:val="20"/>
        </w:rPr>
      </w:pPr>
      <w:r w:rsidRPr="004D0DC2">
        <w:rPr>
          <w:rFonts w:eastAsia="Times New Roman" w:cs="Arial"/>
          <w:snapToGrid w:val="0"/>
          <w:szCs w:val="20"/>
        </w:rPr>
        <w:t>Provide a description of the nature of the bidder’s services and activities. Indicate when the bidder, if a business, was established; its brief history; and location. List the location(s) of the office(s) from which the primary work of this project will be conducted.</w:t>
      </w:r>
    </w:p>
    <w:p w14:paraId="33025228"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t>Project Manager</w:t>
      </w:r>
    </w:p>
    <w:p w14:paraId="7B16A00B" w14:textId="3FE50348" w:rsidR="00537458" w:rsidRPr="004D0DC2" w:rsidRDefault="00537458" w:rsidP="00537458">
      <w:pPr>
        <w:pStyle w:val="ListParagraph"/>
        <w:widowControl w:val="0"/>
        <w:spacing w:before="240" w:after="240"/>
        <w:contextualSpacing w:val="0"/>
        <w:rPr>
          <w:rFonts w:eastAsia="Times New Roman" w:cs="Arial"/>
          <w:snapToGrid w:val="0"/>
          <w:szCs w:val="20"/>
        </w:rPr>
      </w:pPr>
      <w:r w:rsidRPr="004D0DC2">
        <w:rPr>
          <w:rFonts w:eastAsia="Times New Roman" w:cs="Arial"/>
          <w:snapToGrid w:val="0"/>
          <w:szCs w:val="20"/>
        </w:rPr>
        <w:t xml:space="preserve">Identify by </w:t>
      </w:r>
      <w:r w:rsidR="006F55B3" w:rsidRPr="004D0DC2">
        <w:rPr>
          <w:rFonts w:eastAsia="Times New Roman" w:cs="Arial"/>
          <w:snapToGrid w:val="0"/>
          <w:szCs w:val="20"/>
        </w:rPr>
        <w:t>name</w:t>
      </w:r>
      <w:r w:rsidRPr="004D0DC2">
        <w:rPr>
          <w:rFonts w:eastAsia="Times New Roman" w:cs="Arial"/>
          <w:snapToGrid w:val="0"/>
          <w:szCs w:val="20"/>
        </w:rPr>
        <w:t xml:space="preserve"> the Project Manager to be employed by the Prime Contractor, and describe how the proposed Project Manager meets the minimum qualifications stated below. The Technical Proposal must describe how the bidder’s Project Manager will effectively coordinate, manage, and monitor the efforts of the assigned staff, including subcontractors and/or consultants, to ensure that all tasks/subtasks, activities, and functions are completed effectively and in a timely manner. The Project Manager identified in the Technical Proposal will be listed as the successful bidder’s Contract Monitor of the contract.</w:t>
      </w:r>
    </w:p>
    <w:p w14:paraId="2E06CC32" w14:textId="2266B389" w:rsidR="00537458" w:rsidRPr="002171EE" w:rsidRDefault="00537458" w:rsidP="00537458">
      <w:pPr>
        <w:pStyle w:val="ListParagraph"/>
        <w:widowControl w:val="0"/>
        <w:spacing w:before="240" w:after="240"/>
        <w:contextualSpacing w:val="0"/>
        <w:rPr>
          <w:rFonts w:eastAsia="Times New Roman" w:cs="Arial"/>
          <w:snapToGrid w:val="0"/>
          <w:szCs w:val="20"/>
        </w:rPr>
      </w:pPr>
      <w:r w:rsidRPr="004D0DC2">
        <w:rPr>
          <w:rFonts w:eastAsia="Times New Roman" w:cs="Arial"/>
          <w:snapToGrid w:val="0"/>
          <w:szCs w:val="20"/>
        </w:rPr>
        <w:t xml:space="preserve">The Project Manager is the bidder’s primary person assigned to oversee the project. The Project Manager must be an employee of the </w:t>
      </w:r>
      <w:r w:rsidR="006C6950" w:rsidRPr="004D0DC2">
        <w:rPr>
          <w:rFonts w:eastAsia="Times New Roman" w:cs="Arial"/>
          <w:snapToGrid w:val="0"/>
          <w:szCs w:val="20"/>
        </w:rPr>
        <w:t>P</w:t>
      </w:r>
      <w:r w:rsidRPr="004D0DC2">
        <w:rPr>
          <w:rFonts w:eastAsia="Times New Roman" w:cs="Arial"/>
          <w:snapToGrid w:val="0"/>
          <w:szCs w:val="20"/>
        </w:rPr>
        <w:t xml:space="preserve">rime </w:t>
      </w:r>
      <w:r w:rsidR="006C6950" w:rsidRPr="004D0DC2">
        <w:rPr>
          <w:rFonts w:eastAsia="Times New Roman" w:cs="Arial"/>
          <w:snapToGrid w:val="0"/>
          <w:szCs w:val="20"/>
        </w:rPr>
        <w:t>Contractor</w:t>
      </w:r>
      <w:r w:rsidRPr="004D0DC2">
        <w:rPr>
          <w:rFonts w:eastAsia="Times New Roman" w:cs="Arial"/>
          <w:snapToGrid w:val="0"/>
          <w:szCs w:val="20"/>
        </w:rPr>
        <w:t xml:space="preserve"> and will act as the liaison between the CDE and all other project staff. The Project Manager is responsible for </w:t>
      </w:r>
      <w:r w:rsidRPr="002171EE">
        <w:rPr>
          <w:rFonts w:eastAsia="Times New Roman" w:cs="Arial"/>
          <w:snapToGrid w:val="0"/>
          <w:szCs w:val="20"/>
        </w:rPr>
        <w:t>ensuring completion of all project deliverables, tasks, and subtasks.</w:t>
      </w:r>
    </w:p>
    <w:p w14:paraId="55D459ED" w14:textId="0B04935E" w:rsidR="00537458" w:rsidRPr="004D0DC2" w:rsidRDefault="006C6950" w:rsidP="00537458">
      <w:pPr>
        <w:pStyle w:val="ListParagraph"/>
        <w:widowControl w:val="0"/>
        <w:spacing w:before="240" w:after="240"/>
        <w:contextualSpacing w:val="0"/>
        <w:rPr>
          <w:rFonts w:eastAsia="Times New Roman" w:cs="Arial"/>
          <w:snapToGrid w:val="0"/>
          <w:szCs w:val="20"/>
        </w:rPr>
      </w:pPr>
      <w:r w:rsidRPr="002171EE">
        <w:rPr>
          <w:rFonts w:eastAsia="Times New Roman" w:cs="Arial"/>
          <w:snapToGrid w:val="0"/>
          <w:szCs w:val="20"/>
        </w:rPr>
        <w:t xml:space="preserve">The </w:t>
      </w:r>
      <w:r w:rsidR="00537458" w:rsidRPr="002171EE">
        <w:rPr>
          <w:rFonts w:eastAsia="Times New Roman" w:cs="Arial"/>
          <w:snapToGrid w:val="0"/>
          <w:szCs w:val="20"/>
        </w:rPr>
        <w:t xml:space="preserve">Project Manager </w:t>
      </w:r>
      <w:r w:rsidR="006F55B3" w:rsidRPr="002171EE">
        <w:rPr>
          <w:rFonts w:eastAsia="Times New Roman" w:cs="Arial"/>
          <w:snapToGrid w:val="0"/>
          <w:szCs w:val="20"/>
        </w:rPr>
        <w:t>must have</w:t>
      </w:r>
      <w:r w:rsidR="00537458" w:rsidRPr="002171EE">
        <w:rPr>
          <w:rFonts w:eastAsia="Times New Roman" w:cs="Arial"/>
          <w:snapToGrid w:val="0"/>
          <w:szCs w:val="20"/>
        </w:rPr>
        <w:t xml:space="preserve"> at a minimum, a Master’s degree in one of the following: Education, Public Policy and Administration, Business Administration, Sociology, </w:t>
      </w:r>
      <w:r w:rsidR="00F77126">
        <w:rPr>
          <w:rFonts w:eastAsia="Times New Roman" w:cs="Arial"/>
          <w:snapToGrid w:val="0"/>
          <w:szCs w:val="20"/>
        </w:rPr>
        <w:t xml:space="preserve">Anthropology, Social Work, </w:t>
      </w:r>
      <w:r w:rsidR="00537458" w:rsidRPr="002171EE">
        <w:rPr>
          <w:rFonts w:eastAsia="Times New Roman" w:cs="Arial"/>
          <w:snapToGrid w:val="0"/>
          <w:szCs w:val="20"/>
        </w:rPr>
        <w:t xml:space="preserve">Psychology, </w:t>
      </w:r>
      <w:r w:rsidR="00F77126">
        <w:rPr>
          <w:rFonts w:eastAsia="Times New Roman" w:cs="Arial"/>
          <w:snapToGrid w:val="0"/>
          <w:szCs w:val="20"/>
        </w:rPr>
        <w:t xml:space="preserve">Counseling, Adult Education, Higher Education Leadership and Administration, </w:t>
      </w:r>
      <w:r w:rsidR="00537458" w:rsidRPr="002171EE">
        <w:rPr>
          <w:rFonts w:eastAsia="Times New Roman" w:cs="Arial"/>
          <w:snapToGrid w:val="0"/>
          <w:szCs w:val="20"/>
        </w:rPr>
        <w:t>Mathematics, or Statistics. Additionally, the Project Manager must have three years of recent experience (within the last five years</w:t>
      </w:r>
      <w:r w:rsidR="00996AC1" w:rsidRPr="002171EE">
        <w:rPr>
          <w:rFonts w:eastAsia="Times New Roman" w:cs="Arial"/>
          <w:snapToGrid w:val="0"/>
          <w:szCs w:val="20"/>
        </w:rPr>
        <w:t>)</w:t>
      </w:r>
      <w:r w:rsidR="00537458" w:rsidRPr="004D0DC2">
        <w:rPr>
          <w:rFonts w:eastAsia="Times New Roman" w:cs="Arial"/>
          <w:snapToGrid w:val="0"/>
          <w:szCs w:val="20"/>
        </w:rPr>
        <w:t xml:space="preserve"> managing a project comparable to the size and scope of the services described in this RFP.</w:t>
      </w:r>
    </w:p>
    <w:p w14:paraId="4E8AC90A" w14:textId="34A6899A" w:rsidR="00537458" w:rsidRPr="004D0DC2" w:rsidRDefault="00537458" w:rsidP="00537458">
      <w:pPr>
        <w:pStyle w:val="ListParagraph"/>
        <w:widowControl w:val="0"/>
        <w:spacing w:before="240" w:after="240"/>
        <w:contextualSpacing w:val="0"/>
        <w:rPr>
          <w:rFonts w:eastAsia="Times New Roman" w:cs="Arial"/>
          <w:snapToGrid w:val="0"/>
          <w:szCs w:val="20"/>
        </w:rPr>
      </w:pPr>
      <w:r w:rsidRPr="004D0DC2">
        <w:rPr>
          <w:rFonts w:eastAsia="Times New Roman" w:cs="Arial"/>
          <w:snapToGrid w:val="0"/>
          <w:szCs w:val="20"/>
        </w:rPr>
        <w:t xml:space="preserve">The Project Manager must be accessible to the CDE Contract Monitor at all times during normal CDE business hours (See RFP, Section </w:t>
      </w:r>
      <w:r w:rsidR="009F49B9" w:rsidRPr="004D0DC2">
        <w:rPr>
          <w:rFonts w:eastAsia="Times New Roman" w:cs="Arial"/>
          <w:snapToGrid w:val="0"/>
          <w:szCs w:val="20"/>
        </w:rPr>
        <w:t>2</w:t>
      </w:r>
      <w:r w:rsidRPr="004D0DC2">
        <w:rPr>
          <w:rFonts w:eastAsia="Times New Roman" w:cs="Arial"/>
          <w:snapToGrid w:val="0"/>
          <w:szCs w:val="20"/>
        </w:rPr>
        <w:t>.8 for the definition of “CDE business hours”). In addition to other specified responsibilities, the Project Manager will be responsible for all matters related to the bidder’s project staff/personnel including, but not limited to:</w:t>
      </w:r>
    </w:p>
    <w:p w14:paraId="3D4F6CB5" w14:textId="77777777" w:rsidR="00537458" w:rsidRPr="004D0DC2" w:rsidRDefault="00537458" w:rsidP="00EC58E1">
      <w:pPr>
        <w:pStyle w:val="ListParagraph"/>
        <w:numPr>
          <w:ilvl w:val="1"/>
          <w:numId w:val="24"/>
        </w:numPr>
        <w:spacing w:before="240" w:after="240"/>
        <w:contextualSpacing w:val="0"/>
        <w:rPr>
          <w:rFonts w:eastAsia="Times New Roman" w:cs="Arial"/>
          <w:snapToGrid w:val="0"/>
          <w:szCs w:val="20"/>
        </w:rPr>
      </w:pPr>
      <w:r w:rsidRPr="004D0DC2">
        <w:rPr>
          <w:rFonts w:eastAsia="Times New Roman" w:cs="Arial"/>
          <w:snapToGrid w:val="0"/>
          <w:szCs w:val="20"/>
        </w:rPr>
        <w:t>Supervising, reviewing, monitoring, training, and directing all project staff/personnel.</w:t>
      </w:r>
    </w:p>
    <w:p w14:paraId="2B0A410F" w14:textId="77777777" w:rsidR="00537458" w:rsidRPr="004D0DC2" w:rsidRDefault="00537458" w:rsidP="00EC58E1">
      <w:pPr>
        <w:pStyle w:val="ListParagraph"/>
        <w:numPr>
          <w:ilvl w:val="1"/>
          <w:numId w:val="24"/>
        </w:numPr>
        <w:spacing w:before="240" w:after="240"/>
        <w:contextualSpacing w:val="0"/>
        <w:rPr>
          <w:rFonts w:eastAsia="Times New Roman" w:cs="Arial"/>
          <w:snapToGrid w:val="0"/>
          <w:szCs w:val="20"/>
        </w:rPr>
      </w:pPr>
      <w:r w:rsidRPr="004D0DC2">
        <w:rPr>
          <w:rFonts w:eastAsia="Times New Roman" w:cs="Arial"/>
          <w:snapToGrid w:val="0"/>
          <w:szCs w:val="20"/>
        </w:rPr>
        <w:t>Overseeing personnel assigned to complete the required work as specified.</w:t>
      </w:r>
    </w:p>
    <w:p w14:paraId="436EA61B" w14:textId="77777777" w:rsidR="00537458" w:rsidRPr="004D0DC2" w:rsidRDefault="00537458" w:rsidP="00EC58E1">
      <w:pPr>
        <w:pStyle w:val="ListParagraph"/>
        <w:numPr>
          <w:ilvl w:val="1"/>
          <w:numId w:val="24"/>
        </w:numPr>
        <w:spacing w:before="240" w:after="240"/>
        <w:contextualSpacing w:val="0"/>
        <w:rPr>
          <w:rFonts w:eastAsia="Times New Roman" w:cs="Arial"/>
          <w:snapToGrid w:val="0"/>
          <w:szCs w:val="20"/>
        </w:rPr>
      </w:pPr>
      <w:r w:rsidRPr="004D0DC2">
        <w:rPr>
          <w:rFonts w:eastAsia="Times New Roman" w:cs="Arial"/>
          <w:snapToGrid w:val="0"/>
          <w:szCs w:val="20"/>
        </w:rPr>
        <w:t>Maintaining project files.</w:t>
      </w:r>
    </w:p>
    <w:p w14:paraId="06E7227E" w14:textId="05F6C1E6" w:rsidR="00537458" w:rsidRPr="004D0DC2" w:rsidRDefault="00537458" w:rsidP="004F4F2E">
      <w:pPr>
        <w:pStyle w:val="ListParagraph"/>
        <w:numPr>
          <w:ilvl w:val="1"/>
          <w:numId w:val="24"/>
        </w:numPr>
        <w:spacing w:before="240" w:after="240"/>
        <w:contextualSpacing w:val="0"/>
        <w:rPr>
          <w:rFonts w:eastAsia="Times New Roman" w:cs="Arial"/>
          <w:snapToGrid w:val="0"/>
        </w:rPr>
      </w:pPr>
      <w:r w:rsidRPr="54EA1D9A">
        <w:rPr>
          <w:rFonts w:eastAsia="Times New Roman" w:cs="Arial"/>
          <w:snapToGrid w:val="0"/>
        </w:rPr>
        <w:t>Implementing and maintaining quality control procedures to manage conflicts, ensure product accuracy</w:t>
      </w:r>
      <w:r w:rsidR="1B1B4D0F" w:rsidRPr="54EA1D9A">
        <w:rPr>
          <w:rFonts w:eastAsia="Times New Roman" w:cs="Arial"/>
          <w:snapToGrid w:val="0"/>
        </w:rPr>
        <w:t>, and identify</w:t>
      </w:r>
      <w:r w:rsidRPr="54EA1D9A">
        <w:rPr>
          <w:rFonts w:eastAsia="Times New Roman" w:cs="Arial"/>
          <w:snapToGrid w:val="0"/>
        </w:rPr>
        <w:t xml:space="preserve"> critical reviews and milestones.</w:t>
      </w:r>
    </w:p>
    <w:p w14:paraId="6C22F697" w14:textId="620F948F" w:rsidR="00537458" w:rsidRPr="004D0DC2" w:rsidRDefault="00537458" w:rsidP="004F4F2E">
      <w:pPr>
        <w:pStyle w:val="ListParagraph"/>
        <w:numPr>
          <w:ilvl w:val="1"/>
          <w:numId w:val="24"/>
        </w:numPr>
        <w:spacing w:before="240" w:after="240"/>
        <w:contextualSpacing w:val="0"/>
        <w:rPr>
          <w:rFonts w:eastAsia="Times New Roman"/>
          <w:snapToGrid w:val="0"/>
        </w:rPr>
      </w:pPr>
      <w:r w:rsidRPr="54EA1D9A">
        <w:rPr>
          <w:rFonts w:eastAsia="Times New Roman" w:cs="Arial"/>
          <w:snapToGrid w:val="0"/>
        </w:rPr>
        <w:t>Submitting monthly progress reports and invoices</w:t>
      </w:r>
      <w:r w:rsidR="00F77126">
        <w:rPr>
          <w:rFonts w:eastAsia="Times New Roman" w:cs="Arial"/>
          <w:snapToGrid w:val="0"/>
        </w:rPr>
        <w:t>, and annual summary reports</w:t>
      </w:r>
      <w:r w:rsidRPr="54EA1D9A">
        <w:rPr>
          <w:rFonts w:eastAsia="Times New Roman" w:cs="Arial"/>
          <w:snapToGrid w:val="0"/>
        </w:rPr>
        <w:t xml:space="preserve"> in a timely </w:t>
      </w:r>
      <w:r w:rsidR="014D957C" w:rsidRPr="54EA1D9A">
        <w:rPr>
          <w:rFonts w:eastAsia="Times New Roman" w:cs="Arial"/>
          <w:snapToGrid w:val="0"/>
        </w:rPr>
        <w:t>manner</w:t>
      </w:r>
      <w:r w:rsidRPr="54EA1D9A">
        <w:rPr>
          <w:rFonts w:eastAsia="Times New Roman" w:cs="Arial"/>
          <w:snapToGrid w:val="0"/>
        </w:rPr>
        <w:t>.</w:t>
      </w:r>
    </w:p>
    <w:p w14:paraId="145AEF40"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lastRenderedPageBreak/>
        <w:t>Fiscal Manager</w:t>
      </w:r>
    </w:p>
    <w:p w14:paraId="7F992F68" w14:textId="6FA8A3C9" w:rsidR="00537458" w:rsidRPr="004D0DC2" w:rsidRDefault="00537458" w:rsidP="00537458">
      <w:pPr>
        <w:pStyle w:val="ListParagraph"/>
        <w:widowControl w:val="0"/>
        <w:spacing w:before="240" w:after="240"/>
        <w:contextualSpacing w:val="0"/>
        <w:rPr>
          <w:rFonts w:eastAsia="Times New Roman" w:cs="Arial"/>
          <w:snapToGrid w:val="0"/>
          <w:szCs w:val="20"/>
        </w:rPr>
      </w:pPr>
      <w:r w:rsidRPr="004D0DC2">
        <w:rPr>
          <w:rFonts w:eastAsia="Times New Roman" w:cs="Arial"/>
          <w:snapToGrid w:val="0"/>
          <w:szCs w:val="20"/>
        </w:rPr>
        <w:t xml:space="preserve">Identify by name the Fiscal Manager to be employed by the Prime </w:t>
      </w:r>
      <w:r w:rsidR="006F55B3" w:rsidRPr="004D0DC2">
        <w:rPr>
          <w:rFonts w:eastAsia="Times New Roman" w:cs="Arial"/>
          <w:snapToGrid w:val="0"/>
          <w:szCs w:val="20"/>
        </w:rPr>
        <w:t>Contractor and</w:t>
      </w:r>
      <w:r w:rsidRPr="004D0DC2">
        <w:rPr>
          <w:rFonts w:eastAsia="Times New Roman" w:cs="Arial"/>
          <w:snapToGrid w:val="0"/>
          <w:szCs w:val="20"/>
        </w:rPr>
        <w:t xml:space="preserve"> describe how the proposed Fiscal Manager meets the minimum qualifications stated herein. The Technical Proposal must describe the fiscal accounting processes and budgetary controls that will be employed to ensure </w:t>
      </w:r>
      <w:r w:rsidR="006F55B3" w:rsidRPr="004D0DC2">
        <w:rPr>
          <w:rFonts w:eastAsia="Times New Roman" w:cs="Arial"/>
          <w:snapToGrid w:val="0"/>
          <w:szCs w:val="20"/>
        </w:rPr>
        <w:t>responsible</w:t>
      </w:r>
      <w:r w:rsidRPr="004D0DC2">
        <w:rPr>
          <w:rFonts w:eastAsia="Times New Roman" w:cs="Arial"/>
          <w:snapToGrid w:val="0"/>
          <w:szCs w:val="20"/>
        </w:rPr>
        <w:t xml:space="preserve"> use and management of contract funds and accurate invoicing.</w:t>
      </w:r>
    </w:p>
    <w:p w14:paraId="32BC9BB9" w14:textId="1D2AB6E4" w:rsidR="00537458" w:rsidRPr="004D0DC2" w:rsidRDefault="00537458" w:rsidP="00537458">
      <w:pPr>
        <w:spacing w:before="240" w:after="240"/>
        <w:ind w:left="720"/>
        <w:rPr>
          <w:rFonts w:eastAsia="Times New Roman"/>
          <w:snapToGrid w:val="0"/>
          <w:szCs w:val="20"/>
        </w:rPr>
      </w:pPr>
      <w:r w:rsidRPr="004D0DC2">
        <w:rPr>
          <w:rFonts w:eastAsia="Times New Roman"/>
          <w:snapToGrid w:val="0"/>
          <w:szCs w:val="20"/>
        </w:rPr>
        <w:t>The Fiscal Manager is the bidder’s fiscal person responsible for the fiscal oversight and management, invoicing and accounting for this entire project.</w:t>
      </w:r>
      <w:r w:rsidR="001633DA" w:rsidRPr="004D0DC2">
        <w:rPr>
          <w:rFonts w:eastAsia="Times New Roman"/>
          <w:snapToGrid w:val="0"/>
          <w:szCs w:val="20"/>
        </w:rPr>
        <w:t xml:space="preserve"> The Fiscal Manager must be an employee of the </w:t>
      </w:r>
      <w:r w:rsidR="006C6950" w:rsidRPr="004D0DC2">
        <w:rPr>
          <w:rFonts w:eastAsia="Times New Roman"/>
          <w:snapToGrid w:val="0"/>
          <w:szCs w:val="20"/>
        </w:rPr>
        <w:t>Prime Contractor</w:t>
      </w:r>
      <w:r w:rsidR="001633DA" w:rsidRPr="004D0DC2">
        <w:rPr>
          <w:rFonts w:eastAsia="Times New Roman"/>
          <w:snapToGrid w:val="0"/>
          <w:szCs w:val="20"/>
        </w:rPr>
        <w:t>.</w:t>
      </w:r>
    </w:p>
    <w:p w14:paraId="08AED443" w14:textId="254621BF" w:rsidR="00537458" w:rsidRPr="004D0DC2" w:rsidRDefault="006C6950" w:rsidP="00537458">
      <w:pPr>
        <w:spacing w:before="240" w:after="240"/>
        <w:ind w:left="720"/>
        <w:rPr>
          <w:rFonts w:eastAsia="Times New Roman" w:cs="Arial"/>
          <w:snapToGrid w:val="0"/>
          <w:szCs w:val="24"/>
        </w:rPr>
      </w:pPr>
      <w:r w:rsidRPr="004D0DC2">
        <w:rPr>
          <w:rFonts w:eastAsia="Times New Roman"/>
          <w:snapToGrid w:val="0"/>
          <w:szCs w:val="20"/>
        </w:rPr>
        <w:t xml:space="preserve">The </w:t>
      </w:r>
      <w:r w:rsidR="00537458" w:rsidRPr="004D0DC2">
        <w:rPr>
          <w:rFonts w:eastAsia="Times New Roman"/>
          <w:snapToGrid w:val="0"/>
          <w:szCs w:val="20"/>
        </w:rPr>
        <w:t>Fiscal Manager must possess, at a minimum, a degree in Accounting or related field, and have at least three years of recent experience (within the last five years) providing fiscal oversight and management of large complex contracts comparable to the size and scope of the services described in this RFP.</w:t>
      </w:r>
    </w:p>
    <w:p w14:paraId="3611CFD4"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4"/>
        </w:rPr>
      </w:pPr>
      <w:r w:rsidRPr="004D0DC2">
        <w:rPr>
          <w:rFonts w:eastAsia="Times New Roman" w:cs="Arial"/>
          <w:snapToGrid w:val="0"/>
          <w:szCs w:val="20"/>
        </w:rPr>
        <w:t>Key Personnel</w:t>
      </w:r>
    </w:p>
    <w:p w14:paraId="645EC869" w14:textId="401F2121" w:rsidR="00537458" w:rsidRPr="004D0DC2" w:rsidRDefault="00537458" w:rsidP="00537458">
      <w:pPr>
        <w:pStyle w:val="ListParagraph"/>
        <w:widowControl w:val="0"/>
        <w:spacing w:before="240" w:after="240"/>
        <w:contextualSpacing w:val="0"/>
        <w:rPr>
          <w:rFonts w:eastAsia="Times New Roman" w:cs="Arial"/>
          <w:snapToGrid w:val="0"/>
          <w:szCs w:val="24"/>
        </w:rPr>
      </w:pPr>
      <w:r w:rsidRPr="004D0DC2">
        <w:rPr>
          <w:rFonts w:eastAsia="Times New Roman" w:cs="Arial"/>
          <w:snapToGrid w:val="0"/>
          <w:szCs w:val="24"/>
        </w:rPr>
        <w:t xml:space="preserve">Identify by name and position title all key personnel who will exercise a major management, oversight and/or administrative role (including, but not limited to, attorneys, consultants, and advisors who will exercise a major management, oversight and/or administrative role) on behalf of the bidder or who will have significant responsibility for completing or assisting with the completion of tasks described in RFP Section </w:t>
      </w:r>
      <w:r w:rsidR="00DC395C" w:rsidRPr="004D0DC2">
        <w:rPr>
          <w:rFonts w:eastAsia="Times New Roman" w:cs="Arial"/>
          <w:snapToGrid w:val="0"/>
          <w:szCs w:val="24"/>
        </w:rPr>
        <w:t>7</w:t>
      </w:r>
      <w:r w:rsidRPr="004D0DC2">
        <w:rPr>
          <w:rFonts w:eastAsia="Times New Roman" w:cs="Arial"/>
          <w:snapToGrid w:val="0"/>
          <w:szCs w:val="24"/>
        </w:rPr>
        <w:t xml:space="preserve"> Scope of Project. </w:t>
      </w:r>
      <w:r w:rsidR="002408FB" w:rsidRPr="004D0DC2">
        <w:rPr>
          <w:rFonts w:eastAsia="Times New Roman" w:cs="Arial"/>
          <w:snapToGrid w:val="0"/>
          <w:szCs w:val="24"/>
        </w:rPr>
        <w:t xml:space="preserve">This includes the Project Manager and Fiscal Manager positions. </w:t>
      </w:r>
      <w:r w:rsidRPr="004D0DC2">
        <w:rPr>
          <w:rFonts w:eastAsia="Times New Roman" w:cs="Arial"/>
          <w:snapToGrid w:val="0"/>
          <w:szCs w:val="24"/>
        </w:rPr>
        <w:t xml:space="preserve">(See RFP, Section </w:t>
      </w:r>
      <w:r w:rsidR="009F49B9" w:rsidRPr="004D0DC2">
        <w:rPr>
          <w:rFonts w:eastAsia="Times New Roman" w:cs="Arial"/>
          <w:snapToGrid w:val="0"/>
          <w:szCs w:val="24"/>
        </w:rPr>
        <w:t>2</w:t>
      </w:r>
      <w:r w:rsidRPr="004D0DC2">
        <w:rPr>
          <w:rFonts w:eastAsia="Times New Roman" w:cs="Arial"/>
          <w:snapToGrid w:val="0"/>
          <w:szCs w:val="24"/>
        </w:rPr>
        <w:t>.8 for the definition of “key personnel.”)</w:t>
      </w:r>
    </w:p>
    <w:p w14:paraId="233B6087" w14:textId="6FD14911" w:rsidR="00537458" w:rsidRPr="004D0DC2" w:rsidRDefault="00537458" w:rsidP="00537458">
      <w:pPr>
        <w:pStyle w:val="ListParagraph"/>
        <w:widowControl w:val="0"/>
        <w:spacing w:before="240" w:after="240"/>
        <w:contextualSpacing w:val="0"/>
        <w:rPr>
          <w:rFonts w:eastAsia="Times New Roman" w:cs="Arial"/>
          <w:snapToGrid w:val="0"/>
          <w:szCs w:val="24"/>
        </w:rPr>
      </w:pPr>
      <w:r w:rsidRPr="004D0DC2">
        <w:rPr>
          <w:rFonts w:eastAsia="Times New Roman" w:cs="Arial"/>
          <w:snapToGrid w:val="0"/>
          <w:szCs w:val="24"/>
        </w:rPr>
        <w:t xml:space="preserve">Key personnel are defined as those people in conjunction with the Project Manager </w:t>
      </w:r>
      <w:r w:rsidR="00F77126">
        <w:rPr>
          <w:rFonts w:eastAsia="Times New Roman" w:cs="Arial"/>
          <w:snapToGrid w:val="0"/>
          <w:szCs w:val="24"/>
        </w:rPr>
        <w:t xml:space="preserve">and Fiscal Manager </w:t>
      </w:r>
      <w:r w:rsidRPr="004D0DC2">
        <w:rPr>
          <w:rFonts w:eastAsia="Times New Roman" w:cs="Arial"/>
          <w:snapToGrid w:val="0"/>
          <w:szCs w:val="24"/>
        </w:rPr>
        <w:t>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RFP. Key personnel do not include clerical staff.</w:t>
      </w:r>
    </w:p>
    <w:p w14:paraId="37F2E29A" w14:textId="77777777" w:rsidR="00537458" w:rsidRPr="004D0DC2" w:rsidRDefault="00537458" w:rsidP="00EC58E1">
      <w:pPr>
        <w:pStyle w:val="ListParagraph"/>
        <w:widowControl w:val="0"/>
        <w:numPr>
          <w:ilvl w:val="1"/>
          <w:numId w:val="29"/>
        </w:numPr>
        <w:tabs>
          <w:tab w:val="clear" w:pos="1800"/>
        </w:tabs>
        <w:spacing w:before="240" w:after="240"/>
        <w:ind w:left="1080"/>
        <w:contextualSpacing w:val="0"/>
        <w:rPr>
          <w:rFonts w:eastAsia="Times New Roman" w:cs="Arial"/>
          <w:snapToGrid w:val="0"/>
          <w:szCs w:val="20"/>
        </w:rPr>
      </w:pPr>
      <w:r w:rsidRPr="004D0DC2">
        <w:rPr>
          <w:rFonts w:eastAsia="Times New Roman" w:cs="Arial"/>
          <w:snapToGrid w:val="0"/>
          <w:szCs w:val="20"/>
        </w:rPr>
        <w:t>Key Personnel Qualifications</w:t>
      </w:r>
    </w:p>
    <w:p w14:paraId="7BEBF353" w14:textId="77777777" w:rsidR="00537458" w:rsidRPr="004D0DC2" w:rsidRDefault="00537458" w:rsidP="00537458">
      <w:pPr>
        <w:widowControl w:val="0"/>
        <w:ind w:left="1080"/>
        <w:rPr>
          <w:rFonts w:cs="Arial"/>
          <w:szCs w:val="24"/>
        </w:rPr>
      </w:pPr>
      <w:r w:rsidRPr="004D0DC2">
        <w:rPr>
          <w:rFonts w:cs="Arial"/>
          <w:szCs w:val="24"/>
        </w:rPr>
        <w:t>Describe in detail how the proposed Key Personnel identified above meet the minimum qualifications stated below. The Technical Proposal must describe the expertise and professional qualifications of all Key Personnel.</w:t>
      </w:r>
    </w:p>
    <w:p w14:paraId="25E2BF00" w14:textId="33CA9F66" w:rsidR="00537458" w:rsidRPr="002171EE" w:rsidRDefault="006C6950" w:rsidP="00537458">
      <w:pPr>
        <w:pStyle w:val="ListParagraph"/>
        <w:widowControl w:val="0"/>
        <w:spacing w:before="240" w:after="240"/>
        <w:ind w:left="1080"/>
        <w:contextualSpacing w:val="0"/>
        <w:rPr>
          <w:rFonts w:eastAsia="Times New Roman" w:cs="Arial"/>
          <w:snapToGrid w:val="0"/>
          <w:szCs w:val="24"/>
        </w:rPr>
      </w:pPr>
      <w:r w:rsidRPr="004D0DC2">
        <w:rPr>
          <w:rFonts w:eastAsia="Times New Roman" w:cs="Arial"/>
          <w:snapToGrid w:val="0"/>
          <w:szCs w:val="24"/>
        </w:rPr>
        <w:t xml:space="preserve">The </w:t>
      </w:r>
      <w:r w:rsidR="00537458" w:rsidRPr="004D0DC2">
        <w:rPr>
          <w:rFonts w:eastAsia="Times New Roman" w:cs="Arial"/>
          <w:snapToGrid w:val="0"/>
          <w:szCs w:val="24"/>
        </w:rPr>
        <w:t xml:space="preserve">Technical Proposal must describe the expertise and professional qualifications of </w:t>
      </w:r>
      <w:r w:rsidR="00537458" w:rsidRPr="002171EE">
        <w:rPr>
          <w:rFonts w:eastAsia="Times New Roman" w:cs="Arial"/>
          <w:snapToGrid w:val="0"/>
          <w:szCs w:val="24"/>
        </w:rPr>
        <w:t>all Key Personnel. Key Personnel identified must possess the following qualifications:</w:t>
      </w:r>
    </w:p>
    <w:p w14:paraId="06C6229E" w14:textId="65151DDF" w:rsidR="00537458" w:rsidRPr="002171EE" w:rsidRDefault="00537458" w:rsidP="00F77126">
      <w:pPr>
        <w:widowControl w:val="0"/>
        <w:spacing w:before="240" w:after="240"/>
        <w:ind w:left="1080"/>
        <w:rPr>
          <w:rFonts w:cs="Arial"/>
        </w:rPr>
      </w:pPr>
      <w:r w:rsidRPr="54EA1D9A">
        <w:rPr>
          <w:rFonts w:cs="Arial"/>
        </w:rPr>
        <w:t>i</w:t>
      </w:r>
      <w:r w:rsidR="00996AC1" w:rsidRPr="54EA1D9A">
        <w:rPr>
          <w:rFonts w:cs="Arial"/>
        </w:rPr>
        <w:t>. A</w:t>
      </w:r>
      <w:r w:rsidRPr="54EA1D9A">
        <w:rPr>
          <w:rFonts w:cs="Arial"/>
        </w:rPr>
        <w:t xml:space="preserve"> Master’s or Doctorate degree in education, education research, or a related area.</w:t>
      </w:r>
    </w:p>
    <w:p w14:paraId="7A2AC30A" w14:textId="7591767F" w:rsidR="00537458" w:rsidRPr="002171EE" w:rsidRDefault="00537458" w:rsidP="004F4F2E">
      <w:pPr>
        <w:widowControl w:val="0"/>
        <w:spacing w:before="240" w:after="240"/>
        <w:ind w:left="1080"/>
        <w:rPr>
          <w:rFonts w:cs="Arial"/>
        </w:rPr>
      </w:pPr>
      <w:r w:rsidRPr="54EA1D9A">
        <w:rPr>
          <w:rFonts w:cs="Arial"/>
        </w:rPr>
        <w:t>ii</w:t>
      </w:r>
      <w:r w:rsidR="00996AC1" w:rsidRPr="54EA1D9A">
        <w:rPr>
          <w:rFonts w:cs="Arial"/>
        </w:rPr>
        <w:t>. A</w:t>
      </w:r>
      <w:r w:rsidRPr="54EA1D9A">
        <w:rPr>
          <w:rFonts w:cs="Arial"/>
        </w:rPr>
        <w:t xml:space="preserve"> minimum of three years of experience and demonstrated work history conducting the tasks as described in this RFP.</w:t>
      </w:r>
    </w:p>
    <w:p w14:paraId="558946F3" w14:textId="2FC323C4" w:rsidR="00537458" w:rsidRPr="004D0DC2" w:rsidRDefault="00537458" w:rsidP="00537458">
      <w:pPr>
        <w:pStyle w:val="ListParagraph"/>
        <w:spacing w:before="240" w:after="240"/>
        <w:ind w:left="1080"/>
        <w:contextualSpacing w:val="0"/>
        <w:rPr>
          <w:rFonts w:cs="Arial"/>
          <w:szCs w:val="24"/>
        </w:rPr>
      </w:pPr>
      <w:r w:rsidRPr="004D0DC2">
        <w:rPr>
          <w:rFonts w:eastAsia="Times New Roman" w:cs="Arial"/>
          <w:snapToGrid w:val="0"/>
          <w:szCs w:val="20"/>
        </w:rPr>
        <w:t xml:space="preserve">Assigned </w:t>
      </w:r>
      <w:r w:rsidR="006C6950" w:rsidRPr="004D0DC2">
        <w:rPr>
          <w:rFonts w:eastAsia="Times New Roman" w:cs="Arial"/>
          <w:snapToGrid w:val="0"/>
          <w:szCs w:val="20"/>
        </w:rPr>
        <w:t>K</w:t>
      </w:r>
      <w:r w:rsidRPr="004D0DC2">
        <w:rPr>
          <w:rFonts w:eastAsia="Times New Roman" w:cs="Arial"/>
          <w:snapToGrid w:val="0"/>
          <w:szCs w:val="20"/>
        </w:rPr>
        <w:t xml:space="preserve">ey </w:t>
      </w:r>
      <w:r w:rsidR="006C6950" w:rsidRPr="004D0DC2">
        <w:rPr>
          <w:rFonts w:eastAsia="Times New Roman" w:cs="Arial"/>
          <w:snapToGrid w:val="0"/>
          <w:szCs w:val="20"/>
        </w:rPr>
        <w:t>P</w:t>
      </w:r>
      <w:r w:rsidRPr="004D0DC2">
        <w:rPr>
          <w:rFonts w:eastAsia="Times New Roman" w:cs="Arial"/>
          <w:snapToGrid w:val="0"/>
          <w:szCs w:val="20"/>
        </w:rPr>
        <w:t>ersonnel must be capable of assisting the Project Manager in all aspects of project work.</w:t>
      </w:r>
    </w:p>
    <w:p w14:paraId="0E73BCE9" w14:textId="26F3452D" w:rsidR="00537458" w:rsidRPr="004D0DC2" w:rsidRDefault="00537458" w:rsidP="54EA1D9A">
      <w:pPr>
        <w:widowControl w:val="0"/>
        <w:tabs>
          <w:tab w:val="left" w:pos="720"/>
          <w:tab w:val="left" w:pos="1080"/>
          <w:tab w:val="left" w:pos="1440"/>
          <w:tab w:val="left" w:pos="1620"/>
        </w:tabs>
        <w:spacing w:before="240" w:after="240"/>
        <w:ind w:left="1080"/>
        <w:rPr>
          <w:rFonts w:eastAsia="Times New Roman" w:cs="Arial"/>
          <w:snapToGrid w:val="0"/>
        </w:rPr>
      </w:pPr>
      <w:r w:rsidRPr="54EA1D9A">
        <w:rPr>
          <w:rFonts w:eastAsia="Times New Roman" w:cs="Arial"/>
          <w:snapToGrid w:val="0"/>
        </w:rPr>
        <w:lastRenderedPageBreak/>
        <w:t xml:space="preserve">The bidder shall identify all key personnel proposed for each task by name, job position title, and the specific responsibilities assigned </w:t>
      </w:r>
      <w:r w:rsidR="6DBCD28D" w:rsidRPr="54EA1D9A">
        <w:rPr>
          <w:rFonts w:eastAsia="Times New Roman" w:cs="Arial"/>
          <w:snapToGrid w:val="0"/>
        </w:rPr>
        <w:t xml:space="preserve">to </w:t>
      </w:r>
      <w:r w:rsidRPr="54EA1D9A">
        <w:rPr>
          <w:rFonts w:eastAsia="Times New Roman" w:cs="Arial"/>
          <w:snapToGrid w:val="0"/>
        </w:rPr>
        <w:t>each individual.</w:t>
      </w:r>
    </w:p>
    <w:p w14:paraId="0922E7F3"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t>Changes to Key Personnel Requirements</w:t>
      </w:r>
    </w:p>
    <w:p w14:paraId="1B291CB0" w14:textId="53449DE2" w:rsidR="00537458" w:rsidRPr="004D0DC2" w:rsidRDefault="00537458" w:rsidP="00537458">
      <w:pPr>
        <w:spacing w:before="240" w:after="240"/>
        <w:ind w:left="720"/>
        <w:rPr>
          <w:rFonts w:cs="Arial"/>
          <w:szCs w:val="24"/>
        </w:rPr>
      </w:pPr>
      <w:r w:rsidRPr="004D0DC2">
        <w:rPr>
          <w:rFonts w:cs="Arial"/>
          <w:szCs w:val="24"/>
        </w:rPr>
        <w:t xml:space="preserve">The Technical Proposal must acknowledge and ensure that the successful bidder cannot change or </w:t>
      </w:r>
      <w:r w:rsidR="006F55B3" w:rsidRPr="004D0DC2">
        <w:rPr>
          <w:rFonts w:cs="Arial"/>
          <w:szCs w:val="24"/>
        </w:rPr>
        <w:t xml:space="preserve">substitute </w:t>
      </w:r>
      <w:r w:rsidRPr="004D0DC2">
        <w:rPr>
          <w:rFonts w:cs="Arial"/>
          <w:szCs w:val="24"/>
        </w:rPr>
        <w:t xml:space="preserve">the assigned Project Manager, Fiscal Manager, Key Personnel (including, subcontractors or independent consultants, if identified as Key Personnel) without the CDE Contract Monitor’s prior approval and formal amendment approved by the </w:t>
      </w:r>
      <w:r w:rsidR="007E71B9" w:rsidRPr="004D0DC2">
        <w:rPr>
          <w:rFonts w:cs="Arial"/>
          <w:szCs w:val="24"/>
        </w:rPr>
        <w:t>DGS</w:t>
      </w:r>
      <w:r w:rsidRPr="004D0DC2">
        <w:rPr>
          <w:rFonts w:cs="Arial"/>
          <w:szCs w:val="24"/>
        </w:rPr>
        <w:t>. The substitute Project Manager, Fiscal Manager and Key Personnel shall meet or exceed the qualifications and experience level of the previously assigned Project Manager, Fiscal Manager, and Key Personnel. The Technical Proposal must specify that the bidder will comply with the Changes to Key Personnel Requirements.</w:t>
      </w:r>
    </w:p>
    <w:p w14:paraId="133E4363"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t>Current Résumés</w:t>
      </w:r>
    </w:p>
    <w:p w14:paraId="56ABF053" w14:textId="77777777" w:rsidR="00537458" w:rsidRPr="004D0DC2" w:rsidRDefault="00537458" w:rsidP="00537458">
      <w:pPr>
        <w:pStyle w:val="ListParagraph"/>
        <w:widowControl w:val="0"/>
        <w:spacing w:before="240" w:after="240"/>
        <w:contextualSpacing w:val="0"/>
        <w:rPr>
          <w:rFonts w:eastAsia="Times New Roman" w:cs="Arial"/>
          <w:snapToGrid w:val="0"/>
          <w:szCs w:val="20"/>
        </w:rPr>
      </w:pPr>
      <w:r w:rsidRPr="004D0DC2">
        <w:rPr>
          <w:rFonts w:eastAsia="Times New Roman" w:cs="Arial"/>
          <w:snapToGrid w:val="0"/>
          <w:szCs w:val="20"/>
        </w:rPr>
        <w:t>Provide résumés for all Key Personnel (</w:t>
      </w:r>
      <w:r w:rsidRPr="004D0DC2">
        <w:rPr>
          <w:rFonts w:cs="Arial"/>
          <w:szCs w:val="24"/>
        </w:rPr>
        <w:t>Project Manager, Fiscal Manager, Key Personnel, subcontractors or independent consultants</w:t>
      </w:r>
      <w:r w:rsidRPr="004D0DC2">
        <w:rPr>
          <w:rFonts w:eastAsia="Times New Roman" w:cs="Arial"/>
          <w:snapToGrid w:val="0"/>
          <w:szCs w:val="20"/>
        </w:rPr>
        <w:t>) identified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w:t>
      </w:r>
    </w:p>
    <w:p w14:paraId="1D2F854F" w14:textId="77777777" w:rsidR="00537458" w:rsidRPr="004D0DC2" w:rsidRDefault="00537458" w:rsidP="00537458">
      <w:pPr>
        <w:widowControl w:val="0"/>
        <w:spacing w:before="240" w:after="240"/>
        <w:ind w:left="720"/>
        <w:rPr>
          <w:rFonts w:eastAsia="Times New Roman" w:cs="Arial"/>
          <w:snapToGrid w:val="0"/>
          <w:szCs w:val="20"/>
        </w:rPr>
      </w:pPr>
      <w:r w:rsidRPr="004D0DC2">
        <w:rPr>
          <w:rFonts w:eastAsia="Times New Roman" w:cs="Arial"/>
          <w:snapToGrid w:val="0"/>
          <w:szCs w:val="20"/>
        </w:rPr>
        <w:t>Résumés</w:t>
      </w:r>
      <w:r w:rsidRPr="004D0DC2" w:rsidDel="0001088D">
        <w:rPr>
          <w:rFonts w:eastAsia="Times New Roman" w:cs="Arial"/>
          <w:snapToGrid w:val="0"/>
          <w:szCs w:val="20"/>
        </w:rPr>
        <w:t xml:space="preserve"> </w:t>
      </w:r>
      <w:r w:rsidRPr="004D0DC2">
        <w:rPr>
          <w:rFonts w:eastAsia="Times New Roman" w:cs="Arial"/>
          <w:snapToGrid w:val="0"/>
          <w:szCs w:val="20"/>
        </w:rPr>
        <w:t>must be provided for the following, including but not limited to, the Project Manager, the Fiscal Manager, any subcontractors or independent consultants, managers, supervisors, and all other Key Personnel identified by the bidder.</w:t>
      </w:r>
    </w:p>
    <w:p w14:paraId="4319E36B" w14:textId="77777777" w:rsidR="00537458" w:rsidRPr="004D0DC2" w:rsidRDefault="00537458" w:rsidP="00537458">
      <w:pPr>
        <w:widowControl w:val="0"/>
        <w:spacing w:before="240" w:after="240"/>
        <w:ind w:left="720"/>
        <w:rPr>
          <w:rFonts w:eastAsia="Times New Roman" w:cs="Arial"/>
          <w:snapToGrid w:val="0"/>
          <w:szCs w:val="20"/>
        </w:rPr>
      </w:pPr>
      <w:r w:rsidRPr="004D0DC2">
        <w:rPr>
          <w:rFonts w:eastAsia="Times New Roman" w:cs="Arial"/>
          <w:snapToGrid w:val="0"/>
          <w:szCs w:val="20"/>
        </w:rPr>
        <w:t>To the extent possible, résumés should not include personal information such as social security number, home address, home telephone number, marital status, sex, birth date, etc.</w:t>
      </w:r>
    </w:p>
    <w:p w14:paraId="533650CB"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t>Subcontractors</w:t>
      </w:r>
    </w:p>
    <w:p w14:paraId="65C65C2D" w14:textId="4D7D9752" w:rsidR="00537458" w:rsidRPr="004D0DC2" w:rsidRDefault="00537458" w:rsidP="00537458">
      <w:pPr>
        <w:pStyle w:val="ListParagraph"/>
        <w:widowControl w:val="0"/>
        <w:spacing w:before="240" w:after="240"/>
        <w:contextualSpacing w:val="0"/>
        <w:rPr>
          <w:rFonts w:eastAsia="Times New Roman" w:cs="Arial"/>
          <w:snapToGrid w:val="0"/>
          <w:szCs w:val="20"/>
        </w:rPr>
      </w:pPr>
      <w:r w:rsidRPr="004D0DC2">
        <w:rPr>
          <w:rFonts w:eastAsia="Times New Roman" w:cs="Arial"/>
          <w:snapToGrid w:val="0"/>
          <w:szCs w:val="20"/>
        </w:rPr>
        <w:t xml:space="preserve">Provide the full legal names of all proposed subcontractors (see RFP, Section </w:t>
      </w:r>
      <w:r w:rsidR="009F49B9" w:rsidRPr="004D0DC2">
        <w:rPr>
          <w:rFonts w:eastAsia="Times New Roman" w:cs="Arial"/>
          <w:snapToGrid w:val="0"/>
          <w:szCs w:val="20"/>
        </w:rPr>
        <w:t>2</w:t>
      </w:r>
      <w:r w:rsidRPr="004D0DC2">
        <w:rPr>
          <w:rFonts w:eastAsia="Times New Roman" w:cs="Arial"/>
          <w:snapToGrid w:val="0"/>
          <w:szCs w:val="20"/>
        </w:rPr>
        <w:t>.8 for definition of “subcontractor”) that will be used to perform services. For each subcontractor, include:</w:t>
      </w:r>
    </w:p>
    <w:p w14:paraId="05CB21CA" w14:textId="136C8990" w:rsidR="00537458" w:rsidRPr="004D0DC2" w:rsidRDefault="00537458" w:rsidP="00537458">
      <w:pPr>
        <w:widowControl w:val="0"/>
        <w:numPr>
          <w:ilvl w:val="1"/>
          <w:numId w:val="6"/>
        </w:numPr>
        <w:spacing w:before="240" w:after="240"/>
        <w:ind w:left="1080"/>
        <w:rPr>
          <w:rFonts w:eastAsia="Times New Roman" w:cs="Arial"/>
          <w:snapToGrid w:val="0"/>
          <w:szCs w:val="20"/>
        </w:rPr>
      </w:pPr>
      <w:r w:rsidRPr="004D0DC2">
        <w:rPr>
          <w:rFonts w:eastAsia="Times New Roman" w:cs="Arial"/>
          <w:snapToGrid w:val="0"/>
          <w:szCs w:val="20"/>
        </w:rPr>
        <w:t xml:space="preserve">A clear description of the functions, activities, and responsibilities that will be performed by each subcontractor and/or independent </w:t>
      </w:r>
      <w:r w:rsidR="006F55B3" w:rsidRPr="004D0DC2">
        <w:rPr>
          <w:rFonts w:eastAsia="Times New Roman" w:cs="Arial"/>
          <w:snapToGrid w:val="0"/>
          <w:szCs w:val="20"/>
        </w:rPr>
        <w:t>consultant</w:t>
      </w:r>
      <w:r w:rsidRPr="004D0DC2">
        <w:rPr>
          <w:rFonts w:eastAsia="Times New Roman" w:cs="Arial"/>
          <w:snapToGrid w:val="0"/>
          <w:szCs w:val="20"/>
        </w:rPr>
        <w:t>.</w:t>
      </w:r>
    </w:p>
    <w:p w14:paraId="5CDBE406" w14:textId="56EB5573" w:rsidR="00537458" w:rsidRPr="004D0DC2" w:rsidRDefault="00537458" w:rsidP="54EA1D9A">
      <w:pPr>
        <w:widowControl w:val="0"/>
        <w:numPr>
          <w:ilvl w:val="1"/>
          <w:numId w:val="6"/>
        </w:numPr>
        <w:tabs>
          <w:tab w:val="left" w:pos="1080"/>
          <w:tab w:val="left" w:pos="1620"/>
        </w:tabs>
        <w:spacing w:before="240" w:after="240"/>
        <w:ind w:left="1080"/>
        <w:rPr>
          <w:rFonts w:eastAsia="Times New Roman" w:cs="Arial"/>
          <w:snapToGrid w:val="0"/>
        </w:rPr>
      </w:pPr>
      <w:r w:rsidRPr="54EA1D9A">
        <w:rPr>
          <w:rFonts w:eastAsia="Times New Roman" w:cs="Arial"/>
          <w:snapToGrid w:val="0"/>
        </w:rPr>
        <w:t>A brief explanation as to why the subcontractor or independent consultant was selected including expertise, knowledge, specialty, experience, etc.</w:t>
      </w:r>
    </w:p>
    <w:p w14:paraId="7AC7A95F" w14:textId="2759F059" w:rsidR="00537458" w:rsidRPr="004D0DC2" w:rsidRDefault="00537458" w:rsidP="54EA1D9A">
      <w:pPr>
        <w:widowControl w:val="0"/>
        <w:numPr>
          <w:ilvl w:val="1"/>
          <w:numId w:val="6"/>
        </w:numPr>
        <w:tabs>
          <w:tab w:val="left" w:pos="1080"/>
          <w:tab w:val="left" w:pos="1620"/>
        </w:tabs>
        <w:spacing w:before="240" w:after="240"/>
        <w:ind w:left="1080"/>
        <w:rPr>
          <w:rFonts w:eastAsia="Times New Roman" w:cs="Arial"/>
          <w:snapToGrid w:val="0"/>
        </w:rPr>
      </w:pPr>
      <w:r w:rsidRPr="54EA1D9A">
        <w:rPr>
          <w:rFonts w:eastAsia="Times New Roman" w:cs="Arial"/>
          <w:snapToGrid w:val="0"/>
        </w:rPr>
        <w:t xml:space="preserve">A résumé for each </w:t>
      </w:r>
      <w:r w:rsidR="4FF11497" w:rsidRPr="54EA1D9A">
        <w:rPr>
          <w:rFonts w:eastAsia="Times New Roman" w:cs="Arial"/>
          <w:snapToGrid w:val="0"/>
        </w:rPr>
        <w:t xml:space="preserve">of the </w:t>
      </w:r>
      <w:r w:rsidRPr="54EA1D9A">
        <w:rPr>
          <w:rFonts w:eastAsia="Times New Roman" w:cs="Arial"/>
          <w:snapToGrid w:val="0"/>
        </w:rPr>
        <w:t xml:space="preserve">subcontractor’s Key Personnel and independent consultants. To the extent possible, résumés should not include personal information such as social security number, home address, home telephone number, marital status, sex, birthdate, etc. All subcontractors must conform to all requirements of this RFP. (Refer to RFP, Section </w:t>
      </w:r>
      <w:r w:rsidR="009F49B9" w:rsidRPr="54EA1D9A">
        <w:rPr>
          <w:rFonts w:eastAsia="Times New Roman" w:cs="Arial"/>
          <w:snapToGrid w:val="0"/>
        </w:rPr>
        <w:t>2</w:t>
      </w:r>
      <w:r w:rsidRPr="54EA1D9A">
        <w:rPr>
          <w:rFonts w:eastAsia="Times New Roman" w:cs="Arial"/>
          <w:snapToGrid w:val="0"/>
        </w:rPr>
        <w:t>.8 for the definition of “subcontractor”)</w:t>
      </w:r>
      <w:r w:rsidR="006C6950" w:rsidRPr="54EA1D9A">
        <w:rPr>
          <w:rFonts w:eastAsia="Times New Roman" w:cs="Arial"/>
          <w:snapToGrid w:val="0"/>
        </w:rPr>
        <w:t>.</w:t>
      </w:r>
    </w:p>
    <w:p w14:paraId="58B990A1" w14:textId="0A69D686" w:rsidR="00537458" w:rsidRPr="004D0DC2" w:rsidRDefault="00537458" w:rsidP="00537458">
      <w:pPr>
        <w:widowControl w:val="0"/>
        <w:numPr>
          <w:ilvl w:val="1"/>
          <w:numId w:val="6"/>
        </w:numPr>
        <w:tabs>
          <w:tab w:val="left" w:pos="1080"/>
        </w:tabs>
        <w:spacing w:before="240" w:after="240"/>
        <w:ind w:left="1080"/>
        <w:rPr>
          <w:rFonts w:eastAsia="Times New Roman" w:cs="Arial"/>
          <w:snapToGrid w:val="0"/>
          <w:szCs w:val="20"/>
        </w:rPr>
      </w:pPr>
      <w:r w:rsidRPr="004D0DC2">
        <w:rPr>
          <w:rFonts w:eastAsia="Times New Roman" w:cs="Arial"/>
          <w:snapToGrid w:val="0"/>
          <w:szCs w:val="20"/>
        </w:rPr>
        <w:t xml:space="preserve">A commitment letter, signed by an official representative of each subcontractor or </w:t>
      </w:r>
      <w:r w:rsidRPr="004D0DC2">
        <w:rPr>
          <w:rFonts w:eastAsia="Times New Roman" w:cs="Arial"/>
          <w:snapToGrid w:val="0"/>
          <w:szCs w:val="20"/>
        </w:rPr>
        <w:lastRenderedPageBreak/>
        <w:t xml:space="preserve">independent consultant, acknowledging their intended participation/availability and confirmation that they have been made aware of the terms and conditions of the proposed contract. </w:t>
      </w:r>
      <w:r w:rsidRPr="004D0DC2">
        <w:rPr>
          <w:rFonts w:cs="Arial"/>
        </w:rPr>
        <w:t xml:space="preserve">A commitment letter is required for all subcontractors. No cost should be included in the </w:t>
      </w:r>
      <w:r w:rsidR="006F55B3" w:rsidRPr="004D0DC2">
        <w:rPr>
          <w:rFonts w:cs="Arial"/>
        </w:rPr>
        <w:t>commitment</w:t>
      </w:r>
      <w:r w:rsidRPr="004D0DC2">
        <w:rPr>
          <w:rFonts w:cs="Arial"/>
        </w:rPr>
        <w:t xml:space="preserve"> </w:t>
      </w:r>
      <w:r w:rsidR="001249C1">
        <w:rPr>
          <w:rFonts w:cs="Arial"/>
        </w:rPr>
        <w:t xml:space="preserve">letter </w:t>
      </w:r>
      <w:r w:rsidRPr="004D0DC2">
        <w:rPr>
          <w:rFonts w:cs="Arial"/>
        </w:rPr>
        <w:t xml:space="preserve">(Refer to RFP, Section </w:t>
      </w:r>
      <w:r w:rsidR="009F49B9" w:rsidRPr="004D0DC2">
        <w:rPr>
          <w:rFonts w:cs="Arial"/>
        </w:rPr>
        <w:t>3</w:t>
      </w:r>
      <w:r w:rsidRPr="004D0DC2">
        <w:rPr>
          <w:rFonts w:cs="Arial"/>
        </w:rPr>
        <w:t>.2</w:t>
      </w:r>
      <w:r w:rsidR="00D6522A" w:rsidRPr="004D0DC2">
        <w:rPr>
          <w:rFonts w:cs="Arial"/>
        </w:rPr>
        <w:t>.</w:t>
      </w:r>
      <w:r w:rsidR="009B75B7" w:rsidRPr="004D0DC2">
        <w:rPr>
          <w:rFonts w:cs="Arial"/>
        </w:rPr>
        <w:t>10</w:t>
      </w:r>
      <w:r w:rsidRPr="004D0DC2">
        <w:rPr>
          <w:rFonts w:cs="Arial"/>
        </w:rPr>
        <w:t>)</w:t>
      </w:r>
      <w:r w:rsidR="00D6522A" w:rsidRPr="004D0DC2">
        <w:rPr>
          <w:rFonts w:cs="Arial"/>
        </w:rPr>
        <w:t>.</w:t>
      </w:r>
    </w:p>
    <w:p w14:paraId="61EE58B6" w14:textId="6DC1D739" w:rsidR="00537458" w:rsidRPr="004D0DC2" w:rsidRDefault="00537458" w:rsidP="00537458">
      <w:pPr>
        <w:widowControl w:val="0"/>
        <w:numPr>
          <w:ilvl w:val="1"/>
          <w:numId w:val="6"/>
        </w:numPr>
        <w:tabs>
          <w:tab w:val="left" w:pos="1080"/>
          <w:tab w:val="left" w:pos="1440"/>
        </w:tabs>
        <w:spacing w:before="240" w:after="240"/>
        <w:ind w:left="1080"/>
        <w:rPr>
          <w:rFonts w:cs="Arial"/>
        </w:rPr>
      </w:pPr>
      <w:r w:rsidRPr="004D0DC2">
        <w:rPr>
          <w:rFonts w:cs="Arial"/>
        </w:rPr>
        <w:t xml:space="preserve">All proposed subcontractors must be listed on the GSPD-05-105 form. </w:t>
      </w:r>
      <w:r w:rsidRPr="004D0DC2">
        <w:rPr>
          <w:rFonts w:eastAsia="Times New Roman" w:cs="Arial"/>
          <w:snapToGrid w:val="0"/>
          <w:szCs w:val="20"/>
        </w:rPr>
        <w:t xml:space="preserve">The full legal names of all proposed subcontractors (including independent consultants) that will be used to perform services on the Bidder Declaration (GSPD-05-105) in accordance with the instructions stated on the form (Refer to RFP, Section </w:t>
      </w:r>
      <w:r w:rsidR="009F49B9" w:rsidRPr="004D0DC2">
        <w:rPr>
          <w:rFonts w:eastAsia="Times New Roman" w:cs="Arial"/>
          <w:snapToGrid w:val="0"/>
          <w:szCs w:val="20"/>
        </w:rPr>
        <w:t>3</w:t>
      </w:r>
      <w:r w:rsidRPr="004D0DC2">
        <w:rPr>
          <w:rFonts w:eastAsia="Times New Roman" w:cs="Arial"/>
          <w:snapToGrid w:val="0"/>
          <w:szCs w:val="20"/>
        </w:rPr>
        <w:t>.2</w:t>
      </w:r>
      <w:r w:rsidR="00D6522A" w:rsidRPr="004D0DC2">
        <w:rPr>
          <w:rFonts w:eastAsia="Times New Roman" w:cs="Arial"/>
          <w:snapToGrid w:val="0"/>
          <w:szCs w:val="20"/>
        </w:rPr>
        <w:t>.</w:t>
      </w:r>
      <w:r w:rsidR="009B75B7" w:rsidRPr="004D0DC2">
        <w:rPr>
          <w:rFonts w:eastAsia="Times New Roman" w:cs="Arial"/>
          <w:snapToGrid w:val="0"/>
          <w:szCs w:val="20"/>
        </w:rPr>
        <w:t>9</w:t>
      </w:r>
      <w:r w:rsidRPr="004D0DC2">
        <w:rPr>
          <w:rFonts w:eastAsia="Times New Roman" w:cs="Arial"/>
          <w:snapToGrid w:val="0"/>
          <w:szCs w:val="20"/>
        </w:rPr>
        <w:t>).</w:t>
      </w:r>
    </w:p>
    <w:p w14:paraId="0FCE315C" w14:textId="77777777" w:rsidR="00537458" w:rsidRPr="004D0DC2" w:rsidRDefault="00537458" w:rsidP="00EC58E1">
      <w:pPr>
        <w:pStyle w:val="ListParagraph"/>
        <w:widowControl w:val="0"/>
        <w:numPr>
          <w:ilvl w:val="0"/>
          <w:numId w:val="23"/>
        </w:numPr>
        <w:spacing w:before="240" w:after="240"/>
        <w:ind w:hanging="720"/>
        <w:contextualSpacing w:val="0"/>
        <w:rPr>
          <w:rFonts w:eastAsia="Times New Roman" w:cs="Arial"/>
          <w:snapToGrid w:val="0"/>
          <w:szCs w:val="20"/>
        </w:rPr>
      </w:pPr>
      <w:r w:rsidRPr="004D0DC2">
        <w:rPr>
          <w:rFonts w:eastAsia="Times New Roman" w:cs="Arial"/>
          <w:snapToGrid w:val="0"/>
          <w:szCs w:val="20"/>
        </w:rPr>
        <w:t>Organization Chart</w:t>
      </w:r>
    </w:p>
    <w:p w14:paraId="744857D5" w14:textId="77777777" w:rsidR="00537458" w:rsidRPr="004D0DC2" w:rsidRDefault="00537458" w:rsidP="00537458">
      <w:pPr>
        <w:pStyle w:val="ListParagraph"/>
        <w:widowControl w:val="0"/>
        <w:rPr>
          <w:rFonts w:cs="Arial"/>
          <w:strike/>
          <w:szCs w:val="24"/>
        </w:rPr>
      </w:pPr>
      <w:r w:rsidRPr="004D0DC2">
        <w:rPr>
          <w:rFonts w:cs="Arial"/>
          <w:szCs w:val="24"/>
        </w:rPr>
        <w:t>Include an organization chart showing the hierarchy of Key Personnel working on this project. The organization chart must show the relationship between the bidders’ Project Manager, Fiscal Manager, and all Key Personnel of the bidder’s organization and all other parties (subcontractors and/or independent consultants) that will have primary responsibility for managing, directing, overseeing and/or conducting the work of the project.</w:t>
      </w:r>
    </w:p>
    <w:p w14:paraId="165E762D" w14:textId="77777777" w:rsidR="00537458" w:rsidRPr="004D0DC2" w:rsidRDefault="00537458" w:rsidP="00537458">
      <w:pPr>
        <w:pStyle w:val="ListParagraph"/>
        <w:widowControl w:val="0"/>
        <w:spacing w:before="240" w:after="240"/>
        <w:contextualSpacing w:val="0"/>
        <w:rPr>
          <w:rFonts w:cs="Arial"/>
          <w:szCs w:val="24"/>
        </w:rPr>
      </w:pPr>
      <w:r w:rsidRPr="004D0DC2">
        <w:rPr>
          <w:rFonts w:cs="Arial"/>
          <w:szCs w:val="24"/>
        </w:rPr>
        <w:t>Additionally, the organization chart must include for the prime contractor, the job position title and name of Key Personnel, subcontractors and/or independent consultants identified above, as well as, the job position title and name of each supervisor who has approval authority over Key Personnel, subcontractors and/or independent consultants and the relationship of the individuals to the bidder, i.e., bidder, bidder’s employee, subcontractor, or subcontractor’s employee. In addition, the subcontractor must identify the supervisor who has approval authority over their Key Personnel.</w:t>
      </w:r>
    </w:p>
    <w:p w14:paraId="40E85020" w14:textId="77777777" w:rsidR="00537458" w:rsidRPr="004D0DC2" w:rsidRDefault="00537458" w:rsidP="00EC58E1">
      <w:pPr>
        <w:pStyle w:val="ListParagraph"/>
        <w:widowControl w:val="0"/>
        <w:numPr>
          <w:ilvl w:val="0"/>
          <w:numId w:val="23"/>
        </w:numPr>
        <w:spacing w:before="240" w:after="240"/>
        <w:ind w:hanging="720"/>
        <w:contextualSpacing w:val="0"/>
        <w:rPr>
          <w:rFonts w:cs="Arial"/>
        </w:rPr>
      </w:pPr>
      <w:r w:rsidRPr="004D0DC2">
        <w:rPr>
          <w:rFonts w:cs="Arial"/>
        </w:rPr>
        <w:t>Staffing Labor Hours by Task and Subtask</w:t>
      </w:r>
    </w:p>
    <w:p w14:paraId="2B56A2CF" w14:textId="77889496" w:rsidR="00537458" w:rsidRPr="004D0DC2" w:rsidRDefault="00537458" w:rsidP="00537458">
      <w:pPr>
        <w:pStyle w:val="ListParagraph"/>
        <w:widowControl w:val="0"/>
        <w:spacing w:before="240" w:after="240"/>
        <w:contextualSpacing w:val="0"/>
        <w:rPr>
          <w:rFonts w:cs="Arial"/>
        </w:rPr>
      </w:pPr>
      <w:r w:rsidRPr="004D0DC2">
        <w:rPr>
          <w:rFonts w:cs="Arial"/>
        </w:rPr>
        <w:t>For each individual and job position title</w:t>
      </w:r>
      <w:r w:rsidR="006F4AA2" w:rsidRPr="004D0DC2">
        <w:rPr>
          <w:rFonts w:cs="Arial"/>
        </w:rPr>
        <w:t xml:space="preserve"> (including Project Manager, Fiscal Manager, and any key personnel),</w:t>
      </w:r>
      <w:r w:rsidRPr="004D0DC2">
        <w:rPr>
          <w:rFonts w:cs="Arial"/>
        </w:rPr>
        <w:t xml:space="preserve"> include the specific tasks and subtasks each individual/job position title that will perform services</w:t>
      </w:r>
      <w:r w:rsidR="001F7561" w:rsidRPr="004D0DC2">
        <w:rPr>
          <w:rFonts w:cs="Arial"/>
        </w:rPr>
        <w:t>,</w:t>
      </w:r>
      <w:r w:rsidRPr="004D0DC2">
        <w:rPr>
          <w:rFonts w:cs="Arial"/>
        </w:rPr>
        <w:t xml:space="preserve"> and the specific number of labor hours the individual/job position title will devote to each task and subtask contained in Section </w:t>
      </w:r>
      <w:r w:rsidR="00DC395C" w:rsidRPr="004D0DC2">
        <w:rPr>
          <w:rFonts w:cs="Arial"/>
        </w:rPr>
        <w:t>7</w:t>
      </w:r>
      <w:r w:rsidRPr="004D0DC2">
        <w:rPr>
          <w:rFonts w:cs="Arial"/>
        </w:rPr>
        <w:t xml:space="preserve"> Scope of Project. Please refer to </w:t>
      </w:r>
      <w:r w:rsidR="00177E8B" w:rsidRPr="004D0DC2">
        <w:rPr>
          <w:rFonts w:cs="Arial"/>
        </w:rPr>
        <w:t>RFP Section 3.2</w:t>
      </w:r>
      <w:r w:rsidR="00D6522A" w:rsidRPr="004D0DC2">
        <w:rPr>
          <w:rFonts w:cs="Arial"/>
        </w:rPr>
        <w:t>.</w:t>
      </w:r>
      <w:r w:rsidR="005E7F9B" w:rsidRPr="004D0DC2">
        <w:rPr>
          <w:rFonts w:cs="Arial"/>
        </w:rPr>
        <w:t>3</w:t>
      </w:r>
      <w:r w:rsidR="00177E8B" w:rsidRPr="004D0DC2">
        <w:rPr>
          <w:rFonts w:cs="Arial"/>
        </w:rPr>
        <w:t xml:space="preserve"> and </w:t>
      </w:r>
      <w:r w:rsidRPr="004D0DC2">
        <w:rPr>
          <w:rFonts w:cs="Arial"/>
        </w:rPr>
        <w:t xml:space="preserve">Attachment </w:t>
      </w:r>
      <w:r w:rsidR="005E7F9B" w:rsidRPr="004D0DC2">
        <w:rPr>
          <w:rFonts w:cs="Arial"/>
        </w:rPr>
        <w:t>4</w:t>
      </w:r>
      <w:r w:rsidRPr="004D0DC2">
        <w:rPr>
          <w:rFonts w:cs="Arial"/>
        </w:rPr>
        <w:t xml:space="preserve">, Sample Technical Proposal Staffing Labor Hours Worksheets. A Staffing Labor Hours Worksheet (Attachment </w:t>
      </w:r>
      <w:r w:rsidR="005E7F9B" w:rsidRPr="004D0DC2">
        <w:rPr>
          <w:rFonts w:cs="Arial"/>
        </w:rPr>
        <w:t>4</w:t>
      </w:r>
      <w:r w:rsidRPr="004D0DC2">
        <w:rPr>
          <w:rFonts w:cs="Arial"/>
        </w:rPr>
        <w:t xml:space="preserve">) must be completed for each fiscal year covered under this contract or part thereof. The labor hours specified in the Staffing Labor Hours Worksheet (Attachment </w:t>
      </w:r>
      <w:r w:rsidR="005E7F9B" w:rsidRPr="004D0DC2">
        <w:rPr>
          <w:rFonts w:cs="Arial"/>
        </w:rPr>
        <w:t>4</w:t>
      </w:r>
      <w:r w:rsidRPr="004D0DC2">
        <w:rPr>
          <w:rFonts w:cs="Arial"/>
        </w:rPr>
        <w:t>) must correlate with the labor hours contained in the Cost Proposal.</w:t>
      </w:r>
    </w:p>
    <w:p w14:paraId="35B0A81B" w14:textId="072EA344" w:rsidR="00537458" w:rsidRPr="004D0DC2" w:rsidRDefault="00537458" w:rsidP="00537458">
      <w:pPr>
        <w:pStyle w:val="ListParagraph"/>
        <w:widowControl w:val="0"/>
        <w:spacing w:before="240" w:after="240"/>
        <w:contextualSpacing w:val="0"/>
        <w:rPr>
          <w:rFonts w:cs="Arial"/>
        </w:rPr>
      </w:pPr>
      <w:r w:rsidRPr="004D0DC2">
        <w:rPr>
          <w:rFonts w:cs="Arial"/>
        </w:rPr>
        <w:t>Do not include cost information with the Technical Proposal. Cost information included in any section or in any required attachment to the Technical Proposal may result in disqualification and removal of the proposal from further review at the sole discretion of the CDE.</w:t>
      </w:r>
    </w:p>
    <w:p w14:paraId="552DE388" w14:textId="77777777" w:rsidR="00537458" w:rsidRPr="004D0DC2" w:rsidRDefault="00537458" w:rsidP="00EC58E1">
      <w:pPr>
        <w:pStyle w:val="ListParagraph"/>
        <w:numPr>
          <w:ilvl w:val="0"/>
          <w:numId w:val="23"/>
        </w:numPr>
        <w:spacing w:before="240" w:after="240"/>
        <w:ind w:hanging="720"/>
        <w:contextualSpacing w:val="0"/>
        <w:rPr>
          <w:rFonts w:cs="Arial"/>
        </w:rPr>
      </w:pPr>
      <w:r w:rsidRPr="004D0DC2">
        <w:rPr>
          <w:rFonts w:cs="Arial"/>
        </w:rPr>
        <w:t>Subcontractor Labor Hours by Task and Subtask</w:t>
      </w:r>
    </w:p>
    <w:p w14:paraId="5C7EBC6F" w14:textId="65AB015A" w:rsidR="00537458" w:rsidRPr="004D0DC2" w:rsidRDefault="00537458" w:rsidP="00537458">
      <w:pPr>
        <w:pStyle w:val="ListParagraph"/>
        <w:tabs>
          <w:tab w:val="left" w:pos="720"/>
          <w:tab w:val="left" w:pos="1080"/>
        </w:tabs>
        <w:spacing w:before="240" w:after="240"/>
        <w:contextualSpacing w:val="0"/>
        <w:rPr>
          <w:rFonts w:cs="Arial"/>
        </w:rPr>
      </w:pPr>
      <w:r w:rsidRPr="004D0DC2">
        <w:rPr>
          <w:rFonts w:cs="Arial"/>
        </w:rPr>
        <w:t xml:space="preserve">If subcontractors (See RFP, Section </w:t>
      </w:r>
      <w:r w:rsidR="00F94052" w:rsidRPr="004D0DC2">
        <w:rPr>
          <w:rFonts w:cs="Arial"/>
        </w:rPr>
        <w:t>2</w:t>
      </w:r>
      <w:r w:rsidRPr="004D0DC2">
        <w:rPr>
          <w:rFonts w:cs="Arial"/>
        </w:rPr>
        <w:t xml:space="preserve">.8 for definition of “subcontractors”) are being used, separate Technical Proposal Staffing Labor Hours Worksheets (Attachment </w:t>
      </w:r>
      <w:r w:rsidR="005E7F9B" w:rsidRPr="004D0DC2">
        <w:rPr>
          <w:rFonts w:cs="Arial"/>
        </w:rPr>
        <w:t>4</w:t>
      </w:r>
      <w:r w:rsidRPr="004D0DC2">
        <w:rPr>
          <w:rFonts w:cs="Arial"/>
        </w:rPr>
        <w:t xml:space="preserve">) must be completed for each subcontractor. For each subcontractor identify each individual and job position title, include the specific tasks and subtasks each individual/job position title that </w:t>
      </w:r>
      <w:r w:rsidRPr="004D0DC2">
        <w:rPr>
          <w:rFonts w:cs="Arial"/>
        </w:rPr>
        <w:lastRenderedPageBreak/>
        <w:t>will perform services</w:t>
      </w:r>
      <w:r w:rsidR="00616DA2" w:rsidRPr="004D0DC2">
        <w:rPr>
          <w:rFonts w:cs="Arial"/>
        </w:rPr>
        <w:t>,</w:t>
      </w:r>
      <w:r w:rsidRPr="004D0DC2">
        <w:rPr>
          <w:rFonts w:cs="Arial"/>
        </w:rPr>
        <w:t xml:space="preserve"> and the specific number of labor hours the individual/job position title will devote to each task and subtask contained in Section </w:t>
      </w:r>
      <w:r w:rsidR="00DC395C" w:rsidRPr="004D0DC2">
        <w:rPr>
          <w:rFonts w:cs="Arial"/>
        </w:rPr>
        <w:t>7</w:t>
      </w:r>
      <w:r w:rsidRPr="004D0DC2">
        <w:rPr>
          <w:rFonts w:cs="Arial"/>
        </w:rPr>
        <w:t xml:space="preserve"> Scope of Project. A Staffing Labor Hours Worksheet must be completed for each fiscal year contained in this contract or part thereof. The labor hours specified in the Technical Proposal Staffing Labor Hours Worksheet (Attachment </w:t>
      </w:r>
      <w:r w:rsidR="005E7F9B" w:rsidRPr="004D0DC2">
        <w:rPr>
          <w:rFonts w:cs="Arial"/>
        </w:rPr>
        <w:t>4</w:t>
      </w:r>
      <w:r w:rsidRPr="004D0DC2">
        <w:rPr>
          <w:rFonts w:cs="Arial"/>
        </w:rPr>
        <w:t>) must correlate with the labor hours contained in the Cost Proposal.</w:t>
      </w:r>
    </w:p>
    <w:p w14:paraId="050FDAF9" w14:textId="335F87ED" w:rsidR="00537458" w:rsidRPr="004D0DC2" w:rsidRDefault="00537458" w:rsidP="00537458">
      <w:pPr>
        <w:spacing w:before="240" w:after="240"/>
        <w:ind w:left="720"/>
        <w:rPr>
          <w:rFonts w:cs="Arial"/>
        </w:rPr>
      </w:pPr>
      <w:r w:rsidRPr="004D0DC2">
        <w:rPr>
          <w:rFonts w:cs="Arial"/>
        </w:rPr>
        <w:t xml:space="preserve">In the event that a specific subcontractor does not perform a task by hours (for example a printer) but rather they charge by the job, then the bidder may list “0” hours and make a notation on Attachment </w:t>
      </w:r>
      <w:r w:rsidR="005E7F9B" w:rsidRPr="004D0DC2">
        <w:rPr>
          <w:rFonts w:cs="Arial"/>
        </w:rPr>
        <w:t>4</w:t>
      </w:r>
      <w:r w:rsidRPr="004D0DC2">
        <w:rPr>
          <w:rFonts w:cs="Arial"/>
        </w:rPr>
        <w:t xml:space="preserve"> to that effect without including any costs.</w:t>
      </w:r>
    </w:p>
    <w:p w14:paraId="4C504478" w14:textId="77777777" w:rsidR="00537458" w:rsidRPr="004D0DC2" w:rsidRDefault="00537458" w:rsidP="00B92667">
      <w:pPr>
        <w:spacing w:before="240"/>
        <w:ind w:left="720"/>
        <w:rPr>
          <w:rFonts w:cs="Arial"/>
          <w:i/>
        </w:rPr>
      </w:pPr>
      <w:r w:rsidRPr="004D0DC2">
        <w:rPr>
          <w:rFonts w:cs="Arial"/>
        </w:rPr>
        <w:t>For example:</w:t>
      </w:r>
    </w:p>
    <w:p w14:paraId="3E5F8A68" w14:textId="77777777" w:rsidR="00537458" w:rsidRPr="004D0DC2" w:rsidRDefault="00537458" w:rsidP="00B92667">
      <w:pPr>
        <w:ind w:left="720"/>
        <w:rPr>
          <w:rFonts w:cs="Arial"/>
          <w:i/>
        </w:rPr>
      </w:pPr>
      <w:r w:rsidRPr="004D0DC2">
        <w:rPr>
          <w:rFonts w:cs="Arial"/>
          <w:i/>
        </w:rPr>
        <w:t>“Printer company name*: Task 2, 0 hours</w:t>
      </w:r>
    </w:p>
    <w:p w14:paraId="724D9750" w14:textId="77777777" w:rsidR="00537458" w:rsidRPr="004D0DC2" w:rsidRDefault="00537458" w:rsidP="00B92667">
      <w:pPr>
        <w:spacing w:after="240"/>
        <w:ind w:left="720"/>
        <w:rPr>
          <w:rFonts w:eastAsia="Times New Roman" w:cs="Arial"/>
          <w:snapToGrid w:val="0"/>
          <w:szCs w:val="20"/>
        </w:rPr>
      </w:pPr>
      <w:r w:rsidRPr="004D0DC2">
        <w:rPr>
          <w:rFonts w:cs="Arial"/>
          <w:i/>
        </w:rPr>
        <w:t>*Printer will not charge hourly, but by print job.”</w:t>
      </w:r>
    </w:p>
    <w:p w14:paraId="25B2C89B" w14:textId="23C867CD" w:rsidR="00537458" w:rsidRPr="004D0DC2" w:rsidRDefault="00537458" w:rsidP="54EA1D9A">
      <w:pPr>
        <w:pStyle w:val="ListParagraph"/>
        <w:widowControl w:val="0"/>
        <w:spacing w:before="240" w:after="240"/>
        <w:rPr>
          <w:rFonts w:eastAsia="Times New Roman" w:cs="Arial"/>
          <w:snapToGrid w:val="0"/>
        </w:rPr>
      </w:pPr>
      <w:r w:rsidRPr="54EA1D9A">
        <w:rPr>
          <w:rFonts w:cs="Arial"/>
        </w:rPr>
        <w:t xml:space="preserve">Do not include cost information </w:t>
      </w:r>
      <w:r w:rsidR="4AEAEFA7" w:rsidRPr="54EA1D9A">
        <w:rPr>
          <w:rFonts w:cs="Arial"/>
        </w:rPr>
        <w:t>in</w:t>
      </w:r>
      <w:r w:rsidRPr="54EA1D9A">
        <w:rPr>
          <w:rFonts w:cs="Arial"/>
        </w:rPr>
        <w:t xml:space="preserve"> the Technical Proposal. Cost information included in any section or in any required attachment to the Technical Proposal may result in disqualification and removal of the proposal from further review at the sole discretion of the CDE.</w:t>
      </w:r>
    </w:p>
    <w:p w14:paraId="56C6B58E" w14:textId="76A20637" w:rsidR="00537458" w:rsidRPr="004D0DC2" w:rsidRDefault="00537458" w:rsidP="00537458">
      <w:pPr>
        <w:pStyle w:val="Heading4"/>
        <w:rPr>
          <w:rFonts w:eastAsia="Times New Roman"/>
          <w:snapToGrid w:val="0"/>
        </w:rPr>
      </w:pPr>
      <w:r w:rsidRPr="004D0DC2">
        <w:rPr>
          <w:rFonts w:eastAsia="Times New Roman"/>
          <w:snapToGrid w:val="0"/>
        </w:rPr>
        <w:t>3.1.4 Capacity</w:t>
      </w:r>
    </w:p>
    <w:p w14:paraId="202FDADC" w14:textId="77777777" w:rsidR="00537458" w:rsidRPr="004D0DC2" w:rsidRDefault="00537458" w:rsidP="00537458">
      <w:pPr>
        <w:widowControl w:val="0"/>
        <w:spacing w:before="240" w:after="240"/>
        <w:rPr>
          <w:rFonts w:eastAsia="Times New Roman" w:cs="Arial"/>
          <w:snapToGrid w:val="0"/>
          <w:szCs w:val="20"/>
        </w:rPr>
      </w:pPr>
      <w:r w:rsidRPr="004D0DC2">
        <w:rPr>
          <w:rFonts w:eastAsia="Times New Roman" w:cs="Arial"/>
          <w:snapToGrid w:val="0"/>
          <w:szCs w:val="20"/>
        </w:rPr>
        <w:t>The Technical Proposal must describe and demonstrate in detail the bidder’s capacity and ability to perform and administer all tasks related to this project. If the bidder will be subcontracting a portion of the work, the Technical Proposal must describe and demonstrate in detail the subcontractor’s capacity and ability to perform the portion of the work in which the subcontractor will be involved.</w:t>
      </w:r>
    </w:p>
    <w:p w14:paraId="04230681" w14:textId="342CA912" w:rsidR="00537458" w:rsidRPr="002171EE" w:rsidRDefault="00537458" w:rsidP="004F4F2E">
      <w:pPr>
        <w:spacing w:after="240"/>
      </w:pPr>
      <w:r w:rsidRPr="004D0DC2">
        <w:t xml:space="preserve">As outlined in Section </w:t>
      </w:r>
      <w:r w:rsidR="00F94052" w:rsidRPr="004D0DC2">
        <w:t>2</w:t>
      </w:r>
      <w:r w:rsidRPr="004D0DC2">
        <w:t xml:space="preserve">.2, Minimum Qualifications for Bidders, the successful bidder must have the capacity and experience to conduct the work outlined in Section </w:t>
      </w:r>
      <w:r w:rsidR="001B23D5" w:rsidRPr="004D0DC2">
        <w:t>7</w:t>
      </w:r>
      <w:r w:rsidRPr="004D0DC2">
        <w:t xml:space="preserve"> of this </w:t>
      </w:r>
      <w:r w:rsidRPr="002171EE">
        <w:t xml:space="preserve">RFP. The Technical Proposal must describe the bidder’s capacity and experience with respect to conducting the following types of activities, additionally bidders must have a minimum of three years </w:t>
      </w:r>
      <w:r w:rsidRPr="002171EE">
        <w:rPr>
          <w:rFonts w:eastAsia="Times New Roman"/>
          <w:snapToGrid w:val="0"/>
          <w:szCs w:val="20"/>
        </w:rPr>
        <w:t>(within the last five years</w:t>
      </w:r>
      <w:r w:rsidR="00DC74D7" w:rsidRPr="002171EE">
        <w:t xml:space="preserve">) </w:t>
      </w:r>
      <w:r w:rsidRPr="002171EE">
        <w:t>of full-time experience in:</w:t>
      </w:r>
    </w:p>
    <w:p w14:paraId="4EBD2B40" w14:textId="77777777" w:rsidR="00537458" w:rsidRPr="002171EE" w:rsidRDefault="00537458" w:rsidP="004F4F2E">
      <w:pPr>
        <w:pStyle w:val="ListParagraph"/>
        <w:numPr>
          <w:ilvl w:val="1"/>
          <w:numId w:val="35"/>
        </w:numPr>
        <w:ind w:left="720" w:hanging="360"/>
        <w:contextualSpacing w:val="0"/>
        <w:rPr>
          <w:rFonts w:eastAsia="Times New Roman"/>
          <w:snapToGrid w:val="0"/>
        </w:rPr>
      </w:pPr>
      <w:r w:rsidRPr="002171EE">
        <w:rPr>
          <w:rFonts w:eastAsia="Times New Roman"/>
          <w:snapToGrid w:val="0"/>
        </w:rPr>
        <w:t>Large-scale (above a million dollars annually) adult education and/or professional development,</w:t>
      </w:r>
    </w:p>
    <w:p w14:paraId="4A310C6B" w14:textId="77777777" w:rsidR="00537458" w:rsidRPr="002171EE" w:rsidRDefault="00537458" w:rsidP="00132985">
      <w:pPr>
        <w:pStyle w:val="ListParagraph"/>
        <w:numPr>
          <w:ilvl w:val="1"/>
          <w:numId w:val="35"/>
        </w:numPr>
        <w:spacing w:after="240"/>
        <w:ind w:left="720" w:hanging="360"/>
        <w:contextualSpacing w:val="0"/>
        <w:rPr>
          <w:rFonts w:eastAsia="Times New Roman"/>
          <w:snapToGrid w:val="0"/>
        </w:rPr>
      </w:pPr>
      <w:r w:rsidRPr="002171EE">
        <w:rPr>
          <w:rFonts w:eastAsia="Times New Roman"/>
          <w:snapToGrid w:val="0"/>
        </w:rPr>
        <w:t>Designing research-based adult education management and leadership strategies and in using statewide data for program improvement</w:t>
      </w:r>
    </w:p>
    <w:p w14:paraId="56B63A5D" w14:textId="77777777" w:rsidR="00537458" w:rsidRPr="002171EE" w:rsidRDefault="00537458" w:rsidP="00537458">
      <w:pPr>
        <w:spacing w:after="240"/>
      </w:pPr>
      <w:r w:rsidRPr="002171EE">
        <w:t>Bidders must have extensive knowledge of and experience in developing and implementing professional development activities related to adult education, focusing on the changing behaviors of teachers and/or administrators to enhance student performance in each of the following areas:</w:t>
      </w:r>
    </w:p>
    <w:p w14:paraId="27E9E54B" w14:textId="77777777" w:rsidR="00537458" w:rsidRPr="002171EE" w:rsidRDefault="00537458" w:rsidP="00132985">
      <w:pPr>
        <w:pStyle w:val="ListParagraph"/>
        <w:numPr>
          <w:ilvl w:val="0"/>
          <w:numId w:val="34"/>
        </w:numPr>
        <w:contextualSpacing w:val="0"/>
      </w:pPr>
      <w:r w:rsidRPr="002171EE">
        <w:t>Coaching/mentoring,</w:t>
      </w:r>
    </w:p>
    <w:p w14:paraId="530E2A1D" w14:textId="77777777" w:rsidR="00537458" w:rsidRPr="002171EE" w:rsidRDefault="00537458" w:rsidP="00132985">
      <w:pPr>
        <w:pStyle w:val="ListParagraph"/>
        <w:numPr>
          <w:ilvl w:val="0"/>
          <w:numId w:val="34"/>
        </w:numPr>
        <w:contextualSpacing w:val="0"/>
      </w:pPr>
      <w:r w:rsidRPr="002171EE">
        <w:t>Communities of practice,</w:t>
      </w:r>
    </w:p>
    <w:p w14:paraId="61727965" w14:textId="77777777" w:rsidR="00537458" w:rsidRPr="002171EE" w:rsidRDefault="00537458" w:rsidP="00132985">
      <w:pPr>
        <w:pStyle w:val="ListParagraph"/>
        <w:numPr>
          <w:ilvl w:val="0"/>
          <w:numId w:val="34"/>
        </w:numPr>
        <w:contextualSpacing w:val="0"/>
      </w:pPr>
      <w:r w:rsidRPr="002171EE">
        <w:t>Study circle facilitation,</w:t>
      </w:r>
    </w:p>
    <w:p w14:paraId="7FA7EFE1" w14:textId="77777777" w:rsidR="00537458" w:rsidRPr="002171EE" w:rsidRDefault="00537458" w:rsidP="00132985">
      <w:pPr>
        <w:pStyle w:val="ListParagraph"/>
        <w:numPr>
          <w:ilvl w:val="0"/>
          <w:numId w:val="34"/>
        </w:numPr>
        <w:contextualSpacing w:val="0"/>
      </w:pPr>
      <w:r w:rsidRPr="002171EE">
        <w:t>Professional learning communities,</w:t>
      </w:r>
    </w:p>
    <w:p w14:paraId="68AA82EC" w14:textId="77777777" w:rsidR="00537458" w:rsidRPr="002171EE" w:rsidRDefault="00537458" w:rsidP="00132985">
      <w:pPr>
        <w:pStyle w:val="ListParagraph"/>
        <w:numPr>
          <w:ilvl w:val="0"/>
          <w:numId w:val="34"/>
        </w:numPr>
        <w:contextualSpacing w:val="0"/>
      </w:pPr>
      <w:r w:rsidRPr="002171EE">
        <w:t>Lesson study model,</w:t>
      </w:r>
    </w:p>
    <w:p w14:paraId="706D7F0F" w14:textId="77777777" w:rsidR="00537458" w:rsidRPr="002171EE" w:rsidRDefault="00537458" w:rsidP="00132985">
      <w:pPr>
        <w:pStyle w:val="ListParagraph"/>
        <w:numPr>
          <w:ilvl w:val="0"/>
          <w:numId w:val="34"/>
        </w:numPr>
        <w:contextualSpacing w:val="0"/>
      </w:pPr>
      <w:r w:rsidRPr="002171EE">
        <w:lastRenderedPageBreak/>
        <w:t>Other successful professional development models.</w:t>
      </w:r>
    </w:p>
    <w:p w14:paraId="33B04ECC" w14:textId="77777777" w:rsidR="00537458" w:rsidRPr="002171EE" w:rsidRDefault="00537458" w:rsidP="00537458">
      <w:pPr>
        <w:pStyle w:val="ListParagraph"/>
        <w:contextualSpacing w:val="0"/>
      </w:pPr>
    </w:p>
    <w:p w14:paraId="0DCBB4C4" w14:textId="01438C5D" w:rsidR="00537458" w:rsidRPr="002171EE" w:rsidRDefault="00537458" w:rsidP="00537458">
      <w:pPr>
        <w:spacing w:after="240"/>
      </w:pPr>
      <w:r w:rsidRPr="002171EE">
        <w:t xml:space="preserve">Professional development in adult education refers to skills and knowledge that will increase the efficacy of teachers and/or administrators in their educational roles. Professional development will broaden and elevate skills and knowledge, which will in turn improve student learning. All proposed professional development must be research-based to ensure successful outcomes. Examples of professional development approaches </w:t>
      </w:r>
      <w:r w:rsidR="00BD285D" w:rsidRPr="002171EE">
        <w:t>include</w:t>
      </w:r>
      <w:r w:rsidRPr="002171EE">
        <w:t xml:space="preserve"> but is not limited to coaching, communities of practice, and technical assistance.</w:t>
      </w:r>
    </w:p>
    <w:p w14:paraId="5AE26FB6" w14:textId="77777777" w:rsidR="00537458" w:rsidRPr="002171EE" w:rsidRDefault="00537458" w:rsidP="00537458">
      <w:pPr>
        <w:spacing w:after="240"/>
      </w:pPr>
      <w:r w:rsidRPr="002171EE">
        <w:t>Bidders must have extensive experience in providing in-depth professional development trainings for teachers and leaders with the goal of building capacity to provide rigorous, highly supported education opportunities for English learners to simultaneously learn language, content, and academic practices. The professional development training provided will deliver a multi-faceted approach on improving discipline-specific literacy and content learning for ELA, ABE, ASE, and IELCE with IET.</w:t>
      </w:r>
    </w:p>
    <w:p w14:paraId="7CD06FEF" w14:textId="77777777" w:rsidR="00A23759" w:rsidRDefault="00A23759" w:rsidP="00A23759">
      <w:pPr>
        <w:spacing w:after="240"/>
      </w:pPr>
      <w:r>
        <w:t>Bidders must have experience working with immigrants/refugees, homeless, low-literacy native English speakers, and/or adults with learning disabilities. This includes documented evidence of working with adult reading strategies, numeracy, workplace literacy skills, IET, and learning disabilities.</w:t>
      </w:r>
    </w:p>
    <w:p w14:paraId="1ECF495C" w14:textId="195789FB" w:rsidR="00A23759" w:rsidRPr="002171EE" w:rsidRDefault="00537458" w:rsidP="00A23759">
      <w:pPr>
        <w:spacing w:after="240"/>
      </w:pPr>
      <w:r w:rsidRPr="002171EE">
        <w:t>Bidders’ professional development offerings must be grounded, supported, and validated in current research. Additionally, bidders must have experience working with adult educators in a variety of contexts such as adult schools, public libraries, correctional facilities, CBOs, and community colleges.</w:t>
      </w:r>
    </w:p>
    <w:p w14:paraId="457FB9A9" w14:textId="53F517A7" w:rsidR="00537458" w:rsidRPr="002171EE" w:rsidRDefault="00537458" w:rsidP="00537458">
      <w:pPr>
        <w:pStyle w:val="Heading4"/>
        <w:rPr>
          <w:rFonts w:eastAsia="Times New Roman"/>
          <w:snapToGrid w:val="0"/>
        </w:rPr>
      </w:pPr>
      <w:r w:rsidRPr="002171EE">
        <w:rPr>
          <w:rFonts w:eastAsia="Times New Roman"/>
          <w:snapToGrid w:val="0"/>
        </w:rPr>
        <w:t xml:space="preserve">3.1.5 Facilities and Resources </w:t>
      </w:r>
    </w:p>
    <w:p w14:paraId="50025A24" w14:textId="6202306F" w:rsidR="00537458" w:rsidRPr="002171EE" w:rsidRDefault="00537458" w:rsidP="00537458">
      <w:pPr>
        <w:widowControl w:val="0"/>
        <w:spacing w:before="240" w:after="240"/>
        <w:rPr>
          <w:rFonts w:eastAsia="Times New Roman" w:cs="Arial"/>
          <w:snapToGrid w:val="0"/>
          <w:szCs w:val="20"/>
        </w:rPr>
      </w:pPr>
      <w:r w:rsidRPr="002171EE">
        <w:rPr>
          <w:rFonts w:eastAsia="Times New Roman" w:cs="Arial"/>
          <w:snapToGrid w:val="0"/>
          <w:szCs w:val="20"/>
        </w:rPr>
        <w:t xml:space="preserve">The Technical Proposal must describe in detail the prime bidder’s company/business and its ownership structure. The Technical Proposal must describe in detail a description of the prime bidder’s and, the subcontractor’s (if any), facilities and equipment that supports the work outlined in Section </w:t>
      </w:r>
      <w:r w:rsidR="001B23D5" w:rsidRPr="002171EE">
        <w:rPr>
          <w:rFonts w:eastAsia="Times New Roman" w:cs="Arial"/>
          <w:snapToGrid w:val="0"/>
          <w:szCs w:val="20"/>
        </w:rPr>
        <w:t>7</w:t>
      </w:r>
      <w:r w:rsidRPr="002171EE">
        <w:rPr>
          <w:rFonts w:eastAsia="Times New Roman" w:cs="Arial"/>
          <w:snapToGrid w:val="0"/>
          <w:szCs w:val="20"/>
        </w:rPr>
        <w:t xml:space="preserve"> of the RFP. The Technical Proposal must state the location(s) of the office(s) from which the primary work on this contract is to be performed.</w:t>
      </w:r>
    </w:p>
    <w:p w14:paraId="0548F771" w14:textId="215B300F" w:rsidR="00537458" w:rsidRPr="002171EE" w:rsidRDefault="00537458" w:rsidP="00537458">
      <w:pPr>
        <w:pStyle w:val="Heading4"/>
        <w:rPr>
          <w:rFonts w:eastAsia="Times New Roman"/>
          <w:snapToGrid w:val="0"/>
        </w:rPr>
      </w:pPr>
      <w:r w:rsidRPr="002171EE">
        <w:rPr>
          <w:rFonts w:eastAsia="Times New Roman"/>
          <w:snapToGrid w:val="0"/>
        </w:rPr>
        <w:t>3.1.6 Bidder References</w:t>
      </w:r>
    </w:p>
    <w:p w14:paraId="5B494DCA" w14:textId="596100E0" w:rsidR="00537458" w:rsidRPr="002171EE" w:rsidRDefault="00537458" w:rsidP="00537458">
      <w:pPr>
        <w:spacing w:before="240" w:after="240"/>
        <w:rPr>
          <w:rFonts w:eastAsia="Times New Roman"/>
          <w:snapToGrid w:val="0"/>
          <w:szCs w:val="20"/>
        </w:rPr>
      </w:pPr>
      <w:r w:rsidRPr="002171EE">
        <w:rPr>
          <w:rFonts w:eastAsia="Times New Roman"/>
          <w:snapToGrid w:val="0"/>
          <w:szCs w:val="20"/>
        </w:rPr>
        <w:t xml:space="preserve">Provide three (3) references using the Bidder Reference Form included in this RFP as Attachment </w:t>
      </w:r>
      <w:r w:rsidR="00C60923" w:rsidRPr="002171EE">
        <w:rPr>
          <w:rFonts w:eastAsia="Times New Roman"/>
          <w:snapToGrid w:val="0"/>
          <w:szCs w:val="20"/>
        </w:rPr>
        <w:t>9</w:t>
      </w:r>
      <w:r w:rsidRPr="002171EE">
        <w:rPr>
          <w:rFonts w:eastAsia="Times New Roman"/>
          <w:snapToGrid w:val="0"/>
          <w:szCs w:val="20"/>
        </w:rPr>
        <w:t xml:space="preserve">. See </w:t>
      </w:r>
      <w:r w:rsidR="00500391" w:rsidRPr="002171EE">
        <w:rPr>
          <w:rFonts w:eastAsia="Times New Roman"/>
          <w:snapToGrid w:val="0"/>
          <w:szCs w:val="20"/>
        </w:rPr>
        <w:t xml:space="preserve">RFP </w:t>
      </w:r>
      <w:r w:rsidRPr="002171EE">
        <w:rPr>
          <w:rFonts w:eastAsia="Times New Roman"/>
          <w:snapToGrid w:val="0"/>
          <w:szCs w:val="20"/>
        </w:rPr>
        <w:t xml:space="preserve">Section </w:t>
      </w:r>
      <w:r w:rsidR="00F94052" w:rsidRPr="002171EE">
        <w:rPr>
          <w:rFonts w:eastAsia="Times New Roman"/>
          <w:snapToGrid w:val="0"/>
          <w:szCs w:val="20"/>
        </w:rPr>
        <w:t>3</w:t>
      </w:r>
      <w:r w:rsidRPr="002171EE">
        <w:rPr>
          <w:rFonts w:eastAsia="Times New Roman"/>
          <w:snapToGrid w:val="0"/>
          <w:szCs w:val="20"/>
        </w:rPr>
        <w:t>.2.</w:t>
      </w:r>
      <w:r w:rsidR="00C60923" w:rsidRPr="002171EE">
        <w:rPr>
          <w:rFonts w:eastAsia="Times New Roman"/>
          <w:snapToGrid w:val="0"/>
          <w:szCs w:val="20"/>
        </w:rPr>
        <w:t>8</w:t>
      </w:r>
      <w:r w:rsidRPr="002171EE">
        <w:rPr>
          <w:rFonts w:eastAsia="Times New Roman"/>
          <w:snapToGrid w:val="0"/>
          <w:szCs w:val="20"/>
        </w:rPr>
        <w:t xml:space="preserve">. References may be contacted to verify the information provided on the form. </w:t>
      </w:r>
      <w:r w:rsidRPr="002171EE">
        <w:t xml:space="preserve">References that contain false or misleading statements shall be rejected. </w:t>
      </w:r>
      <w:r w:rsidRPr="002171EE">
        <w:rPr>
          <w:rFonts w:eastAsia="Times New Roman"/>
          <w:snapToGrid w:val="0"/>
          <w:szCs w:val="20"/>
        </w:rPr>
        <w:t>Failure to complete and include the form with the Technical Proposal may cause your proposal to be rejected and deemed non-responsive.</w:t>
      </w:r>
    </w:p>
    <w:p w14:paraId="263A30E0" w14:textId="7DE009BF" w:rsidR="00537458" w:rsidRPr="004D0DC2" w:rsidRDefault="00537458" w:rsidP="00537458">
      <w:pPr>
        <w:pStyle w:val="Heading4"/>
        <w:rPr>
          <w:rFonts w:eastAsia="Times New Roman"/>
          <w:snapToGrid w:val="0"/>
        </w:rPr>
      </w:pPr>
      <w:r w:rsidRPr="002171EE">
        <w:rPr>
          <w:rFonts w:eastAsia="Times New Roman"/>
          <w:snapToGrid w:val="0"/>
        </w:rPr>
        <w:t>3.1.7 Disabled Veteran Business Enterprise (DVBE) Program Requirements</w:t>
      </w:r>
    </w:p>
    <w:p w14:paraId="2171C9D5" w14:textId="552648E4" w:rsidR="00537458" w:rsidRPr="004D0DC2" w:rsidRDefault="00537458" w:rsidP="00537458">
      <w:pPr>
        <w:spacing w:before="240" w:after="240"/>
        <w:rPr>
          <w:rFonts w:cs="Arial"/>
        </w:rPr>
      </w:pPr>
      <w:r w:rsidRPr="004D0DC2">
        <w:rPr>
          <w:rFonts w:cs="Arial"/>
        </w:rPr>
        <w:t xml:space="preserve">In accordance with Public Contract Code section 10115 et. seq., and California Military and Veterans Code section 999, et. seq., every bidder must comply with the Disabled Veteran Business Enterprise (DVBE) program participation requirements. These requirements apply whether conducting business as a public agency, profit or non-profit individual, partnership or corporation. In order to be deemed responsive and eligible for award of the contract, the </w:t>
      </w:r>
      <w:r w:rsidRPr="004D0DC2">
        <w:rPr>
          <w:rFonts w:cs="Arial"/>
        </w:rPr>
        <w:lastRenderedPageBreak/>
        <w:t xml:space="preserve">Technical Proposal must ensure that the bidder will adhere to the prescribed participation requirements. See RFP, Section </w:t>
      </w:r>
      <w:r w:rsidR="00F94052" w:rsidRPr="004D0DC2">
        <w:rPr>
          <w:rFonts w:cs="Arial"/>
        </w:rPr>
        <w:t>3</w:t>
      </w:r>
      <w:r w:rsidRPr="004D0DC2">
        <w:rPr>
          <w:rFonts w:cs="Arial"/>
        </w:rPr>
        <w:t>.2</w:t>
      </w:r>
      <w:r w:rsidR="00063F5C" w:rsidRPr="004D0DC2">
        <w:rPr>
          <w:rFonts w:cs="Arial"/>
        </w:rPr>
        <w:t>.1</w:t>
      </w:r>
      <w:r w:rsidR="00C60923" w:rsidRPr="004D0DC2">
        <w:rPr>
          <w:rFonts w:cs="Arial"/>
        </w:rPr>
        <w:t>5</w:t>
      </w:r>
      <w:r w:rsidRPr="004D0DC2">
        <w:rPr>
          <w:rFonts w:cs="Arial"/>
        </w:rPr>
        <w:t xml:space="preserve"> for forms and attachments required to comply with DVBE Program Requirements.</w:t>
      </w:r>
    </w:p>
    <w:p w14:paraId="2558BCA8" w14:textId="6EA445B6" w:rsidR="00537458" w:rsidRPr="004D0DC2" w:rsidRDefault="00537458" w:rsidP="54EA1D9A">
      <w:pPr>
        <w:spacing w:after="240"/>
        <w:rPr>
          <w:rFonts w:cs="Arial"/>
          <w:color w:val="000000"/>
        </w:rPr>
      </w:pPr>
      <w:r w:rsidRPr="54EA1D9A">
        <w:rPr>
          <w:rFonts w:cs="Arial"/>
          <w:color w:val="000000" w:themeColor="text1"/>
        </w:rPr>
        <w:t xml:space="preserve">This solicitation requires a </w:t>
      </w:r>
      <w:r w:rsidR="60E5F579" w:rsidRPr="54EA1D9A">
        <w:rPr>
          <w:rFonts w:cs="Arial"/>
          <w:color w:val="000000" w:themeColor="text1"/>
        </w:rPr>
        <w:t>minimum of</w:t>
      </w:r>
      <w:r w:rsidRPr="54EA1D9A">
        <w:rPr>
          <w:rFonts w:cs="Arial"/>
          <w:color w:val="000000" w:themeColor="text1"/>
        </w:rPr>
        <w:t xml:space="preserve"> </w:t>
      </w:r>
      <w:r w:rsidR="47CD028E" w:rsidRPr="54EA1D9A">
        <w:rPr>
          <w:rFonts w:cs="Arial"/>
          <w:color w:val="000000" w:themeColor="text1"/>
        </w:rPr>
        <w:t>3</w:t>
      </w:r>
      <w:r w:rsidRPr="54EA1D9A">
        <w:rPr>
          <w:rFonts w:cs="Arial"/>
          <w:color w:val="000000" w:themeColor="text1"/>
        </w:rPr>
        <w:t xml:space="preserve"> percent DVBE participation. </w:t>
      </w:r>
    </w:p>
    <w:p w14:paraId="584A4F6C" w14:textId="34DA2D0F" w:rsidR="00537458" w:rsidRPr="004D0DC2" w:rsidRDefault="00537458" w:rsidP="00537458">
      <w:pPr>
        <w:spacing w:after="240"/>
        <w:rPr>
          <w:rFonts w:cs="Arial"/>
        </w:rPr>
      </w:pPr>
      <w:r w:rsidRPr="54EA1D9A">
        <w:rPr>
          <w:rFonts w:cs="Arial"/>
        </w:rPr>
        <w:t>The</w:t>
      </w:r>
      <w:r w:rsidR="5A5E09CC" w:rsidRPr="54EA1D9A">
        <w:rPr>
          <w:rFonts w:cs="Arial"/>
        </w:rPr>
        <w:t xml:space="preserve"> 3</w:t>
      </w:r>
      <w:r w:rsidRPr="54EA1D9A">
        <w:rPr>
          <w:rFonts w:cs="Arial"/>
        </w:rPr>
        <w:t xml:space="preserve"> percent DVBE participation percentage must be based on the total contract dollar value. A proposal will be disqualified if DVBE requirements are not met.</w:t>
      </w:r>
    </w:p>
    <w:p w14:paraId="35D5CCA2" w14:textId="0AC890EA" w:rsidR="00537458" w:rsidRPr="004D0DC2" w:rsidRDefault="00537458" w:rsidP="54EA1D9A">
      <w:pPr>
        <w:spacing w:after="240"/>
        <w:rPr>
          <w:rFonts w:cs="Arial"/>
        </w:rPr>
      </w:pPr>
      <w:r w:rsidRPr="54EA1D9A">
        <w:rPr>
          <w:rFonts w:cs="Arial"/>
        </w:rPr>
        <w:t xml:space="preserve">Do not include cost information </w:t>
      </w:r>
      <w:r w:rsidR="6AFAAE4C" w:rsidRPr="54EA1D9A">
        <w:rPr>
          <w:rFonts w:cs="Arial"/>
        </w:rPr>
        <w:t>in</w:t>
      </w:r>
      <w:r w:rsidRPr="54EA1D9A">
        <w:rPr>
          <w:rFonts w:cs="Arial"/>
        </w:rPr>
        <w:t xml:space="preserve"> the Technical Proposal. Cost information included in any section or in any required attachment to the Technical Proposal may result in disqualification and removal of the proposal from further review at the sole discretion of the CDE.</w:t>
      </w:r>
    </w:p>
    <w:p w14:paraId="661839FE" w14:textId="15FE6DEC" w:rsidR="00537458" w:rsidRPr="004D0DC2" w:rsidRDefault="00537458" w:rsidP="00F67ED5">
      <w:pPr>
        <w:pStyle w:val="Heading3"/>
        <w:rPr>
          <w:sz w:val="24"/>
        </w:rPr>
      </w:pPr>
      <w:r w:rsidRPr="004D0DC2">
        <w:t>3.2 Technical Proposal Required Forms/Attachments</w:t>
      </w:r>
    </w:p>
    <w:p w14:paraId="4A75A8A1" w14:textId="25685EDB" w:rsidR="00537458" w:rsidRPr="004D0DC2" w:rsidRDefault="00537458" w:rsidP="00537458">
      <w:pPr>
        <w:tabs>
          <w:tab w:val="left" w:pos="0"/>
        </w:tabs>
        <w:spacing w:before="240" w:after="240"/>
        <w:rPr>
          <w:rFonts w:cs="Arial"/>
        </w:rPr>
      </w:pPr>
      <w:r w:rsidRPr="004D0DC2">
        <w:t xml:space="preserve">The bidder’s Technical Proposal must be submitted as specified in Section </w:t>
      </w:r>
      <w:r w:rsidR="00F94052" w:rsidRPr="004D0DC2">
        <w:t>3</w:t>
      </w:r>
      <w:r w:rsidRPr="004D0DC2">
        <w:t xml:space="preserve">.5 Submission of </w:t>
      </w:r>
      <w:r w:rsidR="006F55B3" w:rsidRPr="004D0DC2">
        <w:t>Proposal and</w:t>
      </w:r>
      <w:r w:rsidRPr="004D0DC2">
        <w:t xml:space="preserve"> must include the following correctly completed attachments. </w:t>
      </w:r>
      <w:r w:rsidRPr="004D0DC2">
        <w:rPr>
          <w:rFonts w:cs="Arial"/>
        </w:rPr>
        <w:t>Failure to complete the attachments correctly or missing attachments may cause your proposal to be deemed non-responsive and therefore rejected.</w:t>
      </w:r>
    </w:p>
    <w:p w14:paraId="3F818DC2" w14:textId="21374134" w:rsidR="005E7F9B" w:rsidRPr="004D0DC2" w:rsidRDefault="005E7F9B" w:rsidP="00537458">
      <w:pPr>
        <w:pStyle w:val="Heading4"/>
      </w:pPr>
      <w:r w:rsidRPr="004D0DC2">
        <w:t>3.2.1 Attachment Checklist (RFP Attachment 2)</w:t>
      </w:r>
    </w:p>
    <w:p w14:paraId="5E122F1E" w14:textId="6ECC88C8" w:rsidR="008A7671" w:rsidRPr="004D0DC2" w:rsidRDefault="006C6950" w:rsidP="008A7671">
      <w:pPr>
        <w:spacing w:before="240" w:after="240"/>
      </w:pPr>
      <w:r w:rsidRPr="004D0DC2">
        <w:t xml:space="preserve">The </w:t>
      </w:r>
      <w:r w:rsidR="008A7671" w:rsidRPr="004D0DC2">
        <w:t>Attachment Checklist (RFP Attachment 2) must be completed and submitted with the original Technical Proposal, along with originals of all correctly completed required forms/attachments. A copy of the form and required forms/attachments must be included with each copy of the Technical Proposal. The CDE will review the contents of the Attachment Checklist for the presence and completion of all required forms/attachments (See Section 4 Evaluation Process). Proposals that do not provide all of the correctly completed forms/attachments as required by the RFP may be rejected as non-responsive.</w:t>
      </w:r>
    </w:p>
    <w:p w14:paraId="1ED2FCC9" w14:textId="5DF2FD82" w:rsidR="00537458" w:rsidRPr="004D0DC2" w:rsidRDefault="00537458" w:rsidP="00537458">
      <w:pPr>
        <w:pStyle w:val="Heading4"/>
      </w:pPr>
      <w:r w:rsidRPr="004D0DC2">
        <w:t>3.2.</w:t>
      </w:r>
      <w:r w:rsidR="005E7F9B" w:rsidRPr="004D0DC2">
        <w:t>2</w:t>
      </w:r>
      <w:r w:rsidRPr="004D0DC2">
        <w:t xml:space="preserve"> Bidder Certification Sheet (RFP Attachment </w:t>
      </w:r>
      <w:r w:rsidR="005E7F9B" w:rsidRPr="004D0DC2">
        <w:t>3</w:t>
      </w:r>
      <w:r w:rsidRPr="004D0DC2">
        <w:t>)</w:t>
      </w:r>
    </w:p>
    <w:p w14:paraId="1F386BC3" w14:textId="31443E03" w:rsidR="00537458" w:rsidRPr="004D0DC2" w:rsidRDefault="00537458" w:rsidP="00537458">
      <w:pPr>
        <w:spacing w:before="240" w:after="240"/>
      </w:pPr>
      <w:r w:rsidRPr="004D0DC2">
        <w:t xml:space="preserve">The Bidder Certification Sheet (RFP Attachment </w:t>
      </w:r>
      <w:r w:rsidR="005E7F9B" w:rsidRPr="004D0DC2">
        <w:t>3</w:t>
      </w:r>
      <w:r w:rsidRPr="004D0DC2">
        <w:t>) must be completed and signed by an individual who is authorized to bind the bidder contractually. The Bidder Certification Sheet must be completed and submitted with the original Technical Proposal and a copy of the form included with each copy of the Technical Proposal.</w:t>
      </w:r>
    </w:p>
    <w:p w14:paraId="528AC8EB" w14:textId="7FC4F466" w:rsidR="00537458" w:rsidRPr="004D0DC2" w:rsidRDefault="00537458" w:rsidP="00537458">
      <w:pPr>
        <w:spacing w:before="240" w:after="240"/>
      </w:pPr>
      <w:r w:rsidRPr="004D0DC2">
        <w:t xml:space="preserve">Only an individual who is authorized to contractually bind the Bidder shall sign the Bidder Certification Sheet (RFP Attachment </w:t>
      </w:r>
      <w:r w:rsidR="005E7F9B" w:rsidRPr="004D0DC2">
        <w:t>3</w:t>
      </w:r>
      <w:r w:rsidRPr="004D0DC2">
        <w:t xml:space="preserve">). The individual signing the Bidder Certification Sheet must indicate </w:t>
      </w:r>
      <w:r w:rsidR="006C6950" w:rsidRPr="004D0DC2">
        <w:t>their</w:t>
      </w:r>
      <w:r w:rsidRPr="004D0DC2">
        <w:t xml:space="preserve"> position title. The mailing address, telephone number, and </w:t>
      </w:r>
      <w:r w:rsidR="006C6950" w:rsidRPr="004D0DC2">
        <w:t>email address</w:t>
      </w:r>
      <w:r w:rsidRPr="004D0DC2">
        <w:t xml:space="preserve"> of the authorized representative who signed the Bidder Certification Sheet must be included.</w:t>
      </w:r>
    </w:p>
    <w:p w14:paraId="314AB83D" w14:textId="16375800" w:rsidR="00537458" w:rsidRPr="004D0DC2" w:rsidRDefault="00537458" w:rsidP="00537458">
      <w:pPr>
        <w:pStyle w:val="Heading4"/>
      </w:pPr>
      <w:r w:rsidRPr="004D0DC2">
        <w:t>3.2.</w:t>
      </w:r>
      <w:r w:rsidR="005E7F9B" w:rsidRPr="004D0DC2">
        <w:t>3</w:t>
      </w:r>
      <w:r w:rsidRPr="004D0DC2">
        <w:t xml:space="preserve"> Technical Proposal Staffing Labor Hours Worksheets (RFP Attachment </w:t>
      </w:r>
      <w:r w:rsidR="005E7F9B" w:rsidRPr="004D0DC2">
        <w:t>4</w:t>
      </w:r>
      <w:r w:rsidRPr="004D0DC2">
        <w:t>)</w:t>
      </w:r>
    </w:p>
    <w:p w14:paraId="1A8ABFF9" w14:textId="06A2C04F" w:rsidR="00537458" w:rsidRPr="004D0DC2" w:rsidRDefault="00537458" w:rsidP="00537458">
      <w:pPr>
        <w:spacing w:before="240" w:after="240"/>
      </w:pPr>
      <w:r w:rsidRPr="004D0DC2">
        <w:t xml:space="preserve">Technical Proposal Staffing Labor Hours Worksheets (RFP Attachment </w:t>
      </w:r>
      <w:r w:rsidR="005E7F9B" w:rsidRPr="004D0DC2">
        <w:t>4</w:t>
      </w:r>
      <w:r w:rsidRPr="004D0DC2">
        <w:t xml:space="preserve">) must be completed for each fiscal year, or part thereof. If subcontractors are being used, separate Staffing Labor Hours Worksheets (RFP Attachment </w:t>
      </w:r>
      <w:r w:rsidR="00500228" w:rsidRPr="004D0DC2">
        <w:t>4</w:t>
      </w:r>
      <w:r w:rsidRPr="004D0DC2">
        <w:t xml:space="preserve">) must be submitted for each subcontractor. See RFP Section </w:t>
      </w:r>
      <w:r w:rsidR="006663E8" w:rsidRPr="004D0DC2">
        <w:t>3</w:t>
      </w:r>
      <w:r w:rsidRPr="004D0DC2">
        <w:t>.1.3 (</w:t>
      </w:r>
      <w:r w:rsidR="006663E8" w:rsidRPr="004D0DC2">
        <w:t>3</w:t>
      </w:r>
      <w:r w:rsidRPr="004D0DC2">
        <w:t xml:space="preserve">.1.3.9 and </w:t>
      </w:r>
      <w:r w:rsidR="006663E8" w:rsidRPr="004D0DC2">
        <w:t>3</w:t>
      </w:r>
      <w:r w:rsidRPr="004D0DC2">
        <w:t>.1.3.10</w:t>
      </w:r>
      <w:r w:rsidR="00063F5C" w:rsidRPr="004D0DC2">
        <w:t>)</w:t>
      </w:r>
      <w:r w:rsidRPr="004D0DC2">
        <w:t>.</w:t>
      </w:r>
    </w:p>
    <w:p w14:paraId="0E345470" w14:textId="131945F8" w:rsidR="006663E8" w:rsidRPr="004D0DC2" w:rsidRDefault="006663E8" w:rsidP="004F4F2E">
      <w:pPr>
        <w:pStyle w:val="ListParagraph"/>
        <w:widowControl w:val="0"/>
        <w:numPr>
          <w:ilvl w:val="0"/>
          <w:numId w:val="39"/>
        </w:numPr>
        <w:spacing w:before="240" w:after="240"/>
        <w:contextualSpacing w:val="0"/>
        <w:rPr>
          <w:rFonts w:cs="Arial"/>
        </w:rPr>
      </w:pPr>
      <w:r w:rsidRPr="54EA1D9A">
        <w:rPr>
          <w:rFonts w:cs="Arial"/>
        </w:rPr>
        <w:lastRenderedPageBreak/>
        <w:t>For each individual and job position title</w:t>
      </w:r>
      <w:r w:rsidR="006F4AA2" w:rsidRPr="54EA1D9A">
        <w:rPr>
          <w:rFonts w:cs="Arial"/>
        </w:rPr>
        <w:t xml:space="preserve"> (including Project Manager, Fiscal Manager, and any key personnel), </w:t>
      </w:r>
      <w:r w:rsidRPr="54EA1D9A">
        <w:rPr>
          <w:rFonts w:cs="Arial"/>
        </w:rPr>
        <w:t xml:space="preserve">include the specific tasks and subtasks each individual/job position title that will perform services and the specific number of labor hours the individual/job position title will devote to each task and subtask contained in Section 7 Scope of Project. A Staffing Labor Hours Worksheet (Attachment </w:t>
      </w:r>
      <w:r w:rsidR="00500228" w:rsidRPr="54EA1D9A">
        <w:rPr>
          <w:rFonts w:cs="Arial"/>
        </w:rPr>
        <w:t>4</w:t>
      </w:r>
      <w:r w:rsidRPr="54EA1D9A">
        <w:rPr>
          <w:rFonts w:cs="Arial"/>
        </w:rPr>
        <w:t xml:space="preserve">) must be completed for each fiscal year covered under this contract or part thereof. The labor hours specified in the Staffing Labor Hours Worksheet (Attachment </w:t>
      </w:r>
      <w:r w:rsidR="00500228" w:rsidRPr="54EA1D9A">
        <w:rPr>
          <w:rFonts w:cs="Arial"/>
        </w:rPr>
        <w:t>4</w:t>
      </w:r>
      <w:r w:rsidRPr="54EA1D9A">
        <w:rPr>
          <w:rFonts w:cs="Arial"/>
        </w:rPr>
        <w:t xml:space="preserve">) must correlate with the labor hours contained in the Cost Proposal. Do not include cost information </w:t>
      </w:r>
      <w:r w:rsidR="2FC654D4" w:rsidRPr="54EA1D9A">
        <w:rPr>
          <w:rFonts w:cs="Arial"/>
        </w:rPr>
        <w:t>in</w:t>
      </w:r>
      <w:r w:rsidRPr="54EA1D9A">
        <w:rPr>
          <w:rFonts w:cs="Arial"/>
        </w:rPr>
        <w:t xml:space="preserve"> the Technical Proposal. Cost information included in any section or in any required attachment to the Technical Proposal may result in disqualification and removal of the proposal from further review at the sole discretion of the CDE.</w:t>
      </w:r>
    </w:p>
    <w:p w14:paraId="48F22C73" w14:textId="6C5F60BF" w:rsidR="006663E8" w:rsidRPr="004D0DC2" w:rsidRDefault="006663E8" w:rsidP="00A37665">
      <w:pPr>
        <w:pStyle w:val="ListParagraph"/>
        <w:numPr>
          <w:ilvl w:val="0"/>
          <w:numId w:val="39"/>
        </w:numPr>
        <w:tabs>
          <w:tab w:val="left" w:pos="720"/>
          <w:tab w:val="left" w:pos="1080"/>
        </w:tabs>
        <w:spacing w:before="240" w:after="240"/>
        <w:contextualSpacing w:val="0"/>
        <w:rPr>
          <w:rFonts w:cs="Arial"/>
        </w:rPr>
      </w:pPr>
      <w:r w:rsidRPr="004D0DC2">
        <w:rPr>
          <w:rFonts w:cs="Arial"/>
        </w:rPr>
        <w:t xml:space="preserve">If subcontractors (See RFP, Section 2.8 for definition of “subcontractors”) are being used, separate Technical Proposal Staffing Labor Hours Worksheets (Attachment </w:t>
      </w:r>
      <w:r w:rsidR="00500228" w:rsidRPr="004D0DC2">
        <w:rPr>
          <w:rFonts w:cs="Arial"/>
        </w:rPr>
        <w:t>4</w:t>
      </w:r>
      <w:r w:rsidRPr="004D0DC2">
        <w:rPr>
          <w:rFonts w:cs="Arial"/>
        </w:rPr>
        <w:t>) must be completed for each subcontractor.</w:t>
      </w:r>
    </w:p>
    <w:p w14:paraId="0DA00CF9" w14:textId="43EFC005" w:rsidR="006663E8" w:rsidRPr="004D0DC2" w:rsidRDefault="006663E8" w:rsidP="00A37665">
      <w:pPr>
        <w:pStyle w:val="ListParagraph"/>
        <w:numPr>
          <w:ilvl w:val="0"/>
          <w:numId w:val="39"/>
        </w:numPr>
        <w:spacing w:before="240" w:after="240"/>
        <w:contextualSpacing w:val="0"/>
        <w:rPr>
          <w:rFonts w:cs="Arial"/>
        </w:rPr>
      </w:pPr>
      <w:r w:rsidRPr="004D0DC2">
        <w:rPr>
          <w:rFonts w:cs="Arial"/>
        </w:rPr>
        <w:t xml:space="preserve">In the event that a specific subcontractor does not perform a task by hours (for example a printer) but rather they charge by the job, then the bidder may list “0” hours and make a notation on Attachment </w:t>
      </w:r>
      <w:r w:rsidR="00500228" w:rsidRPr="004D0DC2">
        <w:rPr>
          <w:rFonts w:cs="Arial"/>
        </w:rPr>
        <w:t>4</w:t>
      </w:r>
      <w:r w:rsidRPr="004D0DC2">
        <w:rPr>
          <w:rFonts w:cs="Arial"/>
        </w:rPr>
        <w:t xml:space="preserve"> to that effect without including any costs.</w:t>
      </w:r>
    </w:p>
    <w:p w14:paraId="501E7416" w14:textId="77777777" w:rsidR="006663E8" w:rsidRPr="004D0DC2" w:rsidRDefault="006663E8" w:rsidP="006663E8">
      <w:pPr>
        <w:pStyle w:val="ListParagraph"/>
        <w:spacing w:before="240" w:after="240"/>
        <w:rPr>
          <w:rFonts w:cs="Arial"/>
          <w:i/>
        </w:rPr>
      </w:pPr>
      <w:r w:rsidRPr="004D0DC2">
        <w:rPr>
          <w:rFonts w:cs="Arial"/>
        </w:rPr>
        <w:t>For example:</w:t>
      </w:r>
    </w:p>
    <w:p w14:paraId="3B5862B5" w14:textId="77777777" w:rsidR="006663E8" w:rsidRPr="004D0DC2" w:rsidRDefault="006663E8" w:rsidP="006663E8">
      <w:pPr>
        <w:pStyle w:val="ListParagraph"/>
        <w:spacing w:before="240" w:after="240"/>
        <w:rPr>
          <w:rFonts w:cs="Arial"/>
          <w:i/>
        </w:rPr>
      </w:pPr>
      <w:r w:rsidRPr="004D0DC2">
        <w:rPr>
          <w:rFonts w:cs="Arial"/>
          <w:i/>
        </w:rPr>
        <w:t>“Printer company name*: Task 2, 0 hours</w:t>
      </w:r>
    </w:p>
    <w:p w14:paraId="48CF971D" w14:textId="77777777" w:rsidR="006663E8" w:rsidRPr="004D0DC2" w:rsidRDefault="006663E8" w:rsidP="006663E8">
      <w:pPr>
        <w:pStyle w:val="ListParagraph"/>
        <w:spacing w:before="240" w:after="240"/>
        <w:rPr>
          <w:rFonts w:eastAsia="Times New Roman" w:cs="Arial"/>
          <w:snapToGrid w:val="0"/>
          <w:szCs w:val="20"/>
        </w:rPr>
      </w:pPr>
      <w:r w:rsidRPr="004D0DC2">
        <w:rPr>
          <w:rFonts w:cs="Arial"/>
          <w:i/>
        </w:rPr>
        <w:t>*Printer will not charge hourly, but by print job.”</w:t>
      </w:r>
    </w:p>
    <w:p w14:paraId="6A6F4DFC" w14:textId="5E262E0F" w:rsidR="00537458" w:rsidRPr="004D0DC2" w:rsidRDefault="00537458" w:rsidP="00537458">
      <w:pPr>
        <w:pStyle w:val="Heading4"/>
      </w:pPr>
      <w:r w:rsidRPr="004D0DC2">
        <w:t>3.2.</w:t>
      </w:r>
      <w:r w:rsidR="008A7671" w:rsidRPr="004D0DC2">
        <w:t>4</w:t>
      </w:r>
      <w:r w:rsidRPr="004D0DC2">
        <w:t xml:space="preserve"> Federal Certifications (RFP Attachment 5)</w:t>
      </w:r>
    </w:p>
    <w:p w14:paraId="4B0FAE36" w14:textId="77777777" w:rsidR="00537458" w:rsidRPr="004D0DC2" w:rsidRDefault="00537458" w:rsidP="00537458">
      <w:pPr>
        <w:spacing w:before="240" w:after="240"/>
      </w:pPr>
      <w:r w:rsidRPr="004D0DC2">
        <w:t>Federal Certifications (RFP Attachment 5) must be completed, signed and dated with an original signature on the form and included in the original Technical Proposal and a copy of the form included with each copy of the Technical Proposal.</w:t>
      </w:r>
    </w:p>
    <w:p w14:paraId="339B3C83" w14:textId="186C53F0" w:rsidR="00537458" w:rsidRPr="004D0DC2" w:rsidRDefault="00537458" w:rsidP="00537458">
      <w:pPr>
        <w:pStyle w:val="Heading4"/>
      </w:pPr>
      <w:r w:rsidRPr="004D0DC2">
        <w:t>3.2.</w:t>
      </w:r>
      <w:r w:rsidR="008A7671" w:rsidRPr="004D0DC2">
        <w:t>5</w:t>
      </w:r>
      <w:r w:rsidRPr="004D0DC2">
        <w:t xml:space="preserve"> Darfur Contracting Act Certification (RFP Attachment 6</w:t>
      </w:r>
      <w:r w:rsidR="009B75B7" w:rsidRPr="004D0DC2">
        <w:t xml:space="preserve"> or 6a</w:t>
      </w:r>
      <w:r w:rsidRPr="004D0DC2">
        <w:t>)</w:t>
      </w:r>
    </w:p>
    <w:p w14:paraId="656D40D5" w14:textId="77777777" w:rsidR="00537458" w:rsidRPr="004D0DC2" w:rsidRDefault="00537458" w:rsidP="00537458">
      <w:pPr>
        <w:spacing w:before="240" w:after="240"/>
      </w:pPr>
      <w:r w:rsidRPr="004D0DC2">
        <w:t>Darfur Contracting Act Certification (RFP Attachment 6) must be completed if the business entity (bidder) currently or within the previous three years has had business activities or other operations outside the United States. Or, if the business entity (bidder) has not within the previous three years had business activities or other operations outside the United States, then the Darfur Contracting Act Certification Supplemental (RFP Attachment 6a) form must be completed. The completed form must be signed and dated with an original signature and included in the original Technical Proposal and a copy of the form included with each copy of the Technical Proposal.</w:t>
      </w:r>
    </w:p>
    <w:p w14:paraId="4C5DCAA6" w14:textId="2F9EAB85" w:rsidR="009B75B7" w:rsidRPr="004D0DC2" w:rsidRDefault="009B75B7" w:rsidP="00537458">
      <w:pPr>
        <w:pStyle w:val="Heading4"/>
      </w:pPr>
      <w:r w:rsidRPr="004D0DC2">
        <w:t>3.2.6 Iran Contracting Act Certification (RFP Attachment 7)</w:t>
      </w:r>
    </w:p>
    <w:p w14:paraId="6A2176B0" w14:textId="3833A10B" w:rsidR="009B75B7" w:rsidRPr="004D0DC2" w:rsidRDefault="009B75B7" w:rsidP="009B75B7">
      <w:pPr>
        <w:spacing w:before="240" w:after="240"/>
      </w:pPr>
      <w:r w:rsidRPr="004D0DC2">
        <w:t>Iran Contracting Act Certification (RFP Attachment 7) must be completed, signed and dated with an original signature on the form included in the original Technical Proposal and a copy of the form included with each copy of the Technical Proposal.</w:t>
      </w:r>
    </w:p>
    <w:p w14:paraId="2B5D2404" w14:textId="4DA2A971" w:rsidR="00537458" w:rsidRPr="004D0DC2" w:rsidRDefault="00537458" w:rsidP="00537458">
      <w:pPr>
        <w:pStyle w:val="Heading4"/>
      </w:pPr>
      <w:r w:rsidRPr="004D0DC2">
        <w:lastRenderedPageBreak/>
        <w:t>3.2.</w:t>
      </w:r>
      <w:r w:rsidR="009B75B7" w:rsidRPr="004D0DC2">
        <w:t>7</w:t>
      </w:r>
      <w:r w:rsidRPr="004D0DC2">
        <w:t xml:space="preserve"> California Civil Rights Laws Certification (RFP Attachment </w:t>
      </w:r>
      <w:r w:rsidR="009B75B7" w:rsidRPr="004D0DC2">
        <w:t>8</w:t>
      </w:r>
      <w:r w:rsidRPr="004D0DC2">
        <w:t>)</w:t>
      </w:r>
    </w:p>
    <w:p w14:paraId="2F3B71DD" w14:textId="04010BEF" w:rsidR="00537458" w:rsidRPr="004D0DC2" w:rsidRDefault="00537458" w:rsidP="00537458">
      <w:pPr>
        <w:spacing w:before="240" w:after="240"/>
      </w:pPr>
      <w:r w:rsidRPr="004D0DC2">
        <w:t xml:space="preserve">California Civil Rights Laws Certification (RFP Attachment </w:t>
      </w:r>
      <w:r w:rsidR="009B75B7" w:rsidRPr="004D0DC2">
        <w:t>8</w:t>
      </w:r>
      <w:r w:rsidRPr="004D0DC2">
        <w:t>) must be completed, signed and dated with an original signature on the form included in the original Technical Proposal and a copy of the form included with each copy of the Technical Proposal.</w:t>
      </w:r>
    </w:p>
    <w:p w14:paraId="168BFEE8" w14:textId="0742C7A2" w:rsidR="00537458" w:rsidRPr="004D0DC2" w:rsidRDefault="00537458" w:rsidP="00537458">
      <w:pPr>
        <w:pStyle w:val="Heading4"/>
      </w:pPr>
      <w:r w:rsidRPr="004D0DC2">
        <w:t>3.2.</w:t>
      </w:r>
      <w:r w:rsidR="009B75B7" w:rsidRPr="004D0DC2">
        <w:t>8</w:t>
      </w:r>
      <w:r w:rsidRPr="004D0DC2">
        <w:t xml:space="preserve"> Bidder References (RFP Attachment </w:t>
      </w:r>
      <w:r w:rsidR="00C60923" w:rsidRPr="004D0DC2">
        <w:t>9</w:t>
      </w:r>
      <w:r w:rsidRPr="004D0DC2">
        <w:t>)</w:t>
      </w:r>
    </w:p>
    <w:p w14:paraId="13BED909" w14:textId="709E1AEC" w:rsidR="00537458" w:rsidRPr="004D0DC2" w:rsidRDefault="00537458" w:rsidP="00537458">
      <w:pPr>
        <w:spacing w:before="240" w:after="240"/>
      </w:pPr>
      <w:r w:rsidRPr="004D0DC2">
        <w:t xml:space="preserve">Bidders must provide three (3) references using the Bidder Reference Form included in this RFP (Attachment </w:t>
      </w:r>
      <w:r w:rsidR="00C60923" w:rsidRPr="004D0DC2">
        <w:t>9</w:t>
      </w:r>
      <w:r w:rsidRPr="004D0DC2">
        <w:t xml:space="preserve">). See </w:t>
      </w:r>
      <w:r w:rsidR="00522D63" w:rsidRPr="004D0DC2">
        <w:t xml:space="preserve">RFP </w:t>
      </w:r>
      <w:r w:rsidRPr="004D0DC2">
        <w:t xml:space="preserve">Section </w:t>
      </w:r>
      <w:r w:rsidR="00522D63" w:rsidRPr="004D0DC2">
        <w:t>3</w:t>
      </w:r>
      <w:r w:rsidRPr="004D0DC2">
        <w:t>.1.6. References may be contacted by CDE to verify the information provided on the form. References that contain false or misleading statements shall be rejected. Failure to complete and include the form with the Technical Proposal will cause your proposal to be rejected and deemed non-responsive.</w:t>
      </w:r>
    </w:p>
    <w:p w14:paraId="1B98DE14" w14:textId="4E7A700F" w:rsidR="00537458" w:rsidRPr="004D0DC2" w:rsidRDefault="00537458" w:rsidP="00537458">
      <w:pPr>
        <w:pStyle w:val="Heading4"/>
      </w:pPr>
      <w:r w:rsidRPr="004D0DC2">
        <w:t>3.2.</w:t>
      </w:r>
      <w:r w:rsidR="009B75B7" w:rsidRPr="004D0DC2">
        <w:t>9</w:t>
      </w:r>
      <w:r w:rsidRPr="004D0DC2">
        <w:t xml:space="preserve"> Bidder Declaration (GSPD-05-105)</w:t>
      </w:r>
    </w:p>
    <w:p w14:paraId="528C5465" w14:textId="53133449" w:rsidR="00537458" w:rsidRPr="004D0DC2" w:rsidRDefault="00537458" w:rsidP="00537458">
      <w:pPr>
        <w:spacing w:before="240" w:after="240"/>
      </w:pPr>
      <w:r>
        <w:t xml:space="preserve">The Bidder Declaration </w:t>
      </w:r>
      <w:r w:rsidR="006F55B3">
        <w:t>form</w:t>
      </w:r>
      <w:r>
        <w:t xml:space="preserve"> </w:t>
      </w:r>
      <w:r w:rsidR="00A23759">
        <w:t>(</w:t>
      </w:r>
      <w:r>
        <w:t>GSPD-05-105</w:t>
      </w:r>
      <w:r w:rsidR="00753B68">
        <w:t xml:space="preserve">) </w:t>
      </w:r>
      <w:r>
        <w:t xml:space="preserve">must be completed in accordance with the instructions provided on the form. All subcontractors (see Section </w:t>
      </w:r>
      <w:r w:rsidR="00522D63">
        <w:t>2</w:t>
      </w:r>
      <w:r>
        <w:t xml:space="preserve">.8 for definition of a </w:t>
      </w:r>
      <w:r w:rsidR="00522D63">
        <w:t>“</w:t>
      </w:r>
      <w:r>
        <w:t>subcontractor</w:t>
      </w:r>
      <w:r w:rsidR="00522D63">
        <w:t>”</w:t>
      </w:r>
      <w:r>
        <w:t>) and/or independent consultants proposed to be used for this project must be identified on the Bidder Declaration form</w:t>
      </w:r>
      <w:r w:rsidR="00522D63">
        <w:t>. Subcontractors listed on the Bidder Declaration form must match the subcontractors and/or independent consultants named in response to</w:t>
      </w:r>
      <w:r>
        <w:t xml:space="preserve"> RFP Section </w:t>
      </w:r>
      <w:r w:rsidR="00522D63">
        <w:t>3</w:t>
      </w:r>
      <w:r>
        <w:t>.1.3</w:t>
      </w:r>
      <w:r w:rsidR="00522D63">
        <w:t xml:space="preserve"> (Organization Structure and Personnel Resources</w:t>
      </w:r>
      <w:r>
        <w:t xml:space="preserve">). The Bidder Declaration form can be found </w:t>
      </w:r>
      <w:r w:rsidR="647870FF">
        <w:t xml:space="preserve">on the DGS website </w:t>
      </w:r>
      <w:r>
        <w:t xml:space="preserve">at </w:t>
      </w:r>
      <w:hyperlink r:id="rId10" w:tooltip="Bidder Declaration Form">
        <w:r w:rsidRPr="54EA1D9A">
          <w:rPr>
            <w:rStyle w:val="Hyperlink"/>
          </w:rPr>
          <w:t>https://www.documents.dgs.ca.gov/dgs/fmc/gs/pd/gspd05-105.pdf</w:t>
        </w:r>
      </w:hyperlink>
      <w:r w:rsidRPr="54EA1D9A">
        <w:t>.</w:t>
      </w:r>
    </w:p>
    <w:p w14:paraId="6C8E8A32" w14:textId="32769174" w:rsidR="00537458" w:rsidRPr="004D0DC2" w:rsidRDefault="00537458" w:rsidP="00537458">
      <w:pPr>
        <w:spacing w:before="240" w:after="240"/>
        <w:rPr>
          <w:rStyle w:val="Hyperlink"/>
          <w:color w:val="auto"/>
          <w:u w:val="none"/>
        </w:rPr>
      </w:pPr>
      <w:r>
        <w:t xml:space="preserve">The Bidder Declaration form will be used to determine compliance with DVBE participation requirements as specified in RFP Section </w:t>
      </w:r>
      <w:r w:rsidR="008D2E5B">
        <w:t>3.1.7, 3</w:t>
      </w:r>
      <w:r>
        <w:t>.2.1</w:t>
      </w:r>
      <w:r w:rsidR="00C60923">
        <w:t>5</w:t>
      </w:r>
      <w:r>
        <w:t xml:space="preserve"> and Attachment </w:t>
      </w:r>
      <w:r w:rsidR="009B75B7">
        <w:t>10</w:t>
      </w:r>
      <w:r>
        <w:t xml:space="preserve">. The form must be completed, signed and dated with an original signature on the form included in the original Technical Proposal and a copy of the form included with each copy of the Technical Proposal. A print out of the Supplier Profile for each participating DVBE must also be included with each copy of the Technical Proposal. The Supplier Profile can be found on the DGS </w:t>
      </w:r>
      <w:r w:rsidR="0018588B">
        <w:t>w</w:t>
      </w:r>
      <w:r>
        <w:t>ebsite</w:t>
      </w:r>
      <w:r w:rsidR="0D6E41F1">
        <w:t xml:space="preserve"> at </w:t>
      </w:r>
      <w:hyperlink r:id="rId11" w:tooltip="Cal eProcure Supplier Search">
        <w:r w:rsidRPr="54EA1D9A">
          <w:rPr>
            <w:rStyle w:val="Hyperlink"/>
          </w:rPr>
          <w:t>https://caleprocure.ca.gov/pages/PublicSearch/supplier-search.aspx</w:t>
        </w:r>
      </w:hyperlink>
      <w:r w:rsidRPr="54EA1D9A">
        <w:rPr>
          <w:rStyle w:val="Hyperlink"/>
          <w:color w:val="auto"/>
          <w:u w:val="none"/>
        </w:rPr>
        <w:t>.</w:t>
      </w:r>
    </w:p>
    <w:p w14:paraId="33588265" w14:textId="37E74EF1" w:rsidR="00537458" w:rsidRPr="004D0DC2" w:rsidRDefault="00537458" w:rsidP="00537458">
      <w:pPr>
        <w:pStyle w:val="Heading4"/>
      </w:pPr>
      <w:r w:rsidRPr="004D0DC2">
        <w:t>3.2.</w:t>
      </w:r>
      <w:r w:rsidR="009B75B7" w:rsidRPr="004D0DC2">
        <w:t>10</w:t>
      </w:r>
      <w:r w:rsidRPr="004D0DC2">
        <w:t xml:space="preserve"> Subcontractor Commitment Letter(s)</w:t>
      </w:r>
    </w:p>
    <w:p w14:paraId="658F3BA0" w14:textId="4DCB5F2F" w:rsidR="00537458" w:rsidRPr="004D0DC2" w:rsidRDefault="00537458" w:rsidP="00537458">
      <w:pPr>
        <w:spacing w:before="240" w:after="240"/>
      </w:pPr>
      <w:r w:rsidRPr="004D0DC2">
        <w:rPr>
          <w:rFonts w:eastAsia="Times New Roman" w:cs="Arial"/>
          <w:snapToGrid w:val="0"/>
          <w:szCs w:val="20"/>
        </w:rPr>
        <w:t>A subcontractor commitment letter, signed by an official representative of each subcontractor or independent consultant (see</w:t>
      </w:r>
      <w:r w:rsidR="0066101C" w:rsidRPr="004D0DC2">
        <w:rPr>
          <w:rFonts w:eastAsia="Times New Roman" w:cs="Arial"/>
          <w:snapToGrid w:val="0"/>
          <w:szCs w:val="20"/>
        </w:rPr>
        <w:t xml:space="preserve"> RFP</w:t>
      </w:r>
      <w:r w:rsidRPr="004D0DC2">
        <w:rPr>
          <w:rFonts w:eastAsia="Times New Roman" w:cs="Arial"/>
          <w:snapToGrid w:val="0"/>
          <w:szCs w:val="20"/>
        </w:rPr>
        <w:t xml:space="preserve"> Section </w:t>
      </w:r>
      <w:r w:rsidR="0066101C" w:rsidRPr="004D0DC2">
        <w:rPr>
          <w:rFonts w:eastAsia="Times New Roman" w:cs="Arial"/>
          <w:snapToGrid w:val="0"/>
          <w:szCs w:val="20"/>
        </w:rPr>
        <w:t>2</w:t>
      </w:r>
      <w:r w:rsidRPr="004D0DC2">
        <w:rPr>
          <w:rFonts w:eastAsia="Times New Roman" w:cs="Arial"/>
          <w:snapToGrid w:val="0"/>
          <w:szCs w:val="20"/>
        </w:rPr>
        <w:t xml:space="preserve">.8 for definition of subcontractor), acknowledging their intended participation/availability and confirmation that they have been made aware of the terms and conditions of the proposed contract is required for each subcontractor who will provide services in the bidder’s Technical Proposal. </w:t>
      </w:r>
      <w:r w:rsidRPr="004D0DC2">
        <w:rPr>
          <w:rFonts w:cs="Arial"/>
        </w:rPr>
        <w:t>A commitment letter is required for all subcontractors</w:t>
      </w:r>
      <w:r w:rsidR="0066101C" w:rsidRPr="004D0DC2">
        <w:rPr>
          <w:rFonts w:cs="Arial"/>
        </w:rPr>
        <w:t xml:space="preserve"> and/or independent consultants, which are also </w:t>
      </w:r>
      <w:r w:rsidR="001F7F80" w:rsidRPr="004D0DC2">
        <w:rPr>
          <w:rFonts w:cs="Arial"/>
        </w:rPr>
        <w:t xml:space="preserve">required to be </w:t>
      </w:r>
      <w:r w:rsidR="0066101C" w:rsidRPr="004D0DC2">
        <w:rPr>
          <w:rFonts w:cs="Arial"/>
        </w:rPr>
        <w:t>named in response to RFP Section 3.1.3</w:t>
      </w:r>
      <w:r w:rsidRPr="004D0DC2">
        <w:rPr>
          <w:rFonts w:cs="Arial"/>
        </w:rPr>
        <w:t xml:space="preserve">. No cost should be included in the commitment letter. </w:t>
      </w:r>
      <w:r w:rsidRPr="004D0DC2">
        <w:t>Each letter must be completed, signed and dated with an original signature included in the original Technical Proposal and a copy of the letter included with each copy of the Technical Proposal.</w:t>
      </w:r>
    </w:p>
    <w:p w14:paraId="5617A3B8" w14:textId="487622C8" w:rsidR="000F18CF" w:rsidRPr="004D0DC2" w:rsidRDefault="000F18CF" w:rsidP="000F18CF">
      <w:pPr>
        <w:pStyle w:val="Heading4"/>
      </w:pPr>
      <w:r w:rsidRPr="004D0DC2">
        <w:t>3.2.</w:t>
      </w:r>
      <w:r w:rsidR="008A7671" w:rsidRPr="004D0DC2">
        <w:t>1</w:t>
      </w:r>
      <w:r w:rsidR="009B75B7" w:rsidRPr="004D0DC2">
        <w:t>1</w:t>
      </w:r>
      <w:r w:rsidRPr="004D0DC2">
        <w:t xml:space="preserve"> Contractor Certification Clauses CCC 04/2017 </w:t>
      </w:r>
    </w:p>
    <w:p w14:paraId="63F09FB6" w14:textId="37A075E1" w:rsidR="000F18CF" w:rsidRPr="004D0DC2" w:rsidRDefault="000F18CF" w:rsidP="54EA1D9A">
      <w:pPr>
        <w:spacing w:before="240" w:after="240"/>
        <w:rPr>
          <w:rStyle w:val="Hyperlink"/>
          <w:color w:val="auto"/>
          <w:u w:val="none"/>
        </w:rPr>
      </w:pPr>
      <w:r>
        <w:t xml:space="preserve">Contractor Certification Clauses CCC 04/2017. The CCC 04/2017 must be completed, signed and dated with an original signature on the form and included in the original Technical Proposal </w:t>
      </w:r>
      <w:r>
        <w:lastRenderedPageBreak/>
        <w:t>and a copy of the form included with each copy of the Technical Proposal. The CCC 04/2017 can be found</w:t>
      </w:r>
      <w:r w:rsidR="3629D08B">
        <w:t xml:space="preserve"> on the DGS website</w:t>
      </w:r>
      <w:r>
        <w:t xml:space="preserve"> at </w:t>
      </w:r>
      <w:hyperlink r:id="rId12" w:tooltip="Contractor Certification Clauses">
        <w:r w:rsidRPr="54EA1D9A">
          <w:rPr>
            <w:rStyle w:val="Hyperlink"/>
          </w:rPr>
          <w:t>https://www.dgs.ca.gov/OLS/Resources/Page-Content/Office-of-Legal-Services-Resources-List-Folder/Standard-Contract-Language</w:t>
        </w:r>
      </w:hyperlink>
      <w:r w:rsidRPr="54EA1D9A">
        <w:rPr>
          <w:rStyle w:val="Hyperlink"/>
          <w:color w:val="auto"/>
          <w:u w:val="none"/>
        </w:rPr>
        <w:t>.</w:t>
      </w:r>
    </w:p>
    <w:p w14:paraId="42EF4849" w14:textId="4F55CE91" w:rsidR="00537458" w:rsidRPr="004D0DC2" w:rsidRDefault="004564C9" w:rsidP="00537458">
      <w:pPr>
        <w:pStyle w:val="Heading4"/>
      </w:pPr>
      <w:r w:rsidRPr="004D0DC2">
        <w:t>3</w:t>
      </w:r>
      <w:r w:rsidR="00537458" w:rsidRPr="004D0DC2">
        <w:t>.2.1</w:t>
      </w:r>
      <w:r w:rsidR="009B75B7" w:rsidRPr="004D0DC2">
        <w:t>2</w:t>
      </w:r>
      <w:r w:rsidR="00537458" w:rsidRPr="004D0DC2">
        <w:t xml:space="preserve"> Payee Data Record (STD.</w:t>
      </w:r>
      <w:r w:rsidR="006C6950" w:rsidRPr="004D0DC2">
        <w:t xml:space="preserve"> </w:t>
      </w:r>
      <w:r w:rsidR="00537458" w:rsidRPr="004D0DC2">
        <w:t>204)</w:t>
      </w:r>
    </w:p>
    <w:p w14:paraId="70B4E638" w14:textId="067AE563" w:rsidR="00537458" w:rsidRPr="004D0DC2" w:rsidRDefault="00537458" w:rsidP="00537458">
      <w:pPr>
        <w:spacing w:before="240" w:after="240"/>
        <w:rPr>
          <w:rStyle w:val="Hyperlink"/>
          <w:color w:val="auto"/>
          <w:u w:val="none"/>
        </w:rPr>
      </w:pPr>
      <w:r>
        <w:t>The Payee Data Record (STD. 204) must be fully completed, signed and dated with an original signature on the form included with the original Technical Proposal and a copy of the form included with each copy of the Technical Proposal. The Payee Data Record STD. 204 can be found</w:t>
      </w:r>
      <w:r w:rsidR="3A2CF9F0">
        <w:t xml:space="preserve"> on the DGS website</w:t>
      </w:r>
      <w:r>
        <w:t xml:space="preserve"> at </w:t>
      </w:r>
      <w:hyperlink r:id="rId13" w:history="1">
        <w:r w:rsidR="00B206BD" w:rsidRPr="00237D08">
          <w:rPr>
            <w:rStyle w:val="Hyperlink"/>
          </w:rPr>
          <w:t>https://www.documents.dgs.ca.gov/dgs/fmc/pdf/std204.pdf</w:t>
        </w:r>
      </w:hyperlink>
      <w:r w:rsidRPr="54EA1D9A">
        <w:rPr>
          <w:rStyle w:val="Hyperlink"/>
          <w:color w:val="auto"/>
          <w:u w:val="none"/>
        </w:rPr>
        <w:t>.</w:t>
      </w:r>
    </w:p>
    <w:p w14:paraId="497BCB05" w14:textId="4268AE0C" w:rsidR="0066101C" w:rsidRPr="004D0DC2" w:rsidRDefault="0066101C" w:rsidP="0066101C">
      <w:pPr>
        <w:spacing w:before="240" w:after="240"/>
      </w:pPr>
      <w:r>
        <w:t xml:space="preserve">The Payee Data Record Supplement (STD. 205) may be completed, signed and dated with an original signature and included with the original Technical Proposal and a copy of the form included with each copy of the Technical Proposal if the bidding firm must identify a remittance address if different from the mailing address identified on the STD. 204. The Payee Data Record Supplemental STD. 205 can be found </w:t>
      </w:r>
      <w:r w:rsidR="5C91DD76">
        <w:t xml:space="preserve">on the DGS website </w:t>
      </w:r>
      <w:r>
        <w:t xml:space="preserve">at </w:t>
      </w:r>
      <w:hyperlink r:id="rId14" w:tooltip="Payee Data Record Supplemental">
        <w:r w:rsidRPr="54EA1D9A">
          <w:rPr>
            <w:rStyle w:val="Hyperlink"/>
          </w:rPr>
          <w:t>https://www.documents.dgs.ca.gov/dgs/fmc/pdf/std205.pdf</w:t>
        </w:r>
      </w:hyperlink>
      <w:r>
        <w:t>.</w:t>
      </w:r>
    </w:p>
    <w:p w14:paraId="66F0DA0B" w14:textId="6DFA9D2D" w:rsidR="00537458" w:rsidRPr="004D0DC2" w:rsidRDefault="004564C9" w:rsidP="00537458">
      <w:pPr>
        <w:pStyle w:val="Heading4"/>
      </w:pPr>
      <w:r w:rsidRPr="004D0DC2">
        <w:t>3</w:t>
      </w:r>
      <w:r w:rsidR="00537458" w:rsidRPr="004D0DC2">
        <w:t>.2.1</w:t>
      </w:r>
      <w:r w:rsidR="009B75B7" w:rsidRPr="004D0DC2">
        <w:t>3</w:t>
      </w:r>
      <w:r w:rsidR="00537458" w:rsidRPr="004D0DC2">
        <w:t xml:space="preserve"> Certificate of Good Standing </w:t>
      </w:r>
    </w:p>
    <w:p w14:paraId="40E9C0D2" w14:textId="30C2269C" w:rsidR="00537458" w:rsidRPr="004D0DC2" w:rsidRDefault="00537458" w:rsidP="00537458">
      <w:pPr>
        <w:spacing w:before="240" w:after="240"/>
        <w:rPr>
          <w:szCs w:val="24"/>
        </w:rPr>
      </w:pPr>
      <w:r w:rsidRPr="004D0DC2">
        <w:rPr>
          <w:szCs w:val="24"/>
        </w:rPr>
        <w:t xml:space="preserve">A copy of the </w:t>
      </w:r>
      <w:r w:rsidRPr="004D0DC2">
        <w:rPr>
          <w:rFonts w:cs="Arial"/>
          <w:bCs/>
          <w:szCs w:val="24"/>
        </w:rPr>
        <w:t xml:space="preserve">bidding firm’s most current Certificate of Good Standing issued by the California Secretary of State, or a separate paragraph that clearly states the bidder’s legal status and evidence that it is legally constituted and qualified to do business with the State of California (see RFP, Section </w:t>
      </w:r>
      <w:r w:rsidR="006C2173" w:rsidRPr="004D0DC2">
        <w:rPr>
          <w:rFonts w:cs="Arial"/>
          <w:bCs/>
          <w:szCs w:val="24"/>
        </w:rPr>
        <w:t>2</w:t>
      </w:r>
      <w:r w:rsidRPr="004D0DC2">
        <w:rPr>
          <w:rFonts w:cs="Arial"/>
          <w:bCs/>
          <w:szCs w:val="24"/>
        </w:rPr>
        <w:t>.1 Bidder Eligibility).</w:t>
      </w:r>
    </w:p>
    <w:p w14:paraId="5CAD8D55" w14:textId="5E08ADD2" w:rsidR="00537458" w:rsidRPr="004D0DC2" w:rsidRDefault="004564C9" w:rsidP="00537458">
      <w:pPr>
        <w:pStyle w:val="Heading4"/>
      </w:pPr>
      <w:r w:rsidRPr="004D0DC2">
        <w:t>3</w:t>
      </w:r>
      <w:r w:rsidR="00537458" w:rsidRPr="004D0DC2">
        <w:t>.2.1</w:t>
      </w:r>
      <w:r w:rsidR="009B75B7" w:rsidRPr="004D0DC2">
        <w:t>4</w:t>
      </w:r>
      <w:r w:rsidR="00537458" w:rsidRPr="004D0DC2">
        <w:t xml:space="preserve"> Conditional Attachments</w:t>
      </w:r>
    </w:p>
    <w:p w14:paraId="0913DA36" w14:textId="7139C21F" w:rsidR="00537458" w:rsidRPr="004D0DC2" w:rsidRDefault="00537458" w:rsidP="00537458">
      <w:pPr>
        <w:pStyle w:val="ListParagraph"/>
        <w:tabs>
          <w:tab w:val="left" w:pos="0"/>
          <w:tab w:val="left" w:pos="630"/>
          <w:tab w:val="left" w:pos="1350"/>
        </w:tabs>
        <w:spacing w:before="240" w:after="240"/>
        <w:ind w:left="0"/>
        <w:contextualSpacing w:val="0"/>
      </w:pPr>
      <w:r w:rsidRPr="004D0DC2">
        <w:t xml:space="preserve">The following two (2) </w:t>
      </w:r>
      <w:r w:rsidR="008D3596" w:rsidRPr="004D0DC2">
        <w:t>a</w:t>
      </w:r>
      <w:r w:rsidRPr="004D0DC2">
        <w:t xml:space="preserve">ttachments are required by the successful bidder of this RFP, upon award of the contract, and do not need to be included with the bidders Technical Proposal. However, bidders’ are required to certify on the Bidder Certification </w:t>
      </w:r>
      <w:r w:rsidR="006C6950" w:rsidRPr="004D0DC2">
        <w:t>Sheet</w:t>
      </w:r>
      <w:r w:rsidRPr="004D0DC2">
        <w:t xml:space="preserve"> (RFP Attachment </w:t>
      </w:r>
      <w:r w:rsidR="008D3596" w:rsidRPr="004D0DC2">
        <w:t>3</w:t>
      </w:r>
      <w:r w:rsidRPr="004D0DC2">
        <w:t xml:space="preserve">) that Attachment </w:t>
      </w:r>
      <w:r w:rsidR="00D8386E" w:rsidRPr="004D0DC2">
        <w:t xml:space="preserve">12 </w:t>
      </w:r>
      <w:r w:rsidRPr="004D0DC2">
        <w:t xml:space="preserve">and Attachment </w:t>
      </w:r>
      <w:r w:rsidR="00D8386E" w:rsidRPr="004D0DC2">
        <w:t xml:space="preserve">13 </w:t>
      </w:r>
      <w:r w:rsidRPr="004D0DC2">
        <w:t>will be completed and signed in accordance with the instructions indicated below:</w:t>
      </w:r>
    </w:p>
    <w:p w14:paraId="59A70569" w14:textId="53435BE5" w:rsidR="00537458" w:rsidRPr="004D0DC2" w:rsidRDefault="00537458" w:rsidP="00132985">
      <w:pPr>
        <w:pStyle w:val="List4"/>
        <w:numPr>
          <w:ilvl w:val="0"/>
          <w:numId w:val="12"/>
        </w:numPr>
        <w:tabs>
          <w:tab w:val="left" w:pos="360"/>
        </w:tabs>
        <w:spacing w:before="240" w:after="240"/>
        <w:ind w:left="360"/>
        <w:rPr>
          <w:rFonts w:ascii="Arial" w:hAnsi="Arial" w:cs="Arial"/>
        </w:rPr>
      </w:pPr>
      <w:r w:rsidRPr="004D0DC2">
        <w:rPr>
          <w:rFonts w:ascii="Arial" w:hAnsi="Arial" w:cs="Arial"/>
          <w:szCs w:val="24"/>
        </w:rPr>
        <w:t xml:space="preserve">Conflict of Interest and Confidentiality Statement (RFP Attachment </w:t>
      </w:r>
      <w:r w:rsidR="00D8386E" w:rsidRPr="004D0DC2">
        <w:rPr>
          <w:rFonts w:ascii="Arial" w:hAnsi="Arial" w:cs="Arial"/>
          <w:szCs w:val="24"/>
        </w:rPr>
        <w:t>12</w:t>
      </w:r>
      <w:r w:rsidRPr="004D0DC2">
        <w:rPr>
          <w:rFonts w:ascii="Arial" w:hAnsi="Arial" w:cs="Arial"/>
          <w:szCs w:val="24"/>
        </w:rPr>
        <w:t xml:space="preserve">) </w:t>
      </w:r>
    </w:p>
    <w:p w14:paraId="77876508" w14:textId="7E4A4C8B" w:rsidR="00537458" w:rsidRPr="004D0DC2" w:rsidRDefault="00537458" w:rsidP="00537458">
      <w:pPr>
        <w:pStyle w:val="List4"/>
        <w:tabs>
          <w:tab w:val="left" w:pos="360"/>
        </w:tabs>
        <w:spacing w:before="240" w:after="240"/>
        <w:ind w:left="360" w:firstLine="0"/>
        <w:rPr>
          <w:rFonts w:ascii="Arial" w:hAnsi="Arial" w:cs="Arial"/>
        </w:rPr>
      </w:pPr>
      <w:r w:rsidRPr="004D0DC2">
        <w:rPr>
          <w:rFonts w:ascii="Arial" w:hAnsi="Arial" w:cs="Arial"/>
          <w:szCs w:val="24"/>
        </w:rPr>
        <w:t xml:space="preserve">The Conflict of Interest and Confidentiality Statement (RFP Attachment </w:t>
      </w:r>
      <w:r w:rsidR="00D8386E" w:rsidRPr="004D0DC2">
        <w:rPr>
          <w:rFonts w:ascii="Arial" w:hAnsi="Arial" w:cs="Arial"/>
          <w:szCs w:val="24"/>
        </w:rPr>
        <w:t>12</w:t>
      </w:r>
      <w:r w:rsidRPr="004D0DC2">
        <w:rPr>
          <w:rFonts w:ascii="Arial" w:hAnsi="Arial" w:cs="Arial"/>
          <w:szCs w:val="24"/>
        </w:rPr>
        <w:t xml:space="preserve">) must be completed, signed and dated by the successful bidder, and all subcontractors, as a condition of receipt of the contract. By signing the Bidder Certification Sheet (RFP Attachment </w:t>
      </w:r>
      <w:r w:rsidR="008D3596" w:rsidRPr="004D0DC2">
        <w:rPr>
          <w:rFonts w:ascii="Arial" w:hAnsi="Arial" w:cs="Arial"/>
          <w:szCs w:val="24"/>
        </w:rPr>
        <w:t>3</w:t>
      </w:r>
      <w:r w:rsidRPr="004D0DC2">
        <w:rPr>
          <w:rFonts w:ascii="Arial" w:hAnsi="Arial" w:cs="Arial"/>
          <w:szCs w:val="24"/>
        </w:rPr>
        <w:t>), the bidder agrees to comply with this requirement.</w:t>
      </w:r>
    </w:p>
    <w:p w14:paraId="203BE695" w14:textId="32CB6FCE" w:rsidR="00537458" w:rsidRPr="004D0DC2" w:rsidRDefault="00537458" w:rsidP="00132985">
      <w:pPr>
        <w:pStyle w:val="List4"/>
        <w:numPr>
          <w:ilvl w:val="0"/>
          <w:numId w:val="12"/>
        </w:numPr>
        <w:tabs>
          <w:tab w:val="left" w:pos="360"/>
        </w:tabs>
        <w:spacing w:before="240" w:after="240"/>
        <w:ind w:left="360"/>
        <w:rPr>
          <w:snapToGrid w:val="0"/>
        </w:rPr>
      </w:pPr>
      <w:r w:rsidRPr="004D0DC2">
        <w:rPr>
          <w:rFonts w:ascii="Arial" w:hAnsi="Arial" w:cs="Arial"/>
        </w:rPr>
        <w:t xml:space="preserve">California Department of Education Computer Security Policy (RFP Attachment </w:t>
      </w:r>
      <w:r w:rsidR="00D8386E" w:rsidRPr="004D0DC2">
        <w:rPr>
          <w:rFonts w:ascii="Arial" w:hAnsi="Arial" w:cs="Arial"/>
        </w:rPr>
        <w:t>13</w:t>
      </w:r>
      <w:r w:rsidRPr="004D0DC2">
        <w:rPr>
          <w:rFonts w:ascii="Arial" w:hAnsi="Arial" w:cs="Arial"/>
        </w:rPr>
        <w:t xml:space="preserve">) </w:t>
      </w:r>
    </w:p>
    <w:p w14:paraId="3509B394" w14:textId="5BF452C9" w:rsidR="00537458" w:rsidRPr="004D0DC2" w:rsidRDefault="00537458" w:rsidP="00537458">
      <w:pPr>
        <w:pStyle w:val="List4"/>
        <w:tabs>
          <w:tab w:val="left" w:pos="360"/>
        </w:tabs>
        <w:spacing w:before="240" w:after="240"/>
        <w:ind w:left="360" w:firstLine="0"/>
        <w:rPr>
          <w:snapToGrid w:val="0"/>
        </w:rPr>
      </w:pPr>
      <w:r w:rsidRPr="004D0DC2">
        <w:rPr>
          <w:rFonts w:ascii="Arial" w:hAnsi="Arial" w:cs="Arial"/>
        </w:rPr>
        <w:t xml:space="preserve">The California Department of Education Computer Security Policy (RFP Attachment </w:t>
      </w:r>
      <w:r w:rsidR="00D8386E" w:rsidRPr="004D0DC2">
        <w:rPr>
          <w:rFonts w:ascii="Arial" w:hAnsi="Arial" w:cs="Arial"/>
        </w:rPr>
        <w:t>13</w:t>
      </w:r>
      <w:r w:rsidRPr="004D0DC2">
        <w:rPr>
          <w:rFonts w:ascii="Arial" w:hAnsi="Arial" w:cs="Arial"/>
        </w:rPr>
        <w:t xml:space="preserve">) must be completed, signed and dated by the bidder, subcontractors and each of their employees engaging in services to CDE related to this RFP and the resulting contract and kept on file by the bidder and made available to the CDE upon request, as a condition of receipt of the contract. By signing the Bidder Certification Sheet (RFP Attachment </w:t>
      </w:r>
      <w:r w:rsidR="008D3596" w:rsidRPr="004D0DC2">
        <w:rPr>
          <w:rFonts w:ascii="Arial" w:hAnsi="Arial" w:cs="Arial"/>
        </w:rPr>
        <w:t>3</w:t>
      </w:r>
      <w:r w:rsidRPr="004D0DC2">
        <w:rPr>
          <w:rFonts w:ascii="Arial" w:hAnsi="Arial" w:cs="Arial"/>
        </w:rPr>
        <w:t>) the bidder agrees to comply with this requirement.</w:t>
      </w:r>
    </w:p>
    <w:p w14:paraId="503AF940" w14:textId="648A56CE" w:rsidR="00537458" w:rsidRPr="004D0DC2" w:rsidRDefault="004564C9" w:rsidP="00537458">
      <w:pPr>
        <w:pStyle w:val="Heading4"/>
      </w:pPr>
      <w:r w:rsidRPr="004D0DC2">
        <w:lastRenderedPageBreak/>
        <w:t>3</w:t>
      </w:r>
      <w:r w:rsidR="00537458" w:rsidRPr="004D0DC2">
        <w:t>.2.1</w:t>
      </w:r>
      <w:r w:rsidR="009B75B7" w:rsidRPr="004D0DC2">
        <w:t>5</w:t>
      </w:r>
      <w:r w:rsidR="00537458" w:rsidRPr="004D0DC2">
        <w:t xml:space="preserve"> Disabled Veteran Business Enterprise (DVBE) Program Requirements</w:t>
      </w:r>
    </w:p>
    <w:p w14:paraId="0178E6D8" w14:textId="6C7E9961" w:rsidR="00537458" w:rsidRPr="004D0DC2" w:rsidRDefault="00537458" w:rsidP="00537458">
      <w:pPr>
        <w:spacing w:before="240" w:after="240"/>
        <w:rPr>
          <w:rFonts w:cs="Arial"/>
        </w:rPr>
      </w:pPr>
      <w:r w:rsidRPr="004D0DC2">
        <w:rPr>
          <w:rFonts w:cs="Arial"/>
        </w:rPr>
        <w:t>In accordance with Public Contract Code section 10115 et. seq., and California Military and Veterans Code section 999, et. seq., every bidder must comply with the DVBE program participation requirements. These requirements apply whether conducting business as a public agency, profit or non-profit individual, partnership or corporation. In order to be deemed responsive and eligible for award of the contract, the bidder must attain the prescribed participation requirement.</w:t>
      </w:r>
    </w:p>
    <w:p w14:paraId="163C90BD" w14:textId="464C9F9C" w:rsidR="00537458" w:rsidRPr="004D0DC2" w:rsidRDefault="00537458" w:rsidP="54EA1D9A">
      <w:pPr>
        <w:spacing w:after="240"/>
        <w:rPr>
          <w:rFonts w:cs="Arial"/>
          <w:color w:val="000000"/>
        </w:rPr>
      </w:pPr>
      <w:r w:rsidRPr="54EA1D9A">
        <w:rPr>
          <w:rFonts w:cs="Arial"/>
          <w:color w:val="000000" w:themeColor="text1"/>
        </w:rPr>
        <w:t xml:space="preserve">This solicitation requires a minimum </w:t>
      </w:r>
      <w:r w:rsidR="34351502" w:rsidRPr="54EA1D9A">
        <w:rPr>
          <w:rFonts w:cs="Arial"/>
          <w:color w:val="000000" w:themeColor="text1"/>
        </w:rPr>
        <w:t>3</w:t>
      </w:r>
      <w:r w:rsidRPr="54EA1D9A">
        <w:rPr>
          <w:rFonts w:cs="Arial"/>
          <w:color w:val="000000" w:themeColor="text1"/>
        </w:rPr>
        <w:t xml:space="preserve"> percent DVBE participation.</w:t>
      </w:r>
    </w:p>
    <w:p w14:paraId="2C8952D7" w14:textId="69704AFF" w:rsidR="00537458" w:rsidRPr="004D0DC2" w:rsidRDefault="00537458" w:rsidP="00537458">
      <w:pPr>
        <w:spacing w:after="240"/>
        <w:rPr>
          <w:rFonts w:cs="Arial"/>
        </w:rPr>
      </w:pPr>
      <w:r w:rsidRPr="54EA1D9A">
        <w:rPr>
          <w:rFonts w:cs="Arial"/>
        </w:rPr>
        <w:t xml:space="preserve">The </w:t>
      </w:r>
      <w:r w:rsidR="38097376" w:rsidRPr="54EA1D9A">
        <w:rPr>
          <w:rFonts w:cs="Arial"/>
        </w:rPr>
        <w:t xml:space="preserve">3 </w:t>
      </w:r>
      <w:r w:rsidRPr="54EA1D9A">
        <w:rPr>
          <w:rFonts w:cs="Arial"/>
        </w:rPr>
        <w:t>percent DVBE participation percentage must be based on the total contract dollar value. A proposal will be disqualified if DVBE requirements are not met.</w:t>
      </w:r>
    </w:p>
    <w:p w14:paraId="2B3BDF95" w14:textId="5AC6A486" w:rsidR="00537458" w:rsidRPr="004D0DC2" w:rsidRDefault="00537458" w:rsidP="00537458">
      <w:pPr>
        <w:autoSpaceDE w:val="0"/>
        <w:autoSpaceDN w:val="0"/>
        <w:adjustRightInd w:val="0"/>
        <w:spacing w:before="240" w:after="240"/>
        <w:rPr>
          <w:rFonts w:cs="Arial"/>
        </w:rPr>
      </w:pPr>
      <w:r w:rsidRPr="004D0DC2">
        <w:rPr>
          <w:rFonts w:cs="Arial"/>
        </w:rPr>
        <w:t xml:space="preserve">RFP Attachment </w:t>
      </w:r>
      <w:r w:rsidR="009B75B7" w:rsidRPr="004D0DC2">
        <w:rPr>
          <w:rFonts w:cs="Arial"/>
        </w:rPr>
        <w:t>10</w:t>
      </w:r>
      <w:r w:rsidRPr="004D0DC2">
        <w:rPr>
          <w:rFonts w:cs="Arial"/>
        </w:rPr>
        <w:t xml:space="preserve"> contains information and instructions in which each bidder must comply with in order to achieve the required participation percentage.</w:t>
      </w:r>
    </w:p>
    <w:p w14:paraId="32FD0E51" w14:textId="5ECCEBEC" w:rsidR="00537458" w:rsidRPr="004D0DC2" w:rsidRDefault="00537458" w:rsidP="00537458">
      <w:pPr>
        <w:autoSpaceDE w:val="0"/>
        <w:autoSpaceDN w:val="0"/>
        <w:adjustRightInd w:val="0"/>
        <w:spacing w:before="240" w:after="240"/>
        <w:rPr>
          <w:rFonts w:cs="Arial"/>
        </w:rPr>
      </w:pPr>
      <w:r w:rsidRPr="004D0DC2">
        <w:rPr>
          <w:rFonts w:cs="Arial"/>
        </w:rPr>
        <w:t>All bidders must document DVBE participation commitment by completing and submitting the following forms with the Technical Proposal:</w:t>
      </w:r>
    </w:p>
    <w:p w14:paraId="311AF794" w14:textId="77777777" w:rsidR="00537458" w:rsidRPr="004D0DC2" w:rsidRDefault="00537458" w:rsidP="00132985">
      <w:pPr>
        <w:pStyle w:val="ListParagraph"/>
        <w:numPr>
          <w:ilvl w:val="0"/>
          <w:numId w:val="25"/>
        </w:numPr>
        <w:autoSpaceDE w:val="0"/>
        <w:autoSpaceDN w:val="0"/>
        <w:adjustRightInd w:val="0"/>
        <w:spacing w:before="240" w:after="240"/>
        <w:ind w:hanging="720"/>
        <w:contextualSpacing w:val="0"/>
      </w:pPr>
      <w:r w:rsidRPr="004D0DC2">
        <w:t xml:space="preserve">The Bidder Declaration Form (GSPD-05-105) </w:t>
      </w:r>
    </w:p>
    <w:p w14:paraId="7298C928" w14:textId="4D00C5E2" w:rsidR="00537458" w:rsidRPr="004D0DC2" w:rsidRDefault="00537458" w:rsidP="54EA1D9A">
      <w:pPr>
        <w:pStyle w:val="ListParagraph"/>
        <w:autoSpaceDE w:val="0"/>
        <w:autoSpaceDN w:val="0"/>
        <w:adjustRightInd w:val="0"/>
        <w:spacing w:before="240" w:after="240"/>
        <w:rPr>
          <w:color w:val="000000"/>
        </w:rPr>
      </w:pPr>
      <w:r>
        <w:t xml:space="preserve">The Bidder Declaration Form (GSPD-05-105) must be completed in accordance with the instructions provided on the form. </w:t>
      </w:r>
      <w:r w:rsidRPr="54EA1D9A">
        <w:rPr>
          <w:color w:val="000000" w:themeColor="text1"/>
        </w:rPr>
        <w:t xml:space="preserve">When completing the Bidder Declaration, bidders must identify all subcontractors proposed for participation in the contract (See RFP Section </w:t>
      </w:r>
      <w:r w:rsidR="00756EC6" w:rsidRPr="54EA1D9A">
        <w:rPr>
          <w:color w:val="000000" w:themeColor="text1"/>
        </w:rPr>
        <w:t>3</w:t>
      </w:r>
      <w:r w:rsidRPr="54EA1D9A">
        <w:rPr>
          <w:color w:val="000000" w:themeColor="text1"/>
        </w:rPr>
        <w:t>.2.</w:t>
      </w:r>
      <w:r w:rsidR="009B75B7" w:rsidRPr="54EA1D9A">
        <w:rPr>
          <w:color w:val="000000" w:themeColor="text1"/>
        </w:rPr>
        <w:t>9</w:t>
      </w:r>
      <w:r w:rsidRPr="54EA1D9A">
        <w:rPr>
          <w:color w:val="000000" w:themeColor="text1"/>
        </w:rPr>
        <w:t xml:space="preserve">). Bidders must identify the percentage figure representing the </w:t>
      </w:r>
      <w:r w:rsidR="006844F1" w:rsidRPr="54EA1D9A">
        <w:rPr>
          <w:color w:val="000000" w:themeColor="text1"/>
        </w:rPr>
        <w:t xml:space="preserve">percentage </w:t>
      </w:r>
      <w:r w:rsidRPr="54EA1D9A">
        <w:rPr>
          <w:color w:val="000000" w:themeColor="text1"/>
        </w:rPr>
        <w:t xml:space="preserve">of participation for each subcontractor, including the DVBE subcontractor, rather than an actual dollar figure. </w:t>
      </w:r>
      <w:r w:rsidR="008D0B80" w:rsidRPr="54EA1D9A">
        <w:rPr>
          <w:color w:val="000000" w:themeColor="text1"/>
        </w:rPr>
        <w:t xml:space="preserve">The percentages must total </w:t>
      </w:r>
      <w:r w:rsidR="020F71AB" w:rsidRPr="54EA1D9A">
        <w:rPr>
          <w:color w:val="000000" w:themeColor="text1"/>
        </w:rPr>
        <w:t>3</w:t>
      </w:r>
      <w:r w:rsidR="008D0B80" w:rsidRPr="54EA1D9A">
        <w:rPr>
          <w:color w:val="000000" w:themeColor="text1"/>
        </w:rPr>
        <w:t xml:space="preserve"> percent or more. </w:t>
      </w:r>
      <w:r w:rsidRPr="54EA1D9A">
        <w:rPr>
          <w:color w:val="000000" w:themeColor="text1"/>
        </w:rPr>
        <w:t xml:space="preserve">No actual dollar figures should appear on the Bidder Declaration. This solicitation requires a minimum of </w:t>
      </w:r>
      <w:r w:rsidR="3E68C8BC" w:rsidRPr="54EA1D9A">
        <w:rPr>
          <w:color w:val="000000" w:themeColor="text1"/>
        </w:rPr>
        <w:t xml:space="preserve">3 </w:t>
      </w:r>
      <w:r w:rsidRPr="54EA1D9A">
        <w:rPr>
          <w:color w:val="000000" w:themeColor="text1"/>
        </w:rPr>
        <w:t>percent total DVBE participation.</w:t>
      </w:r>
    </w:p>
    <w:p w14:paraId="6A6A0AAA" w14:textId="6C6714D8" w:rsidR="00537458" w:rsidRPr="004D0DC2" w:rsidRDefault="00537458" w:rsidP="00537458">
      <w:pPr>
        <w:pStyle w:val="ListParagraph"/>
        <w:autoSpaceDE w:val="0"/>
        <w:autoSpaceDN w:val="0"/>
        <w:adjustRightInd w:val="0"/>
        <w:spacing w:before="240" w:after="240"/>
        <w:contextualSpacing w:val="0"/>
      </w:pPr>
      <w:r w:rsidRPr="004D0DC2">
        <w:rPr>
          <w:color w:val="000000"/>
          <w:szCs w:val="24"/>
        </w:rPr>
        <w:t xml:space="preserve">The Bidder Declaration form can be found at </w:t>
      </w:r>
      <w:hyperlink r:id="rId15" w:tooltip="Bidder Declaration Form" w:history="1">
        <w:r w:rsidRPr="004D0DC2">
          <w:rPr>
            <w:rStyle w:val="Hyperlink"/>
          </w:rPr>
          <w:t>https://www.documents.dgs.ca.gov/dgs/fmc/gs/pd/gspd05-105.pdf</w:t>
        </w:r>
      </w:hyperlink>
      <w:r w:rsidRPr="004D0DC2">
        <w:t>.</w:t>
      </w:r>
    </w:p>
    <w:p w14:paraId="0127F90C" w14:textId="77777777" w:rsidR="00537458" w:rsidRPr="004D0DC2" w:rsidRDefault="00537458" w:rsidP="00132985">
      <w:pPr>
        <w:pStyle w:val="ListParagraph"/>
        <w:numPr>
          <w:ilvl w:val="0"/>
          <w:numId w:val="25"/>
        </w:numPr>
        <w:spacing w:before="240" w:after="240"/>
        <w:ind w:hanging="720"/>
        <w:contextualSpacing w:val="0"/>
      </w:pPr>
      <w:r w:rsidRPr="004D0DC2">
        <w:t>DVBE Subcontractor Commitment Letter</w:t>
      </w:r>
    </w:p>
    <w:p w14:paraId="7589FA4D" w14:textId="77777777" w:rsidR="00537458" w:rsidRPr="004D0DC2" w:rsidRDefault="00537458" w:rsidP="00537458">
      <w:pPr>
        <w:pStyle w:val="ListParagraph"/>
        <w:spacing w:before="240" w:after="240"/>
        <w:contextualSpacing w:val="0"/>
      </w:pPr>
      <w:bookmarkStart w:id="9" w:name="_Hlk90634279"/>
      <w:r w:rsidRPr="004D0DC2">
        <w:t xml:space="preserve">The Technical Proposal must include a subcontractor commitment letter from each DVBE subcontractor </w:t>
      </w:r>
      <w:r w:rsidRPr="004D0DC2">
        <w:rPr>
          <w:rFonts w:eastAsia="Times New Roman" w:cs="Arial"/>
          <w:snapToGrid w:val="0"/>
          <w:szCs w:val="20"/>
        </w:rPr>
        <w:t>signed by an official representative of each subcontractor or independent consultant, acknowledging their intended participation/availability and confirmation that they have been made aware of the terms and conditions of the proposed contract.</w:t>
      </w:r>
      <w:r w:rsidRPr="004D0DC2">
        <w:rPr>
          <w:rFonts w:cs="Arial"/>
        </w:rPr>
        <w:t xml:space="preserve"> No cost should be included in the commitment letter. </w:t>
      </w:r>
      <w:r w:rsidRPr="004D0DC2">
        <w:t>Each letter must include the solicitation number and be signed and dated with an original signature included in the original Technical Proposal and a copy of the letter included with each copy of the Technical Proposal.</w:t>
      </w:r>
      <w:bookmarkEnd w:id="9"/>
    </w:p>
    <w:p w14:paraId="49545DF9" w14:textId="77777777" w:rsidR="00537458" w:rsidRPr="004D0DC2" w:rsidRDefault="00537458" w:rsidP="00132985">
      <w:pPr>
        <w:pStyle w:val="ListParagraph"/>
        <w:numPr>
          <w:ilvl w:val="0"/>
          <w:numId w:val="25"/>
        </w:numPr>
        <w:spacing w:before="240" w:after="240"/>
        <w:ind w:hanging="720"/>
        <w:contextualSpacing w:val="0"/>
      </w:pPr>
      <w:r w:rsidRPr="004D0DC2">
        <w:t>DVBE Certification</w:t>
      </w:r>
    </w:p>
    <w:p w14:paraId="44A60488" w14:textId="40B3D95F" w:rsidR="00537458" w:rsidRPr="004D0DC2" w:rsidRDefault="00537458" w:rsidP="00537458">
      <w:pPr>
        <w:pStyle w:val="ListParagraph"/>
        <w:spacing w:before="240" w:after="240"/>
        <w:contextualSpacing w:val="0"/>
      </w:pPr>
      <w:r w:rsidRPr="004D0DC2">
        <w:t xml:space="preserve">The Technical Proposal must include a copy of the DVBE certification for each DVBE contractor/subcontractor. DVBE certification confirmation can be printed from Cal eProcure at </w:t>
      </w:r>
      <w:hyperlink r:id="rId16" w:tooltip="Cal eProcure website" w:history="1">
        <w:r w:rsidRPr="004D0DC2">
          <w:rPr>
            <w:rStyle w:val="Hyperlink"/>
          </w:rPr>
          <w:t>https://caleprocure.ca.gov/pages/PublicSearch/supplier-search.aspx</w:t>
        </w:r>
      </w:hyperlink>
      <w:r w:rsidRPr="004D0DC2">
        <w:t>.</w:t>
      </w:r>
    </w:p>
    <w:p w14:paraId="30089E8A" w14:textId="77777777" w:rsidR="00537458" w:rsidRPr="004D0DC2" w:rsidRDefault="00537458" w:rsidP="00132985">
      <w:pPr>
        <w:pStyle w:val="ListParagraph"/>
        <w:numPr>
          <w:ilvl w:val="0"/>
          <w:numId w:val="25"/>
        </w:numPr>
        <w:spacing w:before="240" w:after="240"/>
        <w:ind w:hanging="720"/>
        <w:contextualSpacing w:val="0"/>
      </w:pPr>
      <w:r w:rsidRPr="004D0DC2">
        <w:lastRenderedPageBreak/>
        <w:t>Disabled Veteran Business Enterprise (DVBE) Declaration (STD. 843)</w:t>
      </w:r>
    </w:p>
    <w:p w14:paraId="55B6D266" w14:textId="4F64607F" w:rsidR="00537458" w:rsidRPr="004D0DC2" w:rsidRDefault="00537458" w:rsidP="00537458">
      <w:pPr>
        <w:pStyle w:val="ListParagraph"/>
        <w:spacing w:before="240" w:after="240"/>
        <w:contextualSpacing w:val="0"/>
      </w:pPr>
      <w:r w:rsidRPr="004D0DC2">
        <w:t xml:space="preserve">The DVBE Declaration form (STD. 843) must be completed in accordance with the instructions on the form for all DVBE entities who will work on this project. </w:t>
      </w:r>
      <w:bookmarkStart w:id="10" w:name="_Hlk90634349"/>
      <w:r w:rsidRPr="004D0DC2">
        <w:t xml:space="preserve">The DVBE Declaration form will be used to confirm compliance with DVBE participation requirements as specified herein and Attachment </w:t>
      </w:r>
      <w:r w:rsidR="008D3596" w:rsidRPr="004D0DC2">
        <w:t>9</w:t>
      </w:r>
      <w:r w:rsidRPr="004D0DC2">
        <w:t>. The form must be completed, signed and dated with an original signature on the form</w:t>
      </w:r>
      <w:bookmarkEnd w:id="10"/>
      <w:r w:rsidRPr="004D0DC2">
        <w:t xml:space="preserve"> included in the original Technical Proposal and a copy of the form included with each copy of the Technical Proposal.</w:t>
      </w:r>
    </w:p>
    <w:p w14:paraId="61B26AB8" w14:textId="35D8A119" w:rsidR="00537458" w:rsidRPr="004D0DC2" w:rsidRDefault="00537458" w:rsidP="00537458">
      <w:pPr>
        <w:pStyle w:val="ListParagraph"/>
        <w:spacing w:before="240" w:after="240"/>
        <w:contextualSpacing w:val="0"/>
        <w:rPr>
          <w:rStyle w:val="Hyperlink"/>
          <w:color w:val="auto"/>
          <w:u w:val="none"/>
        </w:rPr>
      </w:pPr>
      <w:r w:rsidRPr="004D0DC2">
        <w:t xml:space="preserve">The DVBE Declaration form can be found at </w:t>
      </w:r>
      <w:hyperlink r:id="rId17" w:tooltip="DVBE Declaration Form" w:history="1">
        <w:r w:rsidR="003F791C" w:rsidRPr="004D0DC2">
          <w:rPr>
            <w:rStyle w:val="Hyperlink"/>
          </w:rPr>
          <w:t>https://www.documents.dgs.ca.gov/dgs/fmc/gs/pd/pd_843.pdf</w:t>
        </w:r>
      </w:hyperlink>
      <w:r w:rsidR="003F791C" w:rsidRPr="004D0DC2">
        <w:t>.</w:t>
      </w:r>
    </w:p>
    <w:p w14:paraId="14B5029E" w14:textId="317782B5" w:rsidR="00537458" w:rsidRPr="004D0DC2" w:rsidRDefault="00537458" w:rsidP="00537458">
      <w:pPr>
        <w:autoSpaceDE w:val="0"/>
        <w:autoSpaceDN w:val="0"/>
        <w:adjustRightInd w:val="0"/>
        <w:spacing w:before="240" w:after="240"/>
        <w:rPr>
          <w:color w:val="000000"/>
          <w:szCs w:val="24"/>
        </w:rPr>
      </w:pPr>
      <w:r w:rsidRPr="004D0DC2">
        <w:rPr>
          <w:color w:val="000000"/>
          <w:szCs w:val="24"/>
        </w:rPr>
        <w:t xml:space="preserve">The successful bidder is contractually obligated to use the subcontractors for the corresponding work identified unless the CDE agrees to a substitution and it is incorporated by amendment to the contract (See </w:t>
      </w:r>
      <w:r w:rsidR="00756EC6" w:rsidRPr="004D0DC2">
        <w:rPr>
          <w:color w:val="000000"/>
          <w:szCs w:val="24"/>
        </w:rPr>
        <w:t xml:space="preserve">RFP </w:t>
      </w:r>
      <w:r w:rsidRPr="004D0DC2">
        <w:rPr>
          <w:color w:val="000000"/>
          <w:szCs w:val="24"/>
        </w:rPr>
        <w:t>Section 1</w:t>
      </w:r>
      <w:r w:rsidR="00A83196" w:rsidRPr="004D0DC2">
        <w:rPr>
          <w:color w:val="000000"/>
          <w:szCs w:val="24"/>
        </w:rPr>
        <w:t>1</w:t>
      </w:r>
      <w:r w:rsidRPr="004D0DC2">
        <w:rPr>
          <w:color w:val="000000"/>
          <w:szCs w:val="24"/>
        </w:rPr>
        <w:t>.</w:t>
      </w:r>
      <w:r w:rsidR="007C2195" w:rsidRPr="004D0DC2">
        <w:rPr>
          <w:color w:val="000000"/>
          <w:szCs w:val="24"/>
        </w:rPr>
        <w:t>1</w:t>
      </w:r>
      <w:r w:rsidR="007C2195">
        <w:rPr>
          <w:color w:val="000000"/>
          <w:szCs w:val="24"/>
        </w:rPr>
        <w:t>1</w:t>
      </w:r>
      <w:r w:rsidRPr="004D0DC2">
        <w:rPr>
          <w:color w:val="000000"/>
          <w:szCs w:val="24"/>
        </w:rPr>
        <w:t>). Bidders must provide notification to DVBE subcontractors immediately after an award is announced by the CDE.</w:t>
      </w:r>
    </w:p>
    <w:p w14:paraId="7F321ED8" w14:textId="77777777" w:rsidR="00537458" w:rsidRPr="004D0DC2" w:rsidRDefault="00537458" w:rsidP="00537458">
      <w:pPr>
        <w:spacing w:before="240" w:after="240"/>
        <w:rPr>
          <w:rFonts w:cs="Arial"/>
          <w:bCs/>
        </w:rPr>
      </w:pPr>
      <w:r w:rsidRPr="004D0DC2">
        <w:rPr>
          <w:rFonts w:cs="Arial"/>
          <w:bCs/>
        </w:rPr>
        <w:t>Final determination of “meeting the participation requirements” by the bidder shall be at the sole discretion of the CDE.</w:t>
      </w:r>
    </w:p>
    <w:p w14:paraId="40D62E31" w14:textId="0417CFE4" w:rsidR="00537458" w:rsidRPr="004D0DC2" w:rsidRDefault="004564C9" w:rsidP="00537458">
      <w:pPr>
        <w:pStyle w:val="Heading4"/>
      </w:pPr>
      <w:r w:rsidRPr="004D0DC2">
        <w:t>3</w:t>
      </w:r>
      <w:r w:rsidR="00537458" w:rsidRPr="004D0DC2">
        <w:t>.2.1</w:t>
      </w:r>
      <w:r w:rsidR="009B75B7" w:rsidRPr="004D0DC2">
        <w:t>6</w:t>
      </w:r>
      <w:r w:rsidR="00537458" w:rsidRPr="004D0DC2">
        <w:t xml:space="preserve"> Preference Programs</w:t>
      </w:r>
    </w:p>
    <w:p w14:paraId="73B6F307" w14:textId="77777777" w:rsidR="00537458" w:rsidRPr="004D0DC2" w:rsidRDefault="00537458" w:rsidP="00537458">
      <w:pPr>
        <w:pStyle w:val="ListParagraph"/>
        <w:spacing w:before="240" w:after="240"/>
        <w:ind w:left="0"/>
        <w:contextualSpacing w:val="0"/>
      </w:pPr>
      <w:r w:rsidRPr="004D0DC2">
        <w:t>The State of California has the following preference programs to encourage participation in state contracts by various segments of the business community:</w:t>
      </w:r>
    </w:p>
    <w:p w14:paraId="4C963C98" w14:textId="77777777" w:rsidR="00537458" w:rsidRPr="004D0DC2" w:rsidRDefault="00537458" w:rsidP="00537458">
      <w:pPr>
        <w:pStyle w:val="ListParagraph"/>
        <w:numPr>
          <w:ilvl w:val="1"/>
          <w:numId w:val="9"/>
        </w:numPr>
        <w:spacing w:before="240" w:after="240"/>
        <w:ind w:left="720" w:hanging="720"/>
        <w:contextualSpacing w:val="0"/>
      </w:pPr>
      <w:r w:rsidRPr="004D0DC2">
        <w:t>Small Business Preference</w:t>
      </w:r>
    </w:p>
    <w:p w14:paraId="3A9F602C" w14:textId="14F5F54C" w:rsidR="00537458" w:rsidRPr="004D0DC2" w:rsidRDefault="00537458" w:rsidP="00537458">
      <w:pPr>
        <w:ind w:left="720"/>
        <w:rPr>
          <w:rStyle w:val="Hyperlink"/>
        </w:rPr>
      </w:pPr>
      <w:r>
        <w:t xml:space="preserve">A 5 percent bid preference is available </w:t>
      </w:r>
      <w:r w:rsidR="003F791C">
        <w:t xml:space="preserve">and will be applied in accordance with Attachment </w:t>
      </w:r>
      <w:r w:rsidR="008D3596">
        <w:t>1</w:t>
      </w:r>
      <w:r w:rsidR="009B75B7">
        <w:t>1</w:t>
      </w:r>
      <w:r>
        <w:t xml:space="preserve">. The small business preference will be applied to those bidders declaring their eligibility on the Small Business </w:t>
      </w:r>
      <w:r w:rsidR="003F791C">
        <w:t>and Non-Small Business Subcontractor Preferences</w:t>
      </w:r>
      <w:r>
        <w:t xml:space="preserve"> (</w:t>
      </w:r>
      <w:r w:rsidR="003F791C">
        <w:t xml:space="preserve">RFP </w:t>
      </w:r>
      <w:r>
        <w:t xml:space="preserve">Attachment </w:t>
      </w:r>
      <w:r w:rsidR="008A7671">
        <w:t>1</w:t>
      </w:r>
      <w:r w:rsidR="009B75B7">
        <w:t>1</w:t>
      </w:r>
      <w:r>
        <w:t xml:space="preserve">). Attachment </w:t>
      </w:r>
      <w:r w:rsidR="008A7671">
        <w:t>1</w:t>
      </w:r>
      <w:r w:rsidR="009B75B7">
        <w:t>1</w:t>
      </w:r>
      <w:r>
        <w:t xml:space="preserve"> must be completed, signed and dated with an original signature on the form included in the original Technical Proposal and a copy of the form included with each copy of the Technical Proposal, if the preference is being claimed. The bidder must include a print out of the Supplier Certification Profile, if applying for the preference. The Supplier Certification Profile can be found on the DGS </w:t>
      </w:r>
      <w:r w:rsidR="00756EC6">
        <w:t>w</w:t>
      </w:r>
      <w:r>
        <w:t>ebsite</w:t>
      </w:r>
      <w:r w:rsidR="2FAB1787">
        <w:t xml:space="preserve"> at</w:t>
      </w:r>
      <w:r>
        <w:t xml:space="preserve"> </w:t>
      </w:r>
      <w:hyperlink r:id="rId18" w:tooltip="Cal eProcure Supplier Search">
        <w:r w:rsidRPr="54EA1D9A">
          <w:rPr>
            <w:rStyle w:val="Hyperlink"/>
          </w:rPr>
          <w:t>https://caleprocure.ca.gov/pages/PublicSearch/supplier-search.aspx</w:t>
        </w:r>
      </w:hyperlink>
      <w:r w:rsidRPr="54EA1D9A">
        <w:rPr>
          <w:rStyle w:val="Hyperlink"/>
          <w:color w:val="auto"/>
          <w:u w:val="none"/>
        </w:rPr>
        <w:t>.</w:t>
      </w:r>
    </w:p>
    <w:p w14:paraId="0F39405E" w14:textId="77777777" w:rsidR="00537458" w:rsidRPr="004D0DC2" w:rsidRDefault="00537458" w:rsidP="00537458">
      <w:pPr>
        <w:ind w:left="720" w:hanging="720"/>
      </w:pPr>
    </w:p>
    <w:p w14:paraId="22671B76" w14:textId="7A263ECC" w:rsidR="00537458" w:rsidRPr="004D0DC2" w:rsidRDefault="00537458" w:rsidP="54EA1D9A">
      <w:pPr>
        <w:ind w:left="720"/>
        <w:rPr>
          <w:rStyle w:val="Hyperlink"/>
        </w:rPr>
      </w:pPr>
      <w:r>
        <w:t xml:space="preserve">Information regarding this preference program may be obtained on the DGS </w:t>
      </w:r>
      <w:r w:rsidR="00756EC6">
        <w:t>w</w:t>
      </w:r>
      <w:r>
        <w:t>ebsite</w:t>
      </w:r>
      <w:r w:rsidR="130037B3">
        <w:t xml:space="preserve"> at</w:t>
      </w:r>
      <w:r>
        <w:t xml:space="preserve"> </w:t>
      </w:r>
      <w:hyperlink r:id="rId19" w:tooltip="DGS Procurement Division Resources List">
        <w:r w:rsidRPr="54EA1D9A">
          <w:rPr>
            <w:rStyle w:val="Hyperlink"/>
          </w:rPr>
          <w:t>https://www.dgs.ca.gov/PD/Resources/Page-Content/Procurement-Division-Resources-List-Folder/How-to-do-business-with-the-state-of-California</w:t>
        </w:r>
        <w:r w:rsidR="30767560" w:rsidRPr="54EA1D9A">
          <w:rPr>
            <w:rStyle w:val="Hyperlink"/>
            <w:color w:val="auto"/>
            <w:u w:val="none"/>
          </w:rPr>
          <w:t>.</w:t>
        </w:r>
      </w:hyperlink>
    </w:p>
    <w:p w14:paraId="68953204" w14:textId="77777777" w:rsidR="00537458" w:rsidRPr="004D0DC2" w:rsidRDefault="00537458" w:rsidP="00537458">
      <w:pPr>
        <w:pStyle w:val="ListParagraph"/>
        <w:numPr>
          <w:ilvl w:val="1"/>
          <w:numId w:val="9"/>
        </w:numPr>
        <w:spacing w:before="240" w:after="240"/>
        <w:ind w:left="720" w:hanging="720"/>
        <w:contextualSpacing w:val="0"/>
      </w:pPr>
      <w:r w:rsidRPr="004D0DC2">
        <w:t>DVBE Incentive Option</w:t>
      </w:r>
    </w:p>
    <w:p w14:paraId="3EACAD7A" w14:textId="750F9451" w:rsidR="00537458" w:rsidRPr="004D0DC2" w:rsidRDefault="00537458" w:rsidP="00537458">
      <w:pPr>
        <w:pStyle w:val="ListParagraph"/>
        <w:spacing w:before="240" w:after="240"/>
        <w:contextualSpacing w:val="0"/>
      </w:pPr>
      <w:r w:rsidRPr="004D0DC2">
        <w:rPr>
          <w:iCs/>
        </w:rPr>
        <w:t xml:space="preserve">In accordance with Section 999.5(a) of the Military and Veterans Code, an incentive will be given to responsive and responsible bidders who commit to DVBE participation as outlined below. The incentive amount for awards based on the lowest responsive/responsible Cost Proposal received will vary in conjunction with the percentage of DVBE participation. The incentive is only given to those bidders who are responsive to the DVBE Program Requirements (See RFP, Section </w:t>
      </w:r>
      <w:r w:rsidR="00756EC6" w:rsidRPr="004D0DC2">
        <w:rPr>
          <w:iCs/>
        </w:rPr>
        <w:t>3</w:t>
      </w:r>
      <w:r w:rsidRPr="004D0DC2">
        <w:rPr>
          <w:iCs/>
        </w:rPr>
        <w:t>.1</w:t>
      </w:r>
      <w:r w:rsidR="00756EC6" w:rsidRPr="004D0DC2">
        <w:rPr>
          <w:iCs/>
        </w:rPr>
        <w:t>.7</w:t>
      </w:r>
      <w:r w:rsidRPr="004D0DC2">
        <w:rPr>
          <w:iCs/>
        </w:rPr>
        <w:t xml:space="preserve">; and Section </w:t>
      </w:r>
      <w:r w:rsidR="00756EC6" w:rsidRPr="004D0DC2">
        <w:rPr>
          <w:iCs/>
        </w:rPr>
        <w:t>3.</w:t>
      </w:r>
      <w:r w:rsidRPr="004D0DC2">
        <w:rPr>
          <w:iCs/>
        </w:rPr>
        <w:t>2</w:t>
      </w:r>
      <w:r w:rsidR="00756EC6" w:rsidRPr="004D0DC2">
        <w:rPr>
          <w:iCs/>
        </w:rPr>
        <w:t>.1</w:t>
      </w:r>
      <w:r w:rsidR="009B75B7" w:rsidRPr="004D0DC2">
        <w:rPr>
          <w:iCs/>
        </w:rPr>
        <w:t>5</w:t>
      </w:r>
      <w:r w:rsidRPr="004D0DC2">
        <w:rPr>
          <w:iCs/>
        </w:rPr>
        <w:t xml:space="preserve">) and includes DVBE </w:t>
      </w:r>
      <w:r w:rsidRPr="004D0DC2">
        <w:rPr>
          <w:iCs/>
        </w:rPr>
        <w:lastRenderedPageBreak/>
        <w:t>participation in the resulting contract. The following represents the percentages that will be applied toward the bidder’s Cost Proposal amount:</w:t>
      </w:r>
    </w:p>
    <w:p w14:paraId="0187FBFD" w14:textId="77777777" w:rsidR="00537458" w:rsidRPr="004D0DC2" w:rsidRDefault="00537458" w:rsidP="00A37665">
      <w:pPr>
        <w:pStyle w:val="ListParagraph"/>
        <w:numPr>
          <w:ilvl w:val="0"/>
          <w:numId w:val="38"/>
        </w:numPr>
        <w:spacing w:before="240" w:after="240"/>
        <w:ind w:left="720" w:firstLine="0"/>
      </w:pPr>
      <w:r w:rsidRPr="004D0DC2">
        <w:t>Confirmed DVBE Participation of 5% or more, the DVBE Incentive is 5%.</w:t>
      </w:r>
    </w:p>
    <w:p w14:paraId="58DAC425" w14:textId="77777777" w:rsidR="00537458" w:rsidRPr="004D0DC2" w:rsidRDefault="00537458" w:rsidP="00A37665">
      <w:pPr>
        <w:pStyle w:val="ListParagraph"/>
        <w:numPr>
          <w:ilvl w:val="0"/>
          <w:numId w:val="38"/>
        </w:numPr>
        <w:spacing w:before="240" w:after="240"/>
        <w:ind w:left="720" w:firstLine="0"/>
      </w:pPr>
      <w:r w:rsidRPr="004D0DC2">
        <w:t>Confirmed DVBE Participation of 4% to 4.99%, the DVBE Incentive is 4%.</w:t>
      </w:r>
    </w:p>
    <w:p w14:paraId="5BA391DD" w14:textId="77777777" w:rsidR="00537458" w:rsidRPr="004D0DC2" w:rsidRDefault="00537458" w:rsidP="00A37665">
      <w:pPr>
        <w:pStyle w:val="ListParagraph"/>
        <w:numPr>
          <w:ilvl w:val="0"/>
          <w:numId w:val="38"/>
        </w:numPr>
        <w:spacing w:before="240" w:after="240"/>
        <w:ind w:left="720" w:firstLine="0"/>
        <w:contextualSpacing w:val="0"/>
      </w:pPr>
      <w:r w:rsidRPr="004D0DC2">
        <w:t>Confirmed DVBE Participation of 3% to 3.99%, the DVBE Incentive is 3%.</w:t>
      </w:r>
    </w:p>
    <w:p w14:paraId="2D1FA919" w14:textId="06865A7A" w:rsidR="00537458" w:rsidRPr="004D0DC2" w:rsidRDefault="00537458" w:rsidP="00537458">
      <w:pPr>
        <w:pStyle w:val="ListParagraph"/>
        <w:spacing w:before="240" w:after="240"/>
        <w:contextualSpacing w:val="0"/>
      </w:pPr>
      <w:r w:rsidRPr="004D0DC2">
        <w:t xml:space="preserve">Refer to RFP Attachment </w:t>
      </w:r>
      <w:r w:rsidR="009B75B7" w:rsidRPr="004D0DC2">
        <w:t>10</w:t>
      </w:r>
      <w:r w:rsidRPr="004D0DC2">
        <w:t>, California Disabled Veterans Business Enterprise Program Requirements for specific information regarding the DVBE Incentive Option.</w:t>
      </w:r>
    </w:p>
    <w:p w14:paraId="32A6E772" w14:textId="77777777" w:rsidR="00537458" w:rsidRPr="004D0DC2" w:rsidRDefault="00537458" w:rsidP="00537458">
      <w:pPr>
        <w:pStyle w:val="ListParagraph"/>
        <w:numPr>
          <w:ilvl w:val="1"/>
          <w:numId w:val="9"/>
        </w:numPr>
        <w:spacing w:before="240" w:after="240"/>
        <w:ind w:left="720" w:hanging="720"/>
        <w:contextualSpacing w:val="0"/>
      </w:pPr>
      <w:r w:rsidRPr="004D0DC2">
        <w:t>Target Area Contract Preference Act</w:t>
      </w:r>
    </w:p>
    <w:p w14:paraId="4809BF34" w14:textId="47AF1070" w:rsidR="00537458" w:rsidRPr="004D0DC2" w:rsidRDefault="00537458" w:rsidP="54EA1D9A">
      <w:pPr>
        <w:pStyle w:val="ListParagraph"/>
        <w:spacing w:before="240" w:after="240"/>
        <w:rPr>
          <w:rStyle w:val="Hyperlink"/>
          <w:color w:val="auto"/>
          <w:u w:val="none"/>
        </w:rPr>
      </w:pPr>
      <w:r>
        <w:t xml:space="preserve">Information regarding this preference program may be obtained at the Department of General Services, Preference Unit </w:t>
      </w:r>
      <w:r w:rsidR="00756EC6">
        <w:t>w</w:t>
      </w:r>
      <w:r>
        <w:t>ebsite</w:t>
      </w:r>
      <w:r w:rsidR="70127656">
        <w:t xml:space="preserve"> a</w:t>
      </w:r>
      <w:r w:rsidR="70127656" w:rsidRPr="004F4F2E">
        <w:t>t</w:t>
      </w:r>
      <w:r w:rsidR="007C2195">
        <w:t xml:space="preserve"> </w:t>
      </w:r>
      <w:hyperlink r:id="rId20" w:tooltip="Request a Target Area Contract Preference" w:history="1">
        <w:r w:rsidR="007C2195" w:rsidRPr="00117B58">
          <w:rPr>
            <w:rStyle w:val="Hyperlink"/>
          </w:rPr>
          <w:t>https://www.dgs.ca.gov/PD/Services/Page-Content/Procurement-Division-Services-List-Folder/Request-Target-Area-Contract-Preference</w:t>
        </w:r>
      </w:hyperlink>
      <w:r>
        <w:t>. Bidders seeking to obtain a Target Area Contract Preference Act (TACPA) preference must complete and submit the TACPA Preference Request STD. 830 with their proposal submission. The TACPA Preference Request form can be found</w:t>
      </w:r>
      <w:r w:rsidR="2BC7C253">
        <w:t xml:space="preserve"> on the DGS website</w:t>
      </w:r>
      <w:r>
        <w:t xml:space="preserve"> at </w:t>
      </w:r>
      <w:hyperlink r:id="rId21" w:tooltip="TACPA Preference Request form" w:history="1">
        <w:r w:rsidR="007C2195" w:rsidRPr="007C2195">
          <w:rPr>
            <w:rStyle w:val="Hyperlink"/>
          </w:rPr>
          <w:t>https://www.documents.dgs.ca.gov/dgs/fmc/pdf/std830</w:t>
        </w:r>
        <w:r w:rsidR="007C2195" w:rsidRPr="00117B58">
          <w:rPr>
            <w:rStyle w:val="Hyperlink"/>
          </w:rPr>
          <w:t>.pdf</w:t>
        </w:r>
      </w:hyperlink>
      <w:r w:rsidR="007C2195">
        <w:t xml:space="preserve">. </w:t>
      </w:r>
    </w:p>
    <w:p w14:paraId="7D7A179D" w14:textId="04EAF049" w:rsidR="00D4520D" w:rsidRPr="004D0DC2" w:rsidRDefault="00D4520D" w:rsidP="00D4520D">
      <w:pPr>
        <w:pStyle w:val="Heading4"/>
      </w:pPr>
      <w:r w:rsidRPr="004D0DC2">
        <w:t>3.2.1</w:t>
      </w:r>
      <w:r w:rsidR="009B75B7" w:rsidRPr="004D0DC2">
        <w:t>7</w:t>
      </w:r>
      <w:r w:rsidRPr="004D0DC2">
        <w:t xml:space="preserve"> Generative Artificial Intelligence (GenAI) Disclosure Notification</w:t>
      </w:r>
    </w:p>
    <w:p w14:paraId="6A02535C" w14:textId="77777777" w:rsidR="005F0064" w:rsidRPr="004D0DC2" w:rsidRDefault="005F0064" w:rsidP="005F0064">
      <w:pPr>
        <w:spacing w:after="240"/>
        <w:ind w:left="720"/>
      </w:pPr>
      <w:r w:rsidRPr="004D0DC2">
        <w:t>The State of California seeks to realize the potential benefits of GenAI, through the development and deployment of GenAI tools, while balancing the risks of these new technologies.</w:t>
      </w:r>
    </w:p>
    <w:p w14:paraId="7644D5A6" w14:textId="77777777" w:rsidR="005F0064" w:rsidRPr="004D0DC2" w:rsidRDefault="005F0064" w:rsidP="005F0064">
      <w:pPr>
        <w:spacing w:after="240"/>
        <w:ind w:left="720"/>
      </w:pPr>
      <w:r w:rsidRPr="004D0DC2">
        <w:t>Bidder / Offeror must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49C52A5B" w14:textId="77777777" w:rsidR="005F0064" w:rsidRPr="004D0DC2" w:rsidRDefault="005F0064" w:rsidP="005F0064">
      <w:pPr>
        <w:spacing w:after="240"/>
        <w:ind w:left="720"/>
      </w:pPr>
      <w:r w:rsidRPr="004D0DC2">
        <w:t>Failure to report GenAI to the State may result in disqualification. The State reserves the right to seek any and all relief to which it may be entitled to as a result of such non-disclosure.</w:t>
      </w:r>
    </w:p>
    <w:p w14:paraId="2BF6B203" w14:textId="77777777" w:rsidR="005F0064" w:rsidRPr="004D0DC2" w:rsidRDefault="005F0064" w:rsidP="005F0064">
      <w:pPr>
        <w:spacing w:after="240"/>
        <w:ind w:left="720"/>
      </w:pPr>
      <w:r w:rsidRPr="004D0DC2">
        <w:t>Upon notification by a Bidder / Offeror of GenAI as required, the State reserves the right to incorporate GenAI Special Provisions into the final contract or reject bids/offers that present an unacceptable level of risk to the State.</w:t>
      </w:r>
    </w:p>
    <w:p w14:paraId="5707E23B" w14:textId="50DE14B9" w:rsidR="00D4520D" w:rsidRPr="004D0DC2" w:rsidRDefault="005F0064" w:rsidP="009C0B7D">
      <w:pPr>
        <w:spacing w:after="240"/>
        <w:ind w:left="720"/>
      </w:pPr>
      <w:r w:rsidRPr="004D0DC2">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8F90FF9" w14:textId="157D2827" w:rsidR="00537458" w:rsidRPr="004D0DC2" w:rsidRDefault="00537458" w:rsidP="00F67ED5">
      <w:pPr>
        <w:pStyle w:val="Heading3"/>
        <w:rPr>
          <w:sz w:val="24"/>
        </w:rPr>
      </w:pPr>
      <w:r w:rsidRPr="004D0DC2">
        <w:t>3.3 Cost Proposal Requirements</w:t>
      </w:r>
    </w:p>
    <w:p w14:paraId="7F8249ED" w14:textId="2B743058" w:rsidR="0089438D" w:rsidRPr="004D0DC2" w:rsidRDefault="0089438D" w:rsidP="0089438D">
      <w:pPr>
        <w:widowControl w:val="0"/>
        <w:spacing w:before="240" w:after="240"/>
        <w:rPr>
          <w:rFonts w:cs="Arial"/>
        </w:rPr>
      </w:pPr>
      <w:r w:rsidRPr="004D0DC2">
        <w:t xml:space="preserve">Each bidder must submit a Cost Proposal that contains all of the required items listed below. One </w:t>
      </w:r>
      <w:r w:rsidRPr="004D0DC2">
        <w:lastRenderedPageBreak/>
        <w:t xml:space="preserve">original </w:t>
      </w:r>
      <w:r w:rsidR="00197061" w:rsidRPr="004D0DC2">
        <w:t xml:space="preserve">hardcopy </w:t>
      </w:r>
      <w:r w:rsidRPr="004D0DC2">
        <w:t xml:space="preserve">(clearly marked original), three (3) copies </w:t>
      </w:r>
      <w:r w:rsidR="00197061" w:rsidRPr="004D0DC2">
        <w:t xml:space="preserve">(hardcopies) </w:t>
      </w:r>
      <w:r w:rsidRPr="004D0DC2">
        <w:t>of the Cost Proposal, and one electronic copy of the Cost Proposal’s complete submission on a portable</w:t>
      </w:r>
      <w:r w:rsidR="00197061" w:rsidRPr="004D0DC2">
        <w:t xml:space="preserve"> USB</w:t>
      </w:r>
      <w:r w:rsidRPr="004D0DC2">
        <w:t xml:space="preserve"> drive (must be separate from the Technical Proposal’s electronic portable </w:t>
      </w:r>
      <w:r w:rsidR="00197061" w:rsidRPr="004D0DC2">
        <w:t xml:space="preserve">USB </w:t>
      </w:r>
      <w:r w:rsidRPr="004D0DC2">
        <w:t>drive), must be submitted sealed, marked, and packaged separately from the Technical Proposal.</w:t>
      </w:r>
    </w:p>
    <w:p w14:paraId="45E69461" w14:textId="72CDD52C" w:rsidR="00537458" w:rsidRPr="004D0DC2" w:rsidRDefault="00537458" w:rsidP="0089438D">
      <w:pPr>
        <w:widowControl w:val="0"/>
        <w:spacing w:before="240" w:after="240"/>
        <w:rPr>
          <w:rFonts w:cs="Arial"/>
        </w:rPr>
      </w:pPr>
      <w:r w:rsidRPr="004D0DC2">
        <w:rPr>
          <w:rFonts w:cs="Arial"/>
        </w:rPr>
        <w:t>The contract will be awarded to the lowest responsible bidder meeting the requirements of this RFP. The Cost Proposal</w:t>
      </w:r>
      <w:r w:rsidRPr="004D0DC2" w:rsidDel="002B5835">
        <w:rPr>
          <w:rFonts w:cs="Arial"/>
        </w:rPr>
        <w:t xml:space="preserve"> </w:t>
      </w:r>
      <w:r w:rsidRPr="004D0DC2">
        <w:rPr>
          <w:rFonts w:cs="Arial"/>
        </w:rPr>
        <w:t xml:space="preserve">will NOT be opened unless the technical proposal has successfully met the requirements of Phase I and II Technical Evaluation (see RFP Section </w:t>
      </w:r>
      <w:r w:rsidR="00DC395C" w:rsidRPr="004D0DC2">
        <w:rPr>
          <w:rFonts w:cs="Arial"/>
        </w:rPr>
        <w:t>4</w:t>
      </w:r>
      <w:r w:rsidRPr="004D0DC2">
        <w:rPr>
          <w:rFonts w:cs="Arial"/>
        </w:rPr>
        <w:t xml:space="preserve"> and Attachment 1</w:t>
      </w:r>
      <w:r w:rsidR="007C2195">
        <w:rPr>
          <w:rFonts w:cs="Arial"/>
        </w:rPr>
        <w:t>4</w:t>
      </w:r>
      <w:r w:rsidRPr="004D0DC2">
        <w:rPr>
          <w:rFonts w:cs="Arial"/>
        </w:rPr>
        <w:t xml:space="preserve">). The lowest responsible bidder will be determined by the lowest total amount for the overall contract. The resulting contract will be a cost reimbursement contract using the Cost Proposal as the contract budget. (Refer to RFP, Section </w:t>
      </w:r>
      <w:r w:rsidR="00132985" w:rsidRPr="004D0DC2">
        <w:rPr>
          <w:rFonts w:cs="Arial"/>
        </w:rPr>
        <w:t>2</w:t>
      </w:r>
      <w:r w:rsidRPr="004D0DC2">
        <w:rPr>
          <w:rFonts w:cs="Arial"/>
        </w:rPr>
        <w:t>.8 for the definition of “cost reimbursement”).</w:t>
      </w:r>
    </w:p>
    <w:p w14:paraId="39D72DAC" w14:textId="5C2F907B" w:rsidR="00537458" w:rsidRPr="002171EE" w:rsidRDefault="004564C9" w:rsidP="00537458">
      <w:pPr>
        <w:pStyle w:val="Heading4"/>
      </w:pPr>
      <w:r w:rsidRPr="004D0DC2">
        <w:t>3</w:t>
      </w:r>
      <w:r w:rsidR="00537458" w:rsidRPr="004D0DC2">
        <w:t>.3.</w:t>
      </w:r>
      <w:r w:rsidR="00537458" w:rsidRPr="002171EE">
        <w:t>1 Cost Proposal Specifications</w:t>
      </w:r>
    </w:p>
    <w:p w14:paraId="0EFFF08F" w14:textId="2CCD0038" w:rsidR="00537458" w:rsidRPr="002171EE" w:rsidRDefault="00537458" w:rsidP="00537458">
      <w:pPr>
        <w:tabs>
          <w:tab w:val="left" w:pos="-1440"/>
        </w:tabs>
        <w:spacing w:before="240" w:after="240"/>
        <w:rPr>
          <w:rFonts w:cs="Arial"/>
          <w:szCs w:val="24"/>
        </w:rPr>
      </w:pPr>
      <w:r w:rsidRPr="002171EE">
        <w:rPr>
          <w:rFonts w:cs="Arial"/>
          <w:szCs w:val="24"/>
        </w:rPr>
        <w:t xml:space="preserve">The following fiscal years must be addressed in the </w:t>
      </w:r>
      <w:r w:rsidRPr="002171EE">
        <w:rPr>
          <w:rFonts w:cs="Arial"/>
        </w:rPr>
        <w:t>Cost Proposal</w:t>
      </w:r>
      <w:r w:rsidRPr="002171EE">
        <w:rPr>
          <w:rFonts w:cs="Arial"/>
          <w:szCs w:val="24"/>
        </w:rPr>
        <w:t xml:space="preserve">. The following proposed term of the contract spans </w:t>
      </w:r>
      <w:r w:rsidR="00693698" w:rsidRPr="002171EE">
        <w:rPr>
          <w:rFonts w:cs="Arial"/>
          <w:szCs w:val="24"/>
        </w:rPr>
        <w:t>three</w:t>
      </w:r>
      <w:r w:rsidRPr="002171EE">
        <w:rPr>
          <w:rFonts w:cs="Arial"/>
          <w:szCs w:val="24"/>
        </w:rPr>
        <w:t xml:space="preserve"> fiscal years, for a total of 2</w:t>
      </w:r>
      <w:r w:rsidR="00693698" w:rsidRPr="002171EE">
        <w:rPr>
          <w:rFonts w:cs="Arial"/>
          <w:szCs w:val="24"/>
        </w:rPr>
        <w:t>6</w:t>
      </w:r>
      <w:r w:rsidRPr="002171EE">
        <w:rPr>
          <w:rFonts w:cs="Arial"/>
          <w:szCs w:val="24"/>
        </w:rPr>
        <w:t xml:space="preserve"> months (refer to RFP, Section </w:t>
      </w:r>
      <w:r w:rsidR="00693698" w:rsidRPr="002171EE">
        <w:rPr>
          <w:rFonts w:cs="Arial"/>
          <w:szCs w:val="24"/>
        </w:rPr>
        <w:t>2</w:t>
      </w:r>
      <w:r w:rsidRPr="002171EE">
        <w:rPr>
          <w:rFonts w:cs="Arial"/>
          <w:szCs w:val="24"/>
        </w:rPr>
        <w:t xml:space="preserve">.8 for the definition of “fiscal year.”). </w:t>
      </w:r>
      <w:r w:rsidRPr="002171EE">
        <w:rPr>
          <w:rFonts w:eastAsia="Times New Roman" w:cs="Arial"/>
          <w:bCs/>
          <w:snapToGrid w:val="0"/>
          <w:szCs w:val="20"/>
        </w:rPr>
        <w:t>The fiscal years defined in this RFP are as follows:</w:t>
      </w:r>
    </w:p>
    <w:p w14:paraId="55A030D5" w14:textId="2CF09D09" w:rsidR="00537458" w:rsidRPr="002171EE" w:rsidRDefault="00BD285D" w:rsidP="54EA1D9A">
      <w:pPr>
        <w:pStyle w:val="ListParagraph"/>
        <w:numPr>
          <w:ilvl w:val="0"/>
          <w:numId w:val="22"/>
        </w:numPr>
        <w:spacing w:after="240"/>
        <w:ind w:left="360" w:hanging="360"/>
        <w:rPr>
          <w:rFonts w:eastAsia="Times New Roman" w:cs="Arial"/>
          <w:snapToGrid w:val="0"/>
        </w:rPr>
      </w:pPr>
      <w:r w:rsidRPr="54EA1D9A">
        <w:rPr>
          <w:rFonts w:eastAsia="Times New Roman" w:cs="Arial"/>
          <w:snapToGrid w:val="0"/>
        </w:rPr>
        <w:t>2026</w:t>
      </w:r>
      <w:r w:rsidR="2454A2E0" w:rsidRPr="54EA1D9A">
        <w:rPr>
          <w:rFonts w:eastAsia="Times New Roman" w:cs="Arial"/>
          <w:snapToGrid w:val="0"/>
        </w:rPr>
        <w:t>–</w:t>
      </w:r>
      <w:r w:rsidRPr="54EA1D9A">
        <w:rPr>
          <w:rFonts w:eastAsia="Times New Roman" w:cs="Arial"/>
          <w:snapToGrid w:val="0"/>
        </w:rPr>
        <w:t>2027</w:t>
      </w:r>
      <w:r w:rsidR="00537458" w:rsidRPr="54EA1D9A">
        <w:rPr>
          <w:rFonts w:eastAsia="Times New Roman" w:cs="Arial"/>
          <w:snapToGrid w:val="0"/>
        </w:rPr>
        <w:t>: July 1, 202</w:t>
      </w:r>
      <w:r w:rsidRPr="54EA1D9A">
        <w:rPr>
          <w:rFonts w:eastAsia="Times New Roman" w:cs="Arial"/>
          <w:snapToGrid w:val="0"/>
        </w:rPr>
        <w:t>6</w:t>
      </w:r>
      <w:r w:rsidR="00537458" w:rsidRPr="54EA1D9A">
        <w:rPr>
          <w:rFonts w:eastAsia="Times New Roman" w:cs="Arial"/>
          <w:snapToGrid w:val="0"/>
        </w:rPr>
        <w:t xml:space="preserve"> – June 30, 202</w:t>
      </w:r>
      <w:r w:rsidRPr="54EA1D9A">
        <w:rPr>
          <w:rFonts w:eastAsia="Times New Roman" w:cs="Arial"/>
          <w:snapToGrid w:val="0"/>
        </w:rPr>
        <w:t>7</w:t>
      </w:r>
    </w:p>
    <w:p w14:paraId="7D7E4A7E" w14:textId="19DB954B" w:rsidR="00537458" w:rsidRPr="002171EE" w:rsidRDefault="00537458" w:rsidP="00693698">
      <w:pPr>
        <w:pStyle w:val="ListParagraph"/>
        <w:numPr>
          <w:ilvl w:val="0"/>
          <w:numId w:val="22"/>
        </w:numPr>
        <w:spacing w:after="240"/>
        <w:ind w:left="360" w:hanging="360"/>
        <w:rPr>
          <w:rFonts w:eastAsia="Times New Roman" w:cs="Arial"/>
          <w:bCs/>
          <w:snapToGrid w:val="0"/>
          <w:szCs w:val="20"/>
        </w:rPr>
      </w:pPr>
      <w:r w:rsidRPr="002171EE">
        <w:rPr>
          <w:rFonts w:eastAsia="Times New Roman" w:cs="Arial"/>
          <w:bCs/>
          <w:snapToGrid w:val="0"/>
          <w:szCs w:val="20"/>
        </w:rPr>
        <w:t>202</w:t>
      </w:r>
      <w:r w:rsidR="00DC74D7" w:rsidRPr="002171EE">
        <w:rPr>
          <w:rFonts w:eastAsia="Times New Roman" w:cs="Arial"/>
          <w:bCs/>
          <w:snapToGrid w:val="0"/>
          <w:szCs w:val="20"/>
        </w:rPr>
        <w:t>7</w:t>
      </w:r>
      <w:r w:rsidRPr="002171EE">
        <w:rPr>
          <w:rFonts w:eastAsia="Times New Roman" w:cs="Arial"/>
          <w:bCs/>
          <w:snapToGrid w:val="0"/>
          <w:szCs w:val="20"/>
        </w:rPr>
        <w:t>–202</w:t>
      </w:r>
      <w:r w:rsidR="00DC74D7" w:rsidRPr="002171EE">
        <w:rPr>
          <w:rFonts w:eastAsia="Times New Roman" w:cs="Arial"/>
          <w:bCs/>
          <w:snapToGrid w:val="0"/>
          <w:szCs w:val="20"/>
        </w:rPr>
        <w:t>8</w:t>
      </w:r>
      <w:r w:rsidRPr="002171EE">
        <w:rPr>
          <w:rFonts w:eastAsia="Times New Roman" w:cs="Arial"/>
          <w:bCs/>
          <w:snapToGrid w:val="0"/>
          <w:szCs w:val="20"/>
        </w:rPr>
        <w:t>: July 1, 20</w:t>
      </w:r>
      <w:r w:rsidR="00BD285D" w:rsidRPr="002171EE">
        <w:rPr>
          <w:rFonts w:eastAsia="Times New Roman" w:cs="Arial"/>
          <w:bCs/>
          <w:snapToGrid w:val="0"/>
          <w:szCs w:val="20"/>
        </w:rPr>
        <w:t>27</w:t>
      </w:r>
      <w:r w:rsidRPr="002171EE">
        <w:rPr>
          <w:rFonts w:eastAsia="Times New Roman" w:cs="Arial"/>
          <w:bCs/>
          <w:snapToGrid w:val="0"/>
          <w:szCs w:val="20"/>
        </w:rPr>
        <w:t xml:space="preserve"> – June 30, 202</w:t>
      </w:r>
      <w:r w:rsidR="00BD285D" w:rsidRPr="002171EE">
        <w:rPr>
          <w:rFonts w:eastAsia="Times New Roman" w:cs="Arial"/>
          <w:bCs/>
          <w:snapToGrid w:val="0"/>
          <w:szCs w:val="20"/>
        </w:rPr>
        <w:t>8</w:t>
      </w:r>
    </w:p>
    <w:p w14:paraId="70FCD249" w14:textId="7DAD4A5D" w:rsidR="00537458" w:rsidRPr="002171EE" w:rsidRDefault="00537458" w:rsidP="00693698">
      <w:pPr>
        <w:pStyle w:val="ListParagraph"/>
        <w:numPr>
          <w:ilvl w:val="0"/>
          <w:numId w:val="22"/>
        </w:numPr>
        <w:spacing w:after="240"/>
        <w:ind w:left="360" w:hanging="360"/>
        <w:contextualSpacing w:val="0"/>
        <w:rPr>
          <w:rFonts w:eastAsia="Times New Roman" w:cs="Arial"/>
          <w:bCs/>
          <w:snapToGrid w:val="0"/>
          <w:szCs w:val="20"/>
        </w:rPr>
      </w:pPr>
      <w:r w:rsidRPr="002171EE">
        <w:rPr>
          <w:rFonts w:eastAsia="Times New Roman" w:cs="Arial"/>
          <w:bCs/>
          <w:snapToGrid w:val="0"/>
          <w:szCs w:val="20"/>
        </w:rPr>
        <w:t>202</w:t>
      </w:r>
      <w:r w:rsidR="00DC74D7" w:rsidRPr="002171EE">
        <w:rPr>
          <w:rFonts w:eastAsia="Times New Roman" w:cs="Arial"/>
          <w:bCs/>
          <w:snapToGrid w:val="0"/>
          <w:szCs w:val="20"/>
        </w:rPr>
        <w:t>8</w:t>
      </w:r>
      <w:r w:rsidRPr="002171EE">
        <w:rPr>
          <w:rFonts w:eastAsia="Times New Roman" w:cs="Arial"/>
          <w:bCs/>
          <w:snapToGrid w:val="0"/>
          <w:szCs w:val="20"/>
        </w:rPr>
        <w:t>–202</w:t>
      </w:r>
      <w:r w:rsidR="00DC74D7" w:rsidRPr="002171EE">
        <w:rPr>
          <w:rFonts w:eastAsia="Times New Roman" w:cs="Arial"/>
          <w:bCs/>
          <w:snapToGrid w:val="0"/>
          <w:szCs w:val="20"/>
        </w:rPr>
        <w:t>9</w:t>
      </w:r>
      <w:r w:rsidRPr="002171EE">
        <w:rPr>
          <w:rFonts w:eastAsia="Times New Roman" w:cs="Arial"/>
          <w:bCs/>
          <w:snapToGrid w:val="0"/>
          <w:szCs w:val="20"/>
        </w:rPr>
        <w:t>: July 1, 202</w:t>
      </w:r>
      <w:r w:rsidR="00BD285D" w:rsidRPr="002171EE">
        <w:rPr>
          <w:rFonts w:eastAsia="Times New Roman" w:cs="Arial"/>
          <w:bCs/>
          <w:snapToGrid w:val="0"/>
          <w:szCs w:val="20"/>
        </w:rPr>
        <w:t>8</w:t>
      </w:r>
      <w:r w:rsidRPr="002171EE">
        <w:rPr>
          <w:rFonts w:eastAsia="Times New Roman" w:cs="Arial"/>
          <w:bCs/>
          <w:snapToGrid w:val="0"/>
          <w:szCs w:val="20"/>
        </w:rPr>
        <w:t xml:space="preserve"> – August 31, 202</w:t>
      </w:r>
      <w:r w:rsidR="00BD285D" w:rsidRPr="002171EE">
        <w:rPr>
          <w:rFonts w:eastAsia="Times New Roman" w:cs="Arial"/>
          <w:bCs/>
          <w:snapToGrid w:val="0"/>
          <w:szCs w:val="20"/>
        </w:rPr>
        <w:t>8</w:t>
      </w:r>
    </w:p>
    <w:p w14:paraId="2E1C26F1" w14:textId="52C6B0A9" w:rsidR="00537458" w:rsidRPr="004D0DC2" w:rsidRDefault="00537458" w:rsidP="00537458">
      <w:pPr>
        <w:pStyle w:val="ListParagraph"/>
        <w:widowControl w:val="0"/>
        <w:spacing w:after="240"/>
        <w:ind w:left="0"/>
        <w:contextualSpacing w:val="0"/>
        <w:rPr>
          <w:rFonts w:cs="Arial"/>
          <w:szCs w:val="24"/>
        </w:rPr>
      </w:pPr>
      <w:r w:rsidRPr="004D0DC2">
        <w:rPr>
          <w:rFonts w:cs="Arial"/>
          <w:szCs w:val="24"/>
        </w:rPr>
        <w:t xml:space="preserve">The total contract bid amount must be for all tasks and subtasks specified in the scope of the project (Refer to Section </w:t>
      </w:r>
      <w:r w:rsidR="00DC395C" w:rsidRPr="004D0DC2">
        <w:rPr>
          <w:rFonts w:cs="Arial"/>
          <w:szCs w:val="24"/>
        </w:rPr>
        <w:t>7</w:t>
      </w:r>
      <w:r w:rsidRPr="004D0DC2">
        <w:rPr>
          <w:rFonts w:cs="Arial"/>
          <w:szCs w:val="24"/>
        </w:rPr>
        <w:t>, Scope of Project, for required tasks and subtasks), including work performed by subcontractors, independent consultants, and all related labor costs, travel, overhead or indirect costs. No costs, direct or indirect, shall be omitted from the Cost Proposal.</w:t>
      </w:r>
    </w:p>
    <w:p w14:paraId="090EBF19" w14:textId="1735BB4F" w:rsidR="00537458" w:rsidRPr="004D0DC2" w:rsidRDefault="00537458" w:rsidP="00537458">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240" w:after="240"/>
        <w:rPr>
          <w:rFonts w:ascii="Arial" w:hAnsi="Arial" w:cs="Arial"/>
          <w:szCs w:val="24"/>
        </w:rPr>
      </w:pPr>
      <w:r w:rsidRPr="004D0DC2">
        <w:rPr>
          <w:rFonts w:ascii="Arial" w:hAnsi="Arial" w:cs="Arial"/>
        </w:rPr>
        <w:t xml:space="preserve">Failure to provide detailed costs by prime/subcontractor and by task and subtask, and by fiscal year may result in the disqualification of the bidder’s proposal. Detailed costs </w:t>
      </w:r>
      <w:r w:rsidRPr="004D0DC2">
        <w:rPr>
          <w:rFonts w:ascii="Arial" w:hAnsi="Arial" w:cs="Arial"/>
          <w:szCs w:val="24"/>
        </w:rPr>
        <w:t xml:space="preserve">must correlate with the tasks and subtasks set forth in Section </w:t>
      </w:r>
      <w:r w:rsidR="00DC395C" w:rsidRPr="004D0DC2">
        <w:rPr>
          <w:rFonts w:ascii="Arial" w:hAnsi="Arial" w:cs="Arial"/>
          <w:szCs w:val="24"/>
        </w:rPr>
        <w:t>7</w:t>
      </w:r>
      <w:r w:rsidRPr="004D0DC2">
        <w:rPr>
          <w:rFonts w:ascii="Arial" w:hAnsi="Arial" w:cs="Arial"/>
          <w:szCs w:val="24"/>
        </w:rPr>
        <w:t xml:space="preserve"> of this RFP.</w:t>
      </w:r>
    </w:p>
    <w:p w14:paraId="15C5E9DE" w14:textId="77777777" w:rsidR="00537458" w:rsidRPr="004D0DC2" w:rsidRDefault="00537458" w:rsidP="00537458">
      <w:pPr>
        <w:pStyle w:val="ListParagraph"/>
        <w:widowControl w:val="0"/>
        <w:spacing w:after="240"/>
        <w:ind w:left="0"/>
        <w:contextualSpacing w:val="0"/>
        <w:rPr>
          <w:rFonts w:cs="Arial"/>
          <w:szCs w:val="24"/>
        </w:rPr>
      </w:pPr>
      <w:r w:rsidRPr="004D0DC2">
        <w:rPr>
          <w:rFonts w:cs="Arial"/>
          <w:szCs w:val="24"/>
        </w:rPr>
        <w:t>Computations must be calculated to the exact cent (expressed in dollars to two (2) decimal places).</w:t>
      </w:r>
    </w:p>
    <w:p w14:paraId="64A99D92" w14:textId="6DBF6DFE" w:rsidR="00537458" w:rsidRPr="004D0DC2" w:rsidRDefault="00537458" w:rsidP="00537458">
      <w:pPr>
        <w:pStyle w:val="WPDefaults"/>
        <w:spacing w:after="240"/>
        <w:rPr>
          <w:rFonts w:ascii="Arial" w:hAnsi="Arial" w:cs="Arial"/>
          <w:szCs w:val="24"/>
        </w:rPr>
      </w:pPr>
      <w:r w:rsidRPr="004D0DC2">
        <w:rPr>
          <w:rFonts w:ascii="Arial" w:hAnsi="Arial" w:cs="Arial"/>
          <w:szCs w:val="24"/>
        </w:rPr>
        <w:t xml:space="preserve">Except where noted, </w:t>
      </w:r>
      <w:r w:rsidR="00730AE0" w:rsidRPr="004D0DC2">
        <w:rPr>
          <w:rFonts w:ascii="Arial" w:hAnsi="Arial" w:cs="Arial"/>
          <w:szCs w:val="24"/>
        </w:rPr>
        <w:t xml:space="preserve">the </w:t>
      </w:r>
      <w:r w:rsidRPr="004D0DC2">
        <w:rPr>
          <w:rFonts w:ascii="Arial" w:hAnsi="Arial" w:cs="Arial"/>
          <w:szCs w:val="24"/>
        </w:rPr>
        <w:t xml:space="preserve">bidder is responsible for all logistics and costs incurred by </w:t>
      </w:r>
      <w:r w:rsidR="00730AE0" w:rsidRPr="004D0DC2">
        <w:rPr>
          <w:rFonts w:ascii="Arial" w:hAnsi="Arial" w:cs="Arial"/>
          <w:szCs w:val="24"/>
        </w:rPr>
        <w:t xml:space="preserve">the </w:t>
      </w:r>
      <w:r w:rsidRPr="004D0DC2">
        <w:rPr>
          <w:rFonts w:ascii="Arial" w:hAnsi="Arial" w:cs="Arial"/>
          <w:szCs w:val="24"/>
        </w:rPr>
        <w:t>bidder or other program participants, including, but not limited to, travel costs (e.g. per diem and lodging), and meeting costs (meeting materials, interpreters, video hook-up fees, facilities rental, etc.).</w:t>
      </w:r>
    </w:p>
    <w:p w14:paraId="5A0EE585" w14:textId="2C9DC23C" w:rsidR="00537458" w:rsidRPr="004D0DC2" w:rsidRDefault="00537458" w:rsidP="54EA1D9A">
      <w:pPr>
        <w:pStyle w:val="WPDefaults"/>
        <w:spacing w:after="240"/>
        <w:rPr>
          <w:rFonts w:ascii="Arial" w:hAnsi="Arial" w:cs="Arial"/>
        </w:rPr>
      </w:pPr>
      <w:r w:rsidRPr="54EA1D9A">
        <w:rPr>
          <w:rFonts w:ascii="Arial" w:hAnsi="Arial" w:cs="Arial"/>
        </w:rPr>
        <w:t xml:space="preserve">Travel and per diem rates must not exceed those established for the State of California’s non-represented employees, computed in accordance with and allowable pursuant to applicable California Department of Human Resources regulations. </w:t>
      </w:r>
      <w:r w:rsidR="004A2EBF" w:rsidRPr="54EA1D9A">
        <w:rPr>
          <w:rFonts w:ascii="Arial" w:hAnsi="Arial" w:cs="Arial"/>
        </w:rPr>
        <w:t>For current rates please refer to</w:t>
      </w:r>
      <w:r w:rsidR="58B60202" w:rsidRPr="54EA1D9A">
        <w:rPr>
          <w:rFonts w:ascii="Arial" w:hAnsi="Arial" w:cs="Arial"/>
        </w:rPr>
        <w:t xml:space="preserve"> the CalHR website at</w:t>
      </w:r>
      <w:r w:rsidR="004A2EBF" w:rsidRPr="54EA1D9A">
        <w:rPr>
          <w:rFonts w:ascii="Arial" w:hAnsi="Arial" w:cs="Arial"/>
        </w:rPr>
        <w:t xml:space="preserve"> </w:t>
      </w:r>
      <w:hyperlink r:id="rId22" w:tooltip="Current Travel Reimbursement Rates">
        <w:r w:rsidR="004A2EBF" w:rsidRPr="54EA1D9A">
          <w:rPr>
            <w:rStyle w:val="Hyperlink"/>
            <w:rFonts w:ascii="Arial" w:hAnsi="Arial" w:cs="Arial"/>
          </w:rPr>
          <w:t>https://www.calhr.ca.gov/employees/pages/travel-reimbursements.aspx</w:t>
        </w:r>
      </w:hyperlink>
      <w:r w:rsidR="004A2EBF" w:rsidRPr="54EA1D9A">
        <w:rPr>
          <w:rFonts w:ascii="Arial" w:hAnsi="Arial" w:cs="Arial"/>
        </w:rPr>
        <w:t xml:space="preserve">. </w:t>
      </w:r>
      <w:r w:rsidRPr="54EA1D9A">
        <w:rPr>
          <w:rFonts w:ascii="Arial" w:hAnsi="Arial" w:cs="Arial"/>
        </w:rPr>
        <w:t xml:space="preserve">The successful bidder is not responsible for </w:t>
      </w:r>
      <w:r w:rsidR="5BB036BA" w:rsidRPr="54EA1D9A">
        <w:rPr>
          <w:rFonts w:ascii="Arial" w:hAnsi="Arial" w:cs="Arial"/>
        </w:rPr>
        <w:t>the costs</w:t>
      </w:r>
      <w:r w:rsidRPr="54EA1D9A">
        <w:rPr>
          <w:rFonts w:ascii="Arial" w:hAnsi="Arial" w:cs="Arial"/>
        </w:rPr>
        <w:t xml:space="preserve"> of outside observers or the CDE staff.</w:t>
      </w:r>
    </w:p>
    <w:p w14:paraId="08880659" w14:textId="15F7C633" w:rsidR="00537458" w:rsidRPr="004D0DC2" w:rsidRDefault="00537458" w:rsidP="00537458">
      <w:pPr>
        <w:pStyle w:val="WPDefaults"/>
        <w:spacing w:after="240"/>
        <w:rPr>
          <w:rFonts w:ascii="Arial" w:hAnsi="Arial" w:cs="Arial"/>
        </w:rPr>
      </w:pPr>
      <w:r w:rsidRPr="004D0DC2">
        <w:rPr>
          <w:rFonts w:ascii="Arial" w:hAnsi="Arial" w:cs="Arial"/>
        </w:rPr>
        <w:t xml:space="preserve">Although the bidder may use their own budget format, all of the Cost Proposal requirements identified in </w:t>
      </w:r>
      <w:r w:rsidR="00693698" w:rsidRPr="004D0DC2">
        <w:rPr>
          <w:rFonts w:ascii="Arial" w:hAnsi="Arial" w:cs="Arial"/>
        </w:rPr>
        <w:t xml:space="preserve">RFP </w:t>
      </w:r>
      <w:r w:rsidRPr="004D0DC2">
        <w:rPr>
          <w:rFonts w:ascii="Arial" w:hAnsi="Arial" w:cs="Arial"/>
        </w:rPr>
        <w:t xml:space="preserve">Section </w:t>
      </w:r>
      <w:r w:rsidR="00DC395C" w:rsidRPr="004D0DC2">
        <w:rPr>
          <w:rFonts w:ascii="Arial" w:hAnsi="Arial" w:cs="Arial"/>
        </w:rPr>
        <w:t>3</w:t>
      </w:r>
      <w:r w:rsidRPr="004D0DC2">
        <w:rPr>
          <w:rFonts w:ascii="Arial" w:hAnsi="Arial" w:cs="Arial"/>
        </w:rPr>
        <w:t>.3 must be included in the bidder’s format.</w:t>
      </w:r>
    </w:p>
    <w:p w14:paraId="65682E71" w14:textId="77777777" w:rsidR="00537458" w:rsidRPr="004D0DC2" w:rsidRDefault="00537458" w:rsidP="00537458">
      <w:pPr>
        <w:widowControl w:val="0"/>
        <w:spacing w:before="240" w:after="240"/>
        <w:rPr>
          <w:rFonts w:eastAsia="Arial Unicode MS" w:cs="Arial"/>
          <w:szCs w:val="24"/>
        </w:rPr>
      </w:pPr>
      <w:r w:rsidRPr="004D0DC2">
        <w:rPr>
          <w:rFonts w:eastAsia="Arial Unicode MS" w:cs="Arial"/>
          <w:szCs w:val="24"/>
        </w:rPr>
        <w:t>The costs/rates must be reasonable. Every component of the cost is subject to reasonableness of cost justification to DGS, who may approve it at its discretion. If any portion of the cost is rejected by DGS, then the entire bid may be rejected.</w:t>
      </w:r>
    </w:p>
    <w:p w14:paraId="68CA8209" w14:textId="77777777" w:rsidR="00537458" w:rsidRPr="004D0DC2" w:rsidRDefault="00537458" w:rsidP="00537458">
      <w:pPr>
        <w:widowControl w:val="0"/>
        <w:spacing w:before="240" w:after="240"/>
        <w:rPr>
          <w:rFonts w:eastAsia="Arial Unicode MS" w:cs="Arial"/>
          <w:szCs w:val="24"/>
        </w:rPr>
      </w:pPr>
      <w:r w:rsidRPr="004D0DC2">
        <w:rPr>
          <w:rFonts w:eastAsia="Arial Unicode MS" w:cs="Arial"/>
          <w:szCs w:val="24"/>
        </w:rPr>
        <w:lastRenderedPageBreak/>
        <w:t>Any proposed costs submitted by the bidder that are not included in the total amount for the overall contract as stated on the Cover Sheet, are not binding on CDE, or the State of California, and the bidder will be legally bound to fully perform all work for the total amount stated and absorb such amounts not included.</w:t>
      </w:r>
    </w:p>
    <w:p w14:paraId="3BEB7D12" w14:textId="5D77DC43" w:rsidR="00537458" w:rsidRPr="004D0DC2" w:rsidRDefault="00537458" w:rsidP="00537458">
      <w:pPr>
        <w:widowControl w:val="0"/>
        <w:spacing w:before="240" w:after="240"/>
        <w:rPr>
          <w:rFonts w:eastAsia="Arial Unicode MS" w:cs="Arial"/>
          <w:szCs w:val="24"/>
        </w:rPr>
      </w:pPr>
      <w:r w:rsidRPr="004D0DC2">
        <w:rPr>
          <w:rFonts w:eastAsia="Arial Unicode MS" w:cs="Arial"/>
          <w:szCs w:val="24"/>
        </w:rPr>
        <w:t xml:space="preserve">The Cost Proposal will NOT be opened unless the Technical Proposal has successfully met the requirements of Phase II, Technical </w:t>
      </w:r>
      <w:r w:rsidR="00DC211A" w:rsidRPr="004D0DC2">
        <w:rPr>
          <w:rFonts w:eastAsia="Arial Unicode MS" w:cs="Arial"/>
          <w:szCs w:val="24"/>
        </w:rPr>
        <w:t xml:space="preserve">Proposal </w:t>
      </w:r>
      <w:r w:rsidRPr="004D0DC2">
        <w:rPr>
          <w:rFonts w:eastAsia="Arial Unicode MS" w:cs="Arial"/>
          <w:szCs w:val="24"/>
        </w:rPr>
        <w:t>Evaluation (Attachment 1</w:t>
      </w:r>
      <w:r w:rsidR="00751222">
        <w:rPr>
          <w:rFonts w:eastAsia="Arial Unicode MS" w:cs="Arial"/>
          <w:szCs w:val="24"/>
        </w:rPr>
        <w:t>4</w:t>
      </w:r>
      <w:r w:rsidRPr="004D0DC2">
        <w:rPr>
          <w:rFonts w:eastAsia="Arial Unicode MS" w:cs="Arial"/>
          <w:szCs w:val="24"/>
        </w:rPr>
        <w:t>).</w:t>
      </w:r>
    </w:p>
    <w:p w14:paraId="5429E14C" w14:textId="77777777" w:rsidR="00537458" w:rsidRPr="004D0DC2" w:rsidRDefault="00537458" w:rsidP="00537458">
      <w:pPr>
        <w:widowControl w:val="0"/>
        <w:spacing w:before="240" w:after="240"/>
        <w:rPr>
          <w:rFonts w:cs="Arial"/>
        </w:rPr>
      </w:pPr>
      <w:r w:rsidRPr="004D0DC2">
        <w:rPr>
          <w:rFonts w:cs="Arial"/>
        </w:rPr>
        <w:t>The Cost Proposal must, at a minimum, contain the following sections:</w:t>
      </w:r>
    </w:p>
    <w:p w14:paraId="65B4FE91" w14:textId="0BBE9CDC" w:rsidR="00537458" w:rsidRPr="004D0DC2" w:rsidRDefault="004564C9" w:rsidP="00537458">
      <w:pPr>
        <w:pStyle w:val="Heading4"/>
      </w:pPr>
      <w:r w:rsidRPr="004D0DC2">
        <w:t>3</w:t>
      </w:r>
      <w:r w:rsidR="00537458" w:rsidRPr="004D0DC2">
        <w:t>.3.2 Cost Proposal Cover Sheet</w:t>
      </w:r>
    </w:p>
    <w:p w14:paraId="6B96F855" w14:textId="77777777" w:rsidR="00537458" w:rsidRPr="004D0DC2" w:rsidRDefault="00537458" w:rsidP="00537458">
      <w:pPr>
        <w:tabs>
          <w:tab w:val="left" w:pos="720"/>
        </w:tabs>
        <w:spacing w:before="240" w:after="240"/>
        <w:rPr>
          <w:rFonts w:cs="Arial"/>
        </w:rPr>
      </w:pPr>
      <w:r w:rsidRPr="004D0DC2">
        <w:rPr>
          <w:rFonts w:eastAsia="Arial Unicode MS" w:cs="Arial"/>
          <w:szCs w:val="24"/>
        </w:rPr>
        <w:t>The first page of the Cost Proposal must be a Cover Sheet. Only the Cover Sheet will be read at the cost proposal bid opening. The Cover Sheet must indicate the TOTAL amount for the overall contract without any cost breakdowns.</w:t>
      </w:r>
    </w:p>
    <w:p w14:paraId="19C1D828" w14:textId="77777777" w:rsidR="00537458" w:rsidRPr="004D0DC2" w:rsidRDefault="00537458" w:rsidP="00537458">
      <w:pPr>
        <w:pStyle w:val="ListParagraph"/>
        <w:numPr>
          <w:ilvl w:val="2"/>
          <w:numId w:val="6"/>
        </w:numPr>
        <w:spacing w:before="240" w:after="240"/>
        <w:ind w:left="720" w:hanging="720"/>
        <w:rPr>
          <w:rFonts w:cs="Arial"/>
        </w:rPr>
      </w:pPr>
      <w:r w:rsidRPr="004D0DC2">
        <w:rPr>
          <w:rFonts w:cs="Arial"/>
        </w:rPr>
        <w:t>The Cover Sheet should state:</w:t>
      </w:r>
    </w:p>
    <w:p w14:paraId="3C8E3300" w14:textId="77777777" w:rsidR="00537458" w:rsidRPr="002171EE" w:rsidRDefault="00537458" w:rsidP="00537458">
      <w:pPr>
        <w:pStyle w:val="rfasub-title"/>
        <w:spacing w:before="240" w:beforeAutospacing="0" w:after="240" w:afterAutospacing="0"/>
        <w:ind w:left="720"/>
        <w:rPr>
          <w:rFonts w:ascii="Arial" w:hAnsi="Arial" w:cs="Arial"/>
        </w:rPr>
      </w:pPr>
      <w:r w:rsidRPr="004D0DC2">
        <w:rPr>
          <w:rFonts w:ascii="Arial" w:hAnsi="Arial" w:cs="Arial"/>
        </w:rPr>
        <w:t xml:space="preserve">&lt;insert name of bidder&gt; proposes to conduct the work associated with </w:t>
      </w:r>
      <w:r w:rsidRPr="002171EE">
        <w:rPr>
          <w:rFonts w:ascii="Arial" w:hAnsi="Arial" w:cs="Arial"/>
        </w:rPr>
        <w:t>the Adult Education Professional Development Request for Proposal for $&lt;insert bid amount&gt;.</w:t>
      </w:r>
    </w:p>
    <w:p w14:paraId="364750E1" w14:textId="77777777" w:rsidR="00537458" w:rsidRPr="004D0DC2" w:rsidRDefault="00537458" w:rsidP="00537458">
      <w:pPr>
        <w:pStyle w:val="ListParagraph"/>
        <w:numPr>
          <w:ilvl w:val="2"/>
          <w:numId w:val="6"/>
        </w:numPr>
        <w:spacing w:before="240" w:after="240"/>
        <w:ind w:left="720" w:hanging="720"/>
        <w:rPr>
          <w:rFonts w:cs="Arial"/>
        </w:rPr>
      </w:pPr>
      <w:r w:rsidRPr="004D0DC2">
        <w:rPr>
          <w:rFonts w:eastAsia="Arial Unicode MS" w:cs="Arial"/>
          <w:szCs w:val="24"/>
        </w:rPr>
        <w:t>Any proposed costs submitted by the bidder that are not included in the total amount for the overall contract as stated on the Cover Sheet, are not binding on the CDE, or the State of California, and the bidder will be legally bound to fully perform all work for the total amount stated and absorb such amounts not included.</w:t>
      </w:r>
    </w:p>
    <w:p w14:paraId="68F6A552" w14:textId="18DE0ABD" w:rsidR="00537458" w:rsidRPr="004D0DC2" w:rsidRDefault="004564C9" w:rsidP="00537458">
      <w:pPr>
        <w:pStyle w:val="Heading4"/>
      </w:pPr>
      <w:r w:rsidRPr="004D0DC2">
        <w:t>3</w:t>
      </w:r>
      <w:r w:rsidR="00537458" w:rsidRPr="004D0DC2">
        <w:t>.3.3 Summary of All Costs for Total Project</w:t>
      </w:r>
    </w:p>
    <w:p w14:paraId="593135F8" w14:textId="7175EE3C" w:rsidR="00537458" w:rsidRPr="004D0DC2" w:rsidRDefault="00537458" w:rsidP="00537458">
      <w:pPr>
        <w:widowControl w:val="0"/>
        <w:tabs>
          <w:tab w:val="left" w:pos="360"/>
          <w:tab w:val="left" w:pos="2160"/>
        </w:tabs>
        <w:spacing w:before="240" w:after="240"/>
        <w:rPr>
          <w:rFonts w:cs="Arial"/>
        </w:rPr>
      </w:pPr>
      <w:r w:rsidRPr="004D0DC2">
        <w:rPr>
          <w:rFonts w:cs="Arial"/>
        </w:rPr>
        <w:t xml:space="preserve">The Cost Proposal must contain a section that summarizes all costs for the total project, including all tasks identified in Section </w:t>
      </w:r>
      <w:r w:rsidR="00DC395C" w:rsidRPr="004D0DC2">
        <w:rPr>
          <w:rFonts w:cs="Arial"/>
        </w:rPr>
        <w:t>7</w:t>
      </w:r>
      <w:r w:rsidRPr="004D0DC2">
        <w:rPr>
          <w:rFonts w:cs="Arial"/>
        </w:rPr>
        <w:t xml:space="preserve"> of the RFP for all fiscal years or parts thereof</w:t>
      </w:r>
      <w:r w:rsidR="00D75864" w:rsidRPr="004D0DC2">
        <w:rPr>
          <w:rFonts w:cs="Arial"/>
        </w:rPr>
        <w:t>, and including a total for each fiscal year</w:t>
      </w:r>
      <w:r w:rsidRPr="004D0DC2">
        <w:rPr>
          <w:rFonts w:cs="Arial"/>
        </w:rPr>
        <w:t xml:space="preserve">. The summary of all costs for total project should clearly identify each subcontractor and the cost for each subcontract. Subcontractor costs include, but are not limited to, DVBE subcontractors, and independent consultants (See RFP, Section </w:t>
      </w:r>
      <w:r w:rsidR="00132985" w:rsidRPr="004D0DC2">
        <w:rPr>
          <w:rFonts w:cs="Arial"/>
        </w:rPr>
        <w:t>2</w:t>
      </w:r>
      <w:r w:rsidRPr="004D0DC2">
        <w:rPr>
          <w:rFonts w:cs="Arial"/>
        </w:rPr>
        <w:t xml:space="preserve">.8 for definition of subcontractor). The tasks in the Cost Proposal must coincide with the tasks set forth in the RFP Section </w:t>
      </w:r>
      <w:r w:rsidR="00DC395C" w:rsidRPr="004D0DC2">
        <w:rPr>
          <w:rFonts w:cs="Arial"/>
        </w:rPr>
        <w:t>7</w:t>
      </w:r>
      <w:r w:rsidRPr="004D0DC2">
        <w:rPr>
          <w:rFonts w:cs="Arial"/>
        </w:rPr>
        <w:t>.</w:t>
      </w:r>
    </w:p>
    <w:p w14:paraId="4FF05C9C" w14:textId="78C341D3" w:rsidR="00537458" w:rsidRPr="004D0DC2" w:rsidRDefault="004564C9" w:rsidP="00537458">
      <w:pPr>
        <w:pStyle w:val="Heading4"/>
      </w:pPr>
      <w:r w:rsidRPr="004D0DC2">
        <w:t>3</w:t>
      </w:r>
      <w:r w:rsidR="00537458" w:rsidRPr="004D0DC2">
        <w:t>.3.4 Task and Subtask Detail for Contractor and for Each Subcontractor for Each Fiscal Year</w:t>
      </w:r>
    </w:p>
    <w:p w14:paraId="531DADA1" w14:textId="3B939C3C" w:rsidR="00537458" w:rsidRPr="004D0DC2" w:rsidRDefault="00537458" w:rsidP="00537458">
      <w:pPr>
        <w:widowControl w:val="0"/>
        <w:spacing w:before="240" w:after="240"/>
        <w:rPr>
          <w:rFonts w:cs="Arial"/>
        </w:rPr>
      </w:pPr>
      <w:r w:rsidRPr="004D0DC2">
        <w:rPr>
          <w:rFonts w:cs="Arial"/>
        </w:rPr>
        <w:t xml:space="preserve">The Cost Proposal must contain a section that in detail breaks down all costs and rates associated with each task and each subtask set forth in RFP Section </w:t>
      </w:r>
      <w:r w:rsidR="00DC395C" w:rsidRPr="004D0DC2">
        <w:rPr>
          <w:rFonts w:cs="Arial"/>
        </w:rPr>
        <w:t>7</w:t>
      </w:r>
      <w:r w:rsidRPr="004D0DC2">
        <w:rPr>
          <w:rFonts w:cs="Arial"/>
        </w:rPr>
        <w:t xml:space="preserve"> for the bidder and for each subcontractor </w:t>
      </w:r>
      <w:r w:rsidR="003352CA" w:rsidRPr="004D0DC2">
        <w:rPr>
          <w:rFonts w:cs="Arial"/>
        </w:rPr>
        <w:t>by</w:t>
      </w:r>
      <w:r w:rsidRPr="004D0DC2">
        <w:rPr>
          <w:rFonts w:cs="Arial"/>
        </w:rPr>
        <w:t xml:space="preserve"> fiscal year or part thereof. All costs by subtask must be detailed for each fiscal year.</w:t>
      </w:r>
    </w:p>
    <w:p w14:paraId="349AD4FA" w14:textId="77777777" w:rsidR="00537458" w:rsidRPr="004D0DC2" w:rsidRDefault="00537458" w:rsidP="00537458">
      <w:pPr>
        <w:widowControl w:val="0"/>
        <w:spacing w:before="240" w:after="240"/>
        <w:rPr>
          <w:rFonts w:cs="Arial"/>
        </w:rPr>
      </w:pPr>
      <w:r w:rsidRPr="004D0DC2">
        <w:rPr>
          <w:rFonts w:cs="Arial"/>
        </w:rPr>
        <w:t>At a minimum, the task and subtask detail must include individual line items for the following:</w:t>
      </w:r>
    </w:p>
    <w:p w14:paraId="32E94C58" w14:textId="77777777" w:rsidR="00537458" w:rsidRPr="004D0DC2" w:rsidRDefault="00537458" w:rsidP="00132985">
      <w:pPr>
        <w:pStyle w:val="ListParagraph"/>
        <w:numPr>
          <w:ilvl w:val="0"/>
          <w:numId w:val="13"/>
        </w:numPr>
        <w:tabs>
          <w:tab w:val="left" w:pos="2520"/>
        </w:tabs>
        <w:spacing w:before="240" w:after="240"/>
        <w:ind w:hanging="720"/>
        <w:contextualSpacing w:val="0"/>
        <w:rPr>
          <w:rFonts w:cs="Arial"/>
        </w:rPr>
      </w:pPr>
      <w:r w:rsidRPr="004D0DC2">
        <w:rPr>
          <w:rFonts w:cs="Arial"/>
        </w:rPr>
        <w:t>Detailed Labor Costs</w:t>
      </w:r>
    </w:p>
    <w:p w14:paraId="3B22976C" w14:textId="3C11E3F3" w:rsidR="00537458" w:rsidRPr="004D0DC2" w:rsidRDefault="00537458" w:rsidP="00537458">
      <w:pPr>
        <w:pStyle w:val="ListParagraph"/>
        <w:tabs>
          <w:tab w:val="left" w:pos="2520"/>
        </w:tabs>
        <w:spacing w:before="240" w:after="240"/>
        <w:contextualSpacing w:val="0"/>
        <w:rPr>
          <w:rFonts w:cs="Arial"/>
        </w:rPr>
      </w:pPr>
      <w:r w:rsidRPr="004D0DC2">
        <w:rPr>
          <w:rFonts w:cs="Arial"/>
        </w:rPr>
        <w:t xml:space="preserve">Detailed labor costs including hourly salary rates and number of labor hours for each job position title/name (must correspond with the hours, job position titles, and names </w:t>
      </w:r>
      <w:r w:rsidRPr="004D0DC2">
        <w:rPr>
          <w:rFonts w:cs="Arial"/>
        </w:rPr>
        <w:lastRenderedPageBreak/>
        <w:t xml:space="preserve">contained in the Technical Proposal Staffing Labor Hours Worksheet, Attachment </w:t>
      </w:r>
      <w:r w:rsidR="008A7671" w:rsidRPr="004D0DC2">
        <w:rPr>
          <w:rFonts w:cs="Arial"/>
        </w:rPr>
        <w:t>4</w:t>
      </w:r>
      <w:r w:rsidRPr="004D0DC2">
        <w:rPr>
          <w:rFonts w:cs="Arial"/>
        </w:rPr>
        <w:t xml:space="preserve">). The Project Manager, Fiscal Manager, and all </w:t>
      </w:r>
      <w:r w:rsidR="00D75864" w:rsidRPr="004D0DC2">
        <w:rPr>
          <w:rFonts w:cs="Arial"/>
        </w:rPr>
        <w:t xml:space="preserve">other </w:t>
      </w:r>
      <w:r w:rsidRPr="004D0DC2">
        <w:rPr>
          <w:rFonts w:cs="Arial"/>
        </w:rPr>
        <w:t xml:space="preserve">identified Key Personnel (identified in bidder’s Technical Proposal response for Section </w:t>
      </w:r>
      <w:r w:rsidR="00132985" w:rsidRPr="004D0DC2">
        <w:rPr>
          <w:rFonts w:cs="Arial"/>
        </w:rPr>
        <w:t>3</w:t>
      </w:r>
      <w:r w:rsidRPr="004D0DC2">
        <w:rPr>
          <w:rFonts w:cs="Arial"/>
        </w:rPr>
        <w:t>.1) must be identified by name and job title in the Cost Proposal, and others by job title only.</w:t>
      </w:r>
    </w:p>
    <w:p w14:paraId="3917E0B4" w14:textId="77777777" w:rsidR="00537458" w:rsidRPr="004D0DC2" w:rsidRDefault="00537458" w:rsidP="00132985">
      <w:pPr>
        <w:pStyle w:val="ListParagraph"/>
        <w:numPr>
          <w:ilvl w:val="0"/>
          <w:numId w:val="13"/>
        </w:numPr>
        <w:tabs>
          <w:tab w:val="left" w:pos="1080"/>
          <w:tab w:val="left" w:pos="2520"/>
        </w:tabs>
        <w:spacing w:before="240" w:after="240"/>
        <w:ind w:hanging="720"/>
        <w:contextualSpacing w:val="0"/>
        <w:rPr>
          <w:rFonts w:cs="Arial"/>
          <w:szCs w:val="24"/>
        </w:rPr>
      </w:pPr>
      <w:r w:rsidRPr="004D0DC2">
        <w:rPr>
          <w:rFonts w:cs="Arial"/>
          <w:szCs w:val="24"/>
        </w:rPr>
        <w:t>Detailed Direct Costs</w:t>
      </w:r>
    </w:p>
    <w:p w14:paraId="64142464" w14:textId="77777777" w:rsidR="00537458" w:rsidRPr="004D0DC2" w:rsidRDefault="00537458" w:rsidP="00537458">
      <w:pPr>
        <w:pStyle w:val="ListParagraph"/>
        <w:tabs>
          <w:tab w:val="left" w:pos="1080"/>
          <w:tab w:val="left" w:pos="2520"/>
        </w:tabs>
        <w:spacing w:before="240" w:after="240"/>
        <w:contextualSpacing w:val="0"/>
        <w:rPr>
          <w:rFonts w:cs="Arial"/>
          <w:szCs w:val="24"/>
        </w:rPr>
      </w:pPr>
      <w:r w:rsidRPr="004D0DC2">
        <w:rPr>
          <w:szCs w:val="24"/>
        </w:rPr>
        <w:t>The Cost Proposal must include an itemized detailed description of direct costs to specify what is included for any proposed direct costs and does not include any labor costs.</w:t>
      </w:r>
    </w:p>
    <w:p w14:paraId="73C509B6" w14:textId="77777777" w:rsidR="00537458" w:rsidRPr="004D0DC2" w:rsidRDefault="00537458" w:rsidP="00132985">
      <w:pPr>
        <w:pStyle w:val="ListParagraph"/>
        <w:numPr>
          <w:ilvl w:val="0"/>
          <w:numId w:val="13"/>
        </w:numPr>
        <w:tabs>
          <w:tab w:val="left" w:pos="1080"/>
        </w:tabs>
        <w:spacing w:before="240" w:after="240"/>
        <w:ind w:hanging="720"/>
        <w:contextualSpacing w:val="0"/>
        <w:rPr>
          <w:rFonts w:cs="Arial"/>
        </w:rPr>
      </w:pPr>
      <w:r w:rsidRPr="004D0DC2">
        <w:rPr>
          <w:rFonts w:cs="Arial"/>
          <w:szCs w:val="24"/>
        </w:rPr>
        <w:t>Overhead and Indirect Costs</w:t>
      </w:r>
    </w:p>
    <w:p w14:paraId="69126ED8" w14:textId="3301572F" w:rsidR="00537458" w:rsidRPr="004D0DC2" w:rsidRDefault="00537458" w:rsidP="00537458">
      <w:pPr>
        <w:pStyle w:val="ListParagraph"/>
        <w:tabs>
          <w:tab w:val="left" w:pos="1080"/>
        </w:tabs>
        <w:spacing w:before="240" w:after="240"/>
        <w:contextualSpacing w:val="0"/>
        <w:rPr>
          <w:rFonts w:cs="Arial"/>
        </w:rPr>
      </w:pPr>
      <w:r w:rsidRPr="004D0DC2">
        <w:rPr>
          <w:szCs w:val="24"/>
        </w:rPr>
        <w:t xml:space="preserve">The Cost Proposal must identify the rate of any indirect cost(s) included. The Cost Proposal must include a detailed narrative description to specify what is included for any indirect </w:t>
      </w:r>
      <w:r w:rsidR="0001784B" w:rsidRPr="004D0DC2">
        <w:rPr>
          <w:szCs w:val="24"/>
        </w:rPr>
        <w:t>cost</w:t>
      </w:r>
      <w:r w:rsidRPr="004D0DC2">
        <w:rPr>
          <w:szCs w:val="24"/>
        </w:rPr>
        <w:t xml:space="preserve"> rates proposed. Indirect costs must not cover costs covered under other costs identified in the Cost Proposal.</w:t>
      </w:r>
    </w:p>
    <w:p w14:paraId="03334BAF" w14:textId="77777777" w:rsidR="00537458" w:rsidRPr="004D0DC2" w:rsidRDefault="00537458" w:rsidP="00132985">
      <w:pPr>
        <w:pStyle w:val="ListParagraph"/>
        <w:numPr>
          <w:ilvl w:val="0"/>
          <w:numId w:val="13"/>
        </w:numPr>
        <w:tabs>
          <w:tab w:val="left" w:pos="1080"/>
          <w:tab w:val="left" w:pos="2160"/>
        </w:tabs>
        <w:spacing w:before="240" w:after="240"/>
        <w:ind w:hanging="720"/>
        <w:contextualSpacing w:val="0"/>
        <w:rPr>
          <w:rFonts w:cs="Arial"/>
        </w:rPr>
      </w:pPr>
      <w:r w:rsidRPr="004D0DC2">
        <w:rPr>
          <w:rFonts w:cs="Arial"/>
        </w:rPr>
        <w:t>Travel Rates</w:t>
      </w:r>
    </w:p>
    <w:p w14:paraId="61EB2BAC" w14:textId="4760C045" w:rsidR="00537458" w:rsidRPr="004D0DC2" w:rsidRDefault="00001A5F" w:rsidP="54EA1D9A">
      <w:pPr>
        <w:pStyle w:val="ListParagraph"/>
        <w:tabs>
          <w:tab w:val="left" w:pos="1080"/>
          <w:tab w:val="left" w:pos="2160"/>
        </w:tabs>
        <w:spacing w:before="240" w:after="240"/>
        <w:rPr>
          <w:rFonts w:cs="Arial"/>
        </w:rPr>
      </w:pPr>
      <w:bookmarkStart w:id="11" w:name="_Hlk166664732"/>
      <w:r w:rsidRPr="54EA1D9A">
        <w:rPr>
          <w:rFonts w:cs="Arial"/>
        </w:rPr>
        <w:t xml:space="preserve">All travel costs do not exceed established travel rates pursuant to </w:t>
      </w:r>
      <w:r w:rsidR="007A2A45" w:rsidRPr="54EA1D9A">
        <w:rPr>
          <w:rFonts w:cs="Arial"/>
        </w:rPr>
        <w:t>the rates as established by the California Department of Human Resources, for current rates please refer to</w:t>
      </w:r>
      <w:r w:rsidR="57724DF9" w:rsidRPr="54EA1D9A">
        <w:rPr>
          <w:rFonts w:cs="Arial"/>
        </w:rPr>
        <w:t xml:space="preserve"> the CalHR website at</w:t>
      </w:r>
      <w:r w:rsidR="007A2A45" w:rsidRPr="54EA1D9A">
        <w:rPr>
          <w:rFonts w:cs="Arial"/>
        </w:rPr>
        <w:t xml:space="preserve"> </w:t>
      </w:r>
      <w:hyperlink r:id="rId23" w:tooltip="Current Travel Reimbursement Rates">
        <w:r w:rsidR="007A2A45" w:rsidRPr="54EA1D9A">
          <w:rPr>
            <w:rStyle w:val="Hyperlink"/>
            <w:rFonts w:cs="Arial"/>
          </w:rPr>
          <w:t>https://www.calhr.ca.gov/employees/pages/travel-reimbursements.aspx</w:t>
        </w:r>
      </w:hyperlink>
      <w:r w:rsidR="007A2A45" w:rsidRPr="54EA1D9A">
        <w:rPr>
          <w:rFonts w:cs="Arial"/>
        </w:rPr>
        <w:t>.</w:t>
      </w:r>
      <w:r w:rsidRPr="54EA1D9A">
        <w:rPr>
          <w:rFonts w:cs="Arial"/>
        </w:rPr>
        <w:t xml:space="preserve"> </w:t>
      </w:r>
      <w:bookmarkEnd w:id="11"/>
      <w:r w:rsidR="00537458">
        <w:br/>
      </w:r>
      <w:r w:rsidR="00537458" w:rsidRPr="54EA1D9A">
        <w:rPr>
          <w:rFonts w:cs="Arial"/>
        </w:rPr>
        <w:t>The Cost Proposal must include an acknowledgement that travel and per diem rates will not exceed those established for the State of California’s non-represented employee’s, computed in accordance with and allowable pursuant to applicable California Department of Human Resources regulations.</w:t>
      </w:r>
      <w:r w:rsidR="00537458">
        <w:br/>
      </w:r>
    </w:p>
    <w:p w14:paraId="30EFE03D" w14:textId="11F9E7EB" w:rsidR="007A2A45" w:rsidRPr="004D0DC2" w:rsidRDefault="007A2A45" w:rsidP="007A2A45">
      <w:pPr>
        <w:pStyle w:val="ListParagraph"/>
        <w:tabs>
          <w:tab w:val="left" w:pos="1080"/>
          <w:tab w:val="left" w:pos="2160"/>
        </w:tabs>
        <w:spacing w:before="240" w:after="240"/>
        <w:rPr>
          <w:rFonts w:cs="Arial"/>
        </w:rPr>
      </w:pPr>
      <w:r w:rsidRPr="004D0DC2">
        <w:rPr>
          <w:rFonts w:cs="Arial"/>
        </w:rPr>
        <w:t>Contractor must ensure that all receipts for travel are retained. CDE may require submission of receipts with invoices. All business expenses are to be incurred as a result of conducting state business, and are subject to review/verification by the CDE.</w:t>
      </w:r>
    </w:p>
    <w:p w14:paraId="7125B635" w14:textId="77777777" w:rsidR="007A2A45" w:rsidRPr="004D0DC2" w:rsidRDefault="007A2A45" w:rsidP="004D0DC2">
      <w:pPr>
        <w:pStyle w:val="ListParagraph"/>
        <w:tabs>
          <w:tab w:val="left" w:pos="1080"/>
          <w:tab w:val="left" w:pos="2160"/>
        </w:tabs>
        <w:spacing w:before="240"/>
        <w:contextualSpacing w:val="0"/>
        <w:rPr>
          <w:rFonts w:cs="Arial"/>
        </w:rPr>
      </w:pPr>
    </w:p>
    <w:p w14:paraId="06E3241F" w14:textId="0192A08B" w:rsidR="007A2A45" w:rsidRPr="004D0DC2" w:rsidRDefault="007A2A45" w:rsidP="004D0DC2">
      <w:pPr>
        <w:pStyle w:val="ListParagraph"/>
        <w:tabs>
          <w:tab w:val="left" w:pos="1080"/>
          <w:tab w:val="left" w:pos="2160"/>
        </w:tabs>
        <w:spacing w:after="240"/>
        <w:contextualSpacing w:val="0"/>
        <w:rPr>
          <w:rFonts w:cs="Arial"/>
        </w:rPr>
      </w:pPr>
      <w:r w:rsidRPr="004D0DC2">
        <w:rPr>
          <w:rFonts w:cs="Arial"/>
        </w:rPr>
        <w:t>Contractors/subcontractors are subject to the same rules and requirements if they are reimbursed for travel. Meals when the individual is not on travel status and refreshments or break service at meetings are not reimbursable.</w:t>
      </w:r>
    </w:p>
    <w:p w14:paraId="15F7610C" w14:textId="77777777" w:rsidR="00537458" w:rsidRPr="004D0DC2" w:rsidRDefault="00537458" w:rsidP="00132985">
      <w:pPr>
        <w:pStyle w:val="ListParagraph"/>
        <w:numPr>
          <w:ilvl w:val="0"/>
          <w:numId w:val="13"/>
        </w:numPr>
        <w:tabs>
          <w:tab w:val="left" w:pos="1080"/>
        </w:tabs>
        <w:spacing w:before="240" w:after="240"/>
        <w:ind w:hanging="720"/>
        <w:contextualSpacing w:val="0"/>
        <w:rPr>
          <w:rFonts w:cs="Arial"/>
        </w:rPr>
      </w:pPr>
      <w:r w:rsidRPr="004D0DC2">
        <w:rPr>
          <w:rFonts w:cs="Arial"/>
        </w:rPr>
        <w:t>Subcontractor/DVBE Costs</w:t>
      </w:r>
    </w:p>
    <w:p w14:paraId="4E52C1A1" w14:textId="77777777" w:rsidR="00537458" w:rsidRPr="004D0DC2" w:rsidRDefault="00537458" w:rsidP="00537458">
      <w:pPr>
        <w:pStyle w:val="ListParagraph"/>
        <w:tabs>
          <w:tab w:val="left" w:pos="1080"/>
        </w:tabs>
        <w:spacing w:before="240" w:after="240"/>
        <w:contextualSpacing w:val="0"/>
        <w:rPr>
          <w:rFonts w:cs="Arial"/>
        </w:rPr>
      </w:pPr>
      <w:bookmarkStart w:id="12" w:name="_Hlk166664836"/>
      <w:r w:rsidRPr="004D0DC2">
        <w:rPr>
          <w:szCs w:val="24"/>
        </w:rPr>
        <w:t>The Cost Proposal must identify w</w:t>
      </w:r>
      <w:r w:rsidRPr="004D0DC2">
        <w:rPr>
          <w:rFonts w:cs="Arial"/>
        </w:rPr>
        <w:t>hich labor, goods, or services within a task are being provided by a subcontractor, including but not limited to DVBE subcontractor(s). The Cost Proposal must contain a section that in detail breaks down all subcontractor costs for each task and subtask that will be provided by a subcontractor, for each fiscal year covered under this RFP, or part thereof.</w:t>
      </w:r>
      <w:bookmarkEnd w:id="12"/>
    </w:p>
    <w:p w14:paraId="57DB2723" w14:textId="77777777" w:rsidR="00537458" w:rsidRPr="002171EE" w:rsidRDefault="00537458" w:rsidP="00132985">
      <w:pPr>
        <w:pStyle w:val="ListParagraph"/>
        <w:widowControl w:val="0"/>
        <w:numPr>
          <w:ilvl w:val="0"/>
          <w:numId w:val="13"/>
        </w:numPr>
        <w:spacing w:after="240"/>
        <w:ind w:hanging="720"/>
        <w:contextualSpacing w:val="0"/>
        <w:rPr>
          <w:rFonts w:cs="Arial"/>
          <w:szCs w:val="24"/>
        </w:rPr>
      </w:pPr>
      <w:r w:rsidRPr="002171EE">
        <w:rPr>
          <w:rFonts w:cs="Arial"/>
          <w:szCs w:val="24"/>
        </w:rPr>
        <w:t>Information Technology Development Costs</w:t>
      </w:r>
    </w:p>
    <w:p w14:paraId="0D7947E7" w14:textId="0B1B34C0" w:rsidR="00537458" w:rsidRPr="0001784B" w:rsidRDefault="00537458" w:rsidP="00537458">
      <w:pPr>
        <w:pStyle w:val="ListParagraph"/>
        <w:widowControl w:val="0"/>
        <w:spacing w:after="240"/>
        <w:rPr>
          <w:rFonts w:cs="Arial"/>
          <w:szCs w:val="24"/>
        </w:rPr>
      </w:pPr>
      <w:r w:rsidRPr="002171EE">
        <w:rPr>
          <w:rFonts w:cs="Arial"/>
          <w:szCs w:val="24"/>
        </w:rPr>
        <w:t>If applicable, the Cost Proposal must identify costs within a task/subtask that are associated with information technology development. Development costs are defined as one-time costs and are inclusive of analysis, design, programming, data conversion, and implementation of an information technology investment. Development costs are exclusive of continued operating and maintenance costs.</w:t>
      </w:r>
    </w:p>
    <w:p w14:paraId="00C828C3" w14:textId="1027FD7C" w:rsidR="00537458" w:rsidRPr="004D0DC2" w:rsidRDefault="004564C9" w:rsidP="00537458">
      <w:pPr>
        <w:pStyle w:val="Heading4"/>
      </w:pPr>
      <w:r w:rsidRPr="004D0DC2">
        <w:lastRenderedPageBreak/>
        <w:t>3</w:t>
      </w:r>
      <w:r w:rsidR="00537458" w:rsidRPr="004D0DC2">
        <w:t>.3.5 Cost Proposal Packaging</w:t>
      </w:r>
    </w:p>
    <w:p w14:paraId="4644582B" w14:textId="02819BDA" w:rsidR="00537458" w:rsidRPr="0001784B" w:rsidRDefault="00537458" w:rsidP="00F16D63">
      <w:pPr>
        <w:widowControl w:val="0"/>
        <w:spacing w:before="240" w:after="240"/>
        <w:rPr>
          <w:b/>
          <w:bCs/>
          <w:snapToGrid w:val="0"/>
          <w:sz w:val="36"/>
          <w:szCs w:val="36"/>
        </w:rPr>
      </w:pPr>
      <w:r w:rsidRPr="004D0DC2">
        <w:rPr>
          <w:rFonts w:cs="Arial"/>
        </w:rPr>
        <w:t xml:space="preserve">The Cost Proposal must be submitted in a separately sealed envelope, marked as specified </w:t>
      </w:r>
      <w:r w:rsidR="00F16D63" w:rsidRPr="004D0DC2">
        <w:rPr>
          <w:rFonts w:cs="Arial"/>
        </w:rPr>
        <w:t>in RFP Section 3.5 Submission of Proposal</w:t>
      </w:r>
      <w:r w:rsidR="00F16D63" w:rsidRPr="0001784B">
        <w:rPr>
          <w:rFonts w:cs="Arial"/>
          <w:b/>
          <w:bCs/>
        </w:rPr>
        <w:t>.</w:t>
      </w:r>
    </w:p>
    <w:p w14:paraId="46F74D6D" w14:textId="0304B3FF" w:rsidR="00537458" w:rsidRPr="004D0DC2" w:rsidRDefault="00537458" w:rsidP="00F67ED5">
      <w:pPr>
        <w:pStyle w:val="Heading3"/>
        <w:rPr>
          <w:sz w:val="24"/>
        </w:rPr>
      </w:pPr>
      <w:r w:rsidRPr="004D0DC2">
        <w:t>3.4 Errors in a Bidder’s Technical and/or Cost Proposal</w:t>
      </w:r>
    </w:p>
    <w:p w14:paraId="18622657" w14:textId="77777777" w:rsidR="00537458" w:rsidRPr="004D0DC2" w:rsidRDefault="00537458" w:rsidP="00537458">
      <w:pPr>
        <w:spacing w:before="240" w:after="240"/>
        <w:rPr>
          <w:iCs/>
        </w:rPr>
      </w:pPr>
      <w:r w:rsidRPr="004D0DC2">
        <w:rPr>
          <w:iCs/>
        </w:rPr>
        <w:t>An error in the proposal may cause rejection of that bid; however, the CDE may, at its sole discretion, retain the proposal and require certain corrections. In determining if a correction will be made, the CDE will consider the conformance of the bid to the format and content required by the RFP, and any unusual complexity of the format and content required by the RFP.</w:t>
      </w:r>
    </w:p>
    <w:p w14:paraId="0865A5FC" w14:textId="77777777" w:rsidR="00537458" w:rsidRPr="004D0DC2" w:rsidRDefault="00537458" w:rsidP="00537458">
      <w:pPr>
        <w:spacing w:before="240" w:after="240"/>
        <w:rPr>
          <w:iCs/>
        </w:rPr>
      </w:pPr>
      <w:r w:rsidRPr="004D0DC2">
        <w:rPr>
          <w:iCs/>
        </w:rPr>
        <w:t>If the bidder’s intent is clearly established based on review of the submitted proposal, the CDE may, at its sole discretion, require a bidder to correct an error based on that established intent. The CDE may, at its sole discretion, require a bidder to correct obvious clerical errors. The CDE may, at its sole discretion, require a bidder to correct errors of omission, and in the following three situations, the CDE will take the indicated actions if the bidder’s intent is not clearly established by the complete bid submittal:</w:t>
      </w:r>
    </w:p>
    <w:p w14:paraId="3E9D67E0" w14:textId="77777777" w:rsidR="00537458" w:rsidRPr="004D0DC2" w:rsidRDefault="00537458" w:rsidP="00537458">
      <w:pPr>
        <w:widowControl w:val="0"/>
        <w:numPr>
          <w:ilvl w:val="0"/>
          <w:numId w:val="10"/>
        </w:numPr>
        <w:spacing w:before="240" w:after="240"/>
        <w:ind w:left="720" w:hanging="720"/>
        <w:rPr>
          <w:iCs/>
        </w:rPr>
      </w:pPr>
      <w:r w:rsidRPr="004D0DC2">
        <w:rPr>
          <w:iCs/>
        </w:rPr>
        <w:t xml:space="preserve">If a deliverable, task, subtask, or staff is described in the narrative and omitted from the </w:t>
      </w:r>
      <w:r w:rsidRPr="004D0DC2">
        <w:rPr>
          <w:rFonts w:cs="Arial"/>
        </w:rPr>
        <w:t>Cost Proposal</w:t>
      </w:r>
      <w:r w:rsidRPr="004D0DC2">
        <w:rPr>
          <w:iCs/>
        </w:rPr>
        <w:t>, it will be interpreted to mean that the deliverable, task, subtask, or staff will be provided by the bidder at no cost.</w:t>
      </w:r>
    </w:p>
    <w:p w14:paraId="37A6C01C" w14:textId="77777777" w:rsidR="00537458" w:rsidRPr="004D0DC2" w:rsidRDefault="00537458" w:rsidP="00537458">
      <w:pPr>
        <w:widowControl w:val="0"/>
        <w:numPr>
          <w:ilvl w:val="0"/>
          <w:numId w:val="10"/>
        </w:numPr>
        <w:spacing w:before="240" w:after="240"/>
        <w:ind w:left="720" w:hanging="720"/>
        <w:rPr>
          <w:iCs/>
        </w:rPr>
      </w:pPr>
      <w:r w:rsidRPr="004D0DC2">
        <w:rPr>
          <w:iCs/>
        </w:rPr>
        <w:t>If a deliverable, task, or subtask is not mentioned at all in the bidder’s proposal, the bid will be interpreted to mean that the bidder does not intend to perform that deliverable, task, or subtask.</w:t>
      </w:r>
    </w:p>
    <w:p w14:paraId="1324D3CE" w14:textId="77777777" w:rsidR="00537458" w:rsidRPr="004D0DC2" w:rsidRDefault="00537458" w:rsidP="00537458">
      <w:pPr>
        <w:widowControl w:val="0"/>
        <w:numPr>
          <w:ilvl w:val="0"/>
          <w:numId w:val="10"/>
        </w:numPr>
        <w:spacing w:before="240" w:after="240"/>
        <w:ind w:left="720" w:hanging="720"/>
        <w:rPr>
          <w:iCs/>
        </w:rPr>
      </w:pPr>
      <w:r w:rsidRPr="004D0DC2">
        <w:rPr>
          <w:iCs/>
        </w:rPr>
        <w:t>If a deliverable, task, or subtask is omitted, and the omission is not discovered until after contract award, the bidder shall be required to perform that deliverable, task, or subtask at no cost.</w:t>
      </w:r>
    </w:p>
    <w:p w14:paraId="06DE5351" w14:textId="712EDFAB" w:rsidR="00537458" w:rsidRPr="004D0DC2" w:rsidRDefault="00537458" w:rsidP="00F67ED5">
      <w:pPr>
        <w:pStyle w:val="Heading3"/>
        <w:rPr>
          <w:sz w:val="24"/>
        </w:rPr>
      </w:pPr>
      <w:r w:rsidRPr="004D0DC2">
        <w:rPr>
          <w:szCs w:val="24"/>
        </w:rPr>
        <w:t>3.5</w:t>
      </w:r>
      <w:r w:rsidRPr="004D0DC2">
        <w:t xml:space="preserve"> Submission of Proposal</w:t>
      </w:r>
    </w:p>
    <w:p w14:paraId="1A2EF6DC" w14:textId="77777777" w:rsidR="00537458" w:rsidRPr="004D0DC2" w:rsidRDefault="00537458" w:rsidP="00537458">
      <w:pPr>
        <w:pStyle w:val="ListParagraph"/>
        <w:numPr>
          <w:ilvl w:val="0"/>
          <w:numId w:val="7"/>
        </w:numPr>
        <w:spacing w:before="240" w:after="240"/>
        <w:ind w:left="720" w:hanging="720"/>
        <w:contextualSpacing w:val="0"/>
      </w:pPr>
      <w:r w:rsidRPr="004D0DC2">
        <w:t>Proposals must provide clear and concise descriptions of the bidder’s ability to satisfy the requirements of this RFP. The proposals must include all requirements specified in this RFP. Omissions, inaccuracies or misstatements may be sufficient cause for rejection of a proposal.</w:t>
      </w:r>
    </w:p>
    <w:p w14:paraId="0C62DA01" w14:textId="19A41040" w:rsidR="00E3649E" w:rsidRPr="004D0DC2" w:rsidRDefault="00E3649E" w:rsidP="00E3649E">
      <w:pPr>
        <w:widowControl w:val="0"/>
        <w:numPr>
          <w:ilvl w:val="0"/>
          <w:numId w:val="7"/>
        </w:numPr>
        <w:spacing w:before="240" w:after="240"/>
        <w:ind w:left="720" w:hanging="720"/>
        <w:rPr>
          <w:rFonts w:cs="Arial"/>
        </w:rPr>
      </w:pPr>
      <w:r w:rsidRPr="004D0DC2">
        <w:rPr>
          <w:b/>
        </w:rPr>
        <w:t>Technical Proposal:</w:t>
      </w:r>
      <w:r w:rsidRPr="004D0DC2">
        <w:t xml:space="preserve"> The original Technical Proposal must be a single sided, hardcopy marked “Original Copy.” All documents contained in the original Technical Proposal package must have original signatures and must be signed by the person who is authorized to bind the bidder. </w:t>
      </w:r>
      <w:r w:rsidRPr="004D0DC2">
        <w:rPr>
          <w:rFonts w:cs="Arial"/>
        </w:rPr>
        <w:t xml:space="preserve">All additional copies of the Technical Proposal may be single sided hardcopies (should the additional sets be </w:t>
      </w:r>
      <w:r w:rsidR="00875DDC" w:rsidRPr="004D0DC2">
        <w:rPr>
          <w:rFonts w:cs="Arial"/>
        </w:rPr>
        <w:t>double-sided;</w:t>
      </w:r>
      <w:r w:rsidRPr="004D0DC2">
        <w:rPr>
          <w:rFonts w:cs="Arial"/>
        </w:rPr>
        <w:t xml:space="preserve"> the bidder must ensure that text is not missing when three-hole punched) and may contain photocopies of the original package. The Technical Proposal package should be prepared in the least expensive method. All copies of the Technical Proposal may be submitted in a binder(s) and may use three-hole punch. The e</w:t>
      </w:r>
      <w:r w:rsidRPr="004D0DC2">
        <w:t>lectronic copy must be on a portable USB drive and must contain the complete Technical Proposal</w:t>
      </w:r>
      <w:r w:rsidR="001E6AB5" w:rsidRPr="004D0DC2">
        <w:t xml:space="preserve"> (RFP Section 3.1 and 3.2)</w:t>
      </w:r>
      <w:r w:rsidRPr="004D0DC2">
        <w:t>.</w:t>
      </w:r>
    </w:p>
    <w:p w14:paraId="4751FD74" w14:textId="3BC5A0C3" w:rsidR="00E3649E" w:rsidRPr="004D0DC2" w:rsidRDefault="00E3649E" w:rsidP="00E3649E">
      <w:pPr>
        <w:widowControl w:val="0"/>
        <w:spacing w:before="240" w:after="240"/>
        <w:ind w:left="720"/>
      </w:pPr>
      <w:r w:rsidRPr="004D0DC2">
        <w:rPr>
          <w:b/>
        </w:rPr>
        <w:lastRenderedPageBreak/>
        <w:t>Cost Proposal:</w:t>
      </w:r>
      <w:r w:rsidRPr="004D0DC2">
        <w:t xml:space="preserve"> The original Cost Proposal must be a single sided, hardcopy marked “Original Copy.” </w:t>
      </w:r>
      <w:r w:rsidRPr="004D0DC2">
        <w:rPr>
          <w:rFonts w:cs="Arial"/>
        </w:rPr>
        <w:t xml:space="preserve">All additional copies of the Cost Proposal may be single sided hardcopies (should the additional sets be </w:t>
      </w:r>
      <w:r w:rsidR="00875DDC" w:rsidRPr="004D0DC2">
        <w:rPr>
          <w:rFonts w:cs="Arial"/>
        </w:rPr>
        <w:t>double-sided;</w:t>
      </w:r>
      <w:r w:rsidRPr="004D0DC2">
        <w:rPr>
          <w:rFonts w:cs="Arial"/>
        </w:rPr>
        <w:t xml:space="preserve"> the bidder must ensure that text is not missing when three-hole punched) and may contain photocopies of the original package. The Cost Proposal package should be prepared in the least expensive method. All copies of the Cost Proposal may be submitted in a binder(s) and may use three-hole punch. The e</w:t>
      </w:r>
      <w:r w:rsidRPr="004D0DC2">
        <w:t>lectronic copy must be on a portable USB drive, separate from the Technical Proposal’s portable USB drive, and must contain the complete Cost Proposal</w:t>
      </w:r>
      <w:r w:rsidR="001E6AB5" w:rsidRPr="004D0DC2">
        <w:t xml:space="preserve"> (RFP Section 3.3)</w:t>
      </w:r>
      <w:r w:rsidRPr="004D0DC2">
        <w:t>.</w:t>
      </w:r>
    </w:p>
    <w:p w14:paraId="5485FFA4" w14:textId="28C186FE" w:rsidR="00E3649E" w:rsidRPr="004D0DC2" w:rsidRDefault="00E3649E" w:rsidP="00537458">
      <w:pPr>
        <w:pStyle w:val="ListParagraph"/>
        <w:numPr>
          <w:ilvl w:val="0"/>
          <w:numId w:val="7"/>
        </w:numPr>
        <w:spacing w:before="240" w:after="240"/>
        <w:ind w:left="720" w:hanging="720"/>
        <w:contextualSpacing w:val="0"/>
      </w:pPr>
      <w:r w:rsidRPr="004D0DC2">
        <w:t>All original/copies/portable USB drives for the Technical Proposal must be sealed and packaged separately from the original/copies/portable USB drives for the Cost Proposal.</w:t>
      </w:r>
    </w:p>
    <w:p w14:paraId="65601FE1" w14:textId="73C4A5F6" w:rsidR="00E3649E" w:rsidRPr="004D0DC2" w:rsidRDefault="00E3649E" w:rsidP="00537458">
      <w:pPr>
        <w:pStyle w:val="ListParagraph"/>
        <w:numPr>
          <w:ilvl w:val="0"/>
          <w:numId w:val="7"/>
        </w:numPr>
        <w:spacing w:before="240" w:after="240"/>
        <w:ind w:left="720" w:hanging="720"/>
        <w:contextualSpacing w:val="0"/>
      </w:pPr>
      <w:r w:rsidRPr="004D0DC2">
        <w:t>Original signature shall mean a manual handwritten signature or mark in wet ink.</w:t>
      </w:r>
    </w:p>
    <w:p w14:paraId="0AAB9087" w14:textId="5A1FC43A" w:rsidR="00537458" w:rsidRPr="004D0DC2" w:rsidRDefault="00537458" w:rsidP="00537458">
      <w:pPr>
        <w:pStyle w:val="ListParagraph"/>
        <w:numPr>
          <w:ilvl w:val="0"/>
          <w:numId w:val="7"/>
        </w:numPr>
        <w:spacing w:before="240" w:after="240"/>
        <w:ind w:left="720" w:hanging="720"/>
        <w:contextualSpacing w:val="0"/>
      </w:pPr>
      <w:r w:rsidRPr="004D0DC2">
        <w:t xml:space="preserve">Proposals must be submitted for the performance of all tasks/subtasks described herein. Any deviation from the tasks/subtasks described in Section </w:t>
      </w:r>
      <w:r w:rsidR="00DC395C" w:rsidRPr="004D0DC2">
        <w:t>7</w:t>
      </w:r>
      <w:r w:rsidRPr="004D0DC2">
        <w:t xml:space="preserve"> (Scope of Project) will not be considered and will cause a proposal to be rejected.</w:t>
      </w:r>
    </w:p>
    <w:p w14:paraId="33A7825D" w14:textId="1098FED6" w:rsidR="00E3649E" w:rsidRPr="004D0DC2" w:rsidRDefault="006C6950" w:rsidP="00537458">
      <w:pPr>
        <w:pStyle w:val="ListParagraph"/>
        <w:numPr>
          <w:ilvl w:val="0"/>
          <w:numId w:val="7"/>
        </w:numPr>
        <w:spacing w:before="240" w:after="240"/>
        <w:ind w:left="720" w:hanging="720"/>
        <w:contextualSpacing w:val="0"/>
      </w:pPr>
      <w:r w:rsidRPr="004D0DC2">
        <w:t xml:space="preserve">The </w:t>
      </w:r>
      <w:r w:rsidR="00537458" w:rsidRPr="004D0DC2">
        <w:t>CDE does not accept alternate Agreement language from a bidder. A proposal with such language will be considered a counter proposal and will be rejected.</w:t>
      </w:r>
    </w:p>
    <w:p w14:paraId="72D4360D" w14:textId="16338B67" w:rsidR="00537458" w:rsidRPr="004D0DC2" w:rsidRDefault="00537458" w:rsidP="004F4F2E">
      <w:pPr>
        <w:pStyle w:val="ListParagraph"/>
        <w:numPr>
          <w:ilvl w:val="0"/>
          <w:numId w:val="7"/>
        </w:numPr>
        <w:spacing w:before="240" w:after="240"/>
        <w:ind w:left="720" w:hanging="720"/>
        <w:contextualSpacing w:val="0"/>
      </w:pPr>
      <w:r>
        <w:t xml:space="preserve">The State General Terms and Conditions GTC </w:t>
      </w:r>
      <w:r w:rsidR="00803079">
        <w:t>02</w:t>
      </w:r>
      <w:r>
        <w:t>/</w:t>
      </w:r>
      <w:r w:rsidR="00803079">
        <w:t xml:space="preserve">2025 </w:t>
      </w:r>
      <w:r>
        <w:t>are not negotiable</w:t>
      </w:r>
      <w:r w:rsidR="005F6A54">
        <w:t xml:space="preserve"> and will be incorporated into the final contract</w:t>
      </w:r>
      <w:r w:rsidR="002D2C28">
        <w:t xml:space="preserve"> (See RFP Section 9)</w:t>
      </w:r>
      <w:r>
        <w:t xml:space="preserve">. The General Terms and Conditions can be found </w:t>
      </w:r>
      <w:r w:rsidR="608822CE">
        <w:t xml:space="preserve">on the DGS website at </w:t>
      </w:r>
      <w:hyperlink r:id="rId24" w:tooltip="State General Terms and Conditions">
        <w:r w:rsidRPr="54EA1D9A">
          <w:rPr>
            <w:rStyle w:val="Hyperlink"/>
          </w:rPr>
          <w:t>https://www.dgs.ca.gov/OLS/Resources/Page-Content/Office-of-Legal-Services-Resources-List-Folder/Standard-Contract-Language</w:t>
        </w:r>
      </w:hyperlink>
      <w:r>
        <w:t>.</w:t>
      </w:r>
    </w:p>
    <w:p w14:paraId="522A749A" w14:textId="77777777" w:rsidR="00537458" w:rsidRPr="004D0DC2" w:rsidRDefault="00537458" w:rsidP="00537458">
      <w:pPr>
        <w:pStyle w:val="ListParagraph"/>
        <w:numPr>
          <w:ilvl w:val="0"/>
          <w:numId w:val="7"/>
        </w:numPr>
        <w:spacing w:before="240" w:after="240"/>
        <w:ind w:left="720" w:hanging="720"/>
        <w:contextualSpacing w:val="0"/>
      </w:pPr>
      <w:r w:rsidRPr="004D0DC2">
        <w:t>Proposals shall be submitted in two (2) separate sealed packages/envelopes:</w:t>
      </w:r>
    </w:p>
    <w:p w14:paraId="41C816BB" w14:textId="49578704" w:rsidR="00537458" w:rsidRPr="004D0DC2" w:rsidRDefault="00537458" w:rsidP="00132985">
      <w:pPr>
        <w:pStyle w:val="ListParagraph"/>
        <w:numPr>
          <w:ilvl w:val="0"/>
          <w:numId w:val="14"/>
        </w:numPr>
        <w:spacing w:before="240" w:after="240"/>
        <w:ind w:left="1080"/>
        <w:contextualSpacing w:val="0"/>
      </w:pPr>
      <w:r w:rsidRPr="004D0DC2">
        <w:rPr>
          <w:b/>
        </w:rPr>
        <w:t>First Sealed Package/Envelope:</w:t>
      </w:r>
      <w:r w:rsidRPr="004D0DC2">
        <w:t xml:space="preserve"> Technical Proposal — One Original Technical Proposal</w:t>
      </w:r>
      <w:r w:rsidR="00E3649E" w:rsidRPr="004D0DC2">
        <w:t>, three copies, and one portable USB drive</w:t>
      </w:r>
      <w:r w:rsidRPr="004D0DC2">
        <w:t xml:space="preserve"> with all requirements specified in Section </w:t>
      </w:r>
      <w:r w:rsidR="00132985" w:rsidRPr="004D0DC2">
        <w:t>3</w:t>
      </w:r>
      <w:r w:rsidRPr="004D0DC2">
        <w:t xml:space="preserve">.1 and </w:t>
      </w:r>
      <w:r w:rsidR="00132985" w:rsidRPr="004D0DC2">
        <w:t>3</w:t>
      </w:r>
      <w:r w:rsidRPr="004D0DC2">
        <w:t>.2 of this RFP.</w:t>
      </w:r>
    </w:p>
    <w:p w14:paraId="341CD528" w14:textId="1E4A3A4E" w:rsidR="00537458" w:rsidRPr="004D0DC2" w:rsidRDefault="00537458" w:rsidP="00132985">
      <w:pPr>
        <w:pStyle w:val="ListParagraph"/>
        <w:numPr>
          <w:ilvl w:val="0"/>
          <w:numId w:val="14"/>
        </w:numPr>
        <w:spacing w:before="240" w:after="240"/>
        <w:ind w:left="1080"/>
        <w:contextualSpacing w:val="0"/>
      </w:pPr>
      <w:r w:rsidRPr="004D0DC2">
        <w:rPr>
          <w:b/>
        </w:rPr>
        <w:t>Second Sealed Package/Envelope:</w:t>
      </w:r>
      <w:r w:rsidRPr="004D0DC2">
        <w:t xml:space="preserve"> Cost Proposal — One Original Cost Proposal</w:t>
      </w:r>
      <w:r w:rsidR="00E3649E" w:rsidRPr="004D0DC2">
        <w:t xml:space="preserve">, three copies, and one portable USB drive </w:t>
      </w:r>
      <w:r w:rsidRPr="004D0DC2">
        <w:t xml:space="preserve">with all requirements specified in Section </w:t>
      </w:r>
      <w:r w:rsidR="00132985" w:rsidRPr="004D0DC2">
        <w:t>3</w:t>
      </w:r>
      <w:r w:rsidRPr="004D0DC2">
        <w:t>.3 of this RFP.</w:t>
      </w:r>
    </w:p>
    <w:p w14:paraId="512A3579" w14:textId="62DC5D05" w:rsidR="00537458" w:rsidRPr="004D0DC2" w:rsidRDefault="00537458" w:rsidP="00537458">
      <w:pPr>
        <w:pStyle w:val="ListParagraph"/>
        <w:numPr>
          <w:ilvl w:val="0"/>
          <w:numId w:val="7"/>
        </w:numPr>
        <w:spacing w:before="240" w:after="240"/>
        <w:ind w:left="720" w:hanging="720"/>
        <w:contextualSpacing w:val="0"/>
      </w:pPr>
      <w:r w:rsidRPr="004D0DC2">
        <w:t xml:space="preserve">Proposals must be received by the CDE no later than the time, day, and date specified in RFP Section </w:t>
      </w:r>
      <w:r w:rsidR="00132985" w:rsidRPr="004D0DC2">
        <w:t>2</w:t>
      </w:r>
      <w:r w:rsidRPr="004D0DC2">
        <w:t xml:space="preserve">.3 (RFP Schedule of Events). The proposal package/envelope must be plainly marked with the RFP number and title, your </w:t>
      </w:r>
      <w:r w:rsidR="0001784B" w:rsidRPr="004D0DC2">
        <w:t>firm’s</w:t>
      </w:r>
      <w:r w:rsidRPr="004D0DC2">
        <w:t xml:space="preserve"> name, address, and must be marked with “DO NOT OPEN”, as shown below:</w:t>
      </w:r>
    </w:p>
    <w:p w14:paraId="5B5249E8" w14:textId="77777777" w:rsidR="00537458" w:rsidRPr="004D0DC2" w:rsidRDefault="00537458" w:rsidP="00132985">
      <w:pPr>
        <w:pStyle w:val="ListParagraph"/>
        <w:numPr>
          <w:ilvl w:val="0"/>
          <w:numId w:val="18"/>
        </w:numPr>
        <w:spacing w:before="240" w:after="240"/>
        <w:contextualSpacing w:val="0"/>
      </w:pPr>
      <w:r w:rsidRPr="004D0DC2">
        <w:t>FIRST SEALED PACKAGE/ENVELOPE WITH TECHNICAL PROPOSAL:</w:t>
      </w:r>
    </w:p>
    <w:p w14:paraId="7EEA3925" w14:textId="77777777" w:rsidR="00537458" w:rsidRPr="004D0DC2" w:rsidRDefault="00537458" w:rsidP="00537458">
      <w:pPr>
        <w:ind w:left="1080"/>
      </w:pPr>
      <w:r w:rsidRPr="004D0DC2">
        <w:t>Agency/Firm Name</w:t>
      </w:r>
    </w:p>
    <w:p w14:paraId="7A9F47E9" w14:textId="77777777" w:rsidR="00537458" w:rsidRPr="004D0DC2" w:rsidRDefault="00537458" w:rsidP="00537458">
      <w:pPr>
        <w:ind w:left="1080"/>
      </w:pPr>
      <w:r w:rsidRPr="004D0DC2">
        <w:t>Address</w:t>
      </w:r>
    </w:p>
    <w:p w14:paraId="4B969F11" w14:textId="60A6D9A2" w:rsidR="00537458" w:rsidRPr="00996AC1" w:rsidRDefault="00537458" w:rsidP="00537458">
      <w:pPr>
        <w:ind w:left="1080"/>
      </w:pPr>
      <w:r w:rsidRPr="00996AC1">
        <w:t xml:space="preserve">RFP Number </w:t>
      </w:r>
      <w:r w:rsidR="00071351" w:rsidRPr="00996AC1">
        <w:t>CN</w:t>
      </w:r>
      <w:r w:rsidR="00071351">
        <w:t>260001</w:t>
      </w:r>
    </w:p>
    <w:p w14:paraId="6C613EE4" w14:textId="4CEBBED6" w:rsidR="00537458" w:rsidRPr="00996AC1" w:rsidRDefault="00537458" w:rsidP="005520DE">
      <w:pPr>
        <w:ind w:left="1440" w:hanging="360"/>
      </w:pPr>
      <w:r w:rsidRPr="00996AC1">
        <w:t xml:space="preserve">RFP – </w:t>
      </w:r>
      <w:r w:rsidR="008039C9" w:rsidRPr="00996AC1">
        <w:rPr>
          <w:rFonts w:cs="Arial"/>
        </w:rPr>
        <w:t>Adult Education Professional Development</w:t>
      </w:r>
    </w:p>
    <w:p w14:paraId="69B6AA5C" w14:textId="77777777" w:rsidR="00537458" w:rsidRPr="004D0DC2" w:rsidRDefault="00537458" w:rsidP="00537458">
      <w:pPr>
        <w:ind w:left="1080"/>
        <w:rPr>
          <w:b/>
        </w:rPr>
      </w:pPr>
      <w:r w:rsidRPr="004D0DC2">
        <w:rPr>
          <w:b/>
        </w:rPr>
        <w:t>TECHNICAL PROPOSAL – DO NOT OPEN</w:t>
      </w:r>
    </w:p>
    <w:p w14:paraId="1FB27D3E" w14:textId="77777777" w:rsidR="00537458" w:rsidRPr="004D0DC2" w:rsidRDefault="00537458" w:rsidP="00132985">
      <w:pPr>
        <w:pStyle w:val="ListParagraph"/>
        <w:numPr>
          <w:ilvl w:val="0"/>
          <w:numId w:val="18"/>
        </w:numPr>
        <w:spacing w:before="240" w:after="240"/>
        <w:contextualSpacing w:val="0"/>
      </w:pPr>
      <w:r w:rsidRPr="004D0DC2">
        <w:lastRenderedPageBreak/>
        <w:t>SECOND SEALED PACKAGE/ENVELOPE WITH COST PROPOSAL:</w:t>
      </w:r>
    </w:p>
    <w:p w14:paraId="1D7B63A1" w14:textId="77777777" w:rsidR="00537458" w:rsidRPr="004D0DC2" w:rsidRDefault="00537458" w:rsidP="00537458">
      <w:pPr>
        <w:ind w:left="1080"/>
      </w:pPr>
      <w:r w:rsidRPr="004D0DC2">
        <w:t>Agency/Firm Name</w:t>
      </w:r>
    </w:p>
    <w:p w14:paraId="21A9E27E" w14:textId="77777777" w:rsidR="00537458" w:rsidRPr="002171EE" w:rsidRDefault="00537458" w:rsidP="00537458">
      <w:pPr>
        <w:ind w:left="1080"/>
      </w:pPr>
      <w:r w:rsidRPr="002171EE">
        <w:t>Address</w:t>
      </w:r>
    </w:p>
    <w:p w14:paraId="6A9DAECB" w14:textId="7BF81528" w:rsidR="005520DE" w:rsidRPr="002171EE" w:rsidRDefault="005520DE" w:rsidP="005520DE">
      <w:pPr>
        <w:ind w:left="1080"/>
      </w:pPr>
      <w:r w:rsidRPr="002171EE">
        <w:t xml:space="preserve">RFP Number </w:t>
      </w:r>
      <w:r w:rsidR="00071351" w:rsidRPr="002171EE">
        <w:t>CN</w:t>
      </w:r>
      <w:r w:rsidR="00071351">
        <w:t>260001</w:t>
      </w:r>
    </w:p>
    <w:p w14:paraId="3E478002" w14:textId="2CE8F5E6" w:rsidR="005520DE" w:rsidRPr="002171EE" w:rsidRDefault="005520DE" w:rsidP="005520DE">
      <w:pPr>
        <w:ind w:left="1440" w:hanging="360"/>
      </w:pPr>
      <w:r w:rsidRPr="002171EE">
        <w:t xml:space="preserve">RFP – </w:t>
      </w:r>
      <w:r w:rsidR="008039C9" w:rsidRPr="002171EE">
        <w:rPr>
          <w:rFonts w:cs="Arial"/>
        </w:rPr>
        <w:t>Adult Education Professional Development</w:t>
      </w:r>
    </w:p>
    <w:p w14:paraId="0E3E8A19" w14:textId="77777777" w:rsidR="00537458" w:rsidRPr="004D0DC2" w:rsidRDefault="00537458" w:rsidP="00537458">
      <w:pPr>
        <w:ind w:left="1080"/>
        <w:rPr>
          <w:b/>
        </w:rPr>
      </w:pPr>
      <w:r w:rsidRPr="004D0DC2">
        <w:rPr>
          <w:b/>
        </w:rPr>
        <w:t>COST PROPOSAL – DO NOT OPEN</w:t>
      </w:r>
    </w:p>
    <w:p w14:paraId="10448D38" w14:textId="77777777" w:rsidR="00537458" w:rsidRPr="004D0DC2" w:rsidRDefault="00537458" w:rsidP="00537458">
      <w:pPr>
        <w:spacing w:before="240" w:after="240"/>
        <w:ind w:left="720"/>
      </w:pPr>
      <w:r w:rsidRPr="004D0DC2">
        <w:t>Proposals not submitted under sealed cover and marked as indicated above may be rejected. If the proposal is made under a fictitious name or business title, the actual legal business name of bidder must be provided.</w:t>
      </w:r>
    </w:p>
    <w:p w14:paraId="30EA504C" w14:textId="2949BF0D" w:rsidR="00537458" w:rsidRPr="004D0DC2" w:rsidRDefault="00537458" w:rsidP="00537458">
      <w:pPr>
        <w:pStyle w:val="ListParagraph"/>
        <w:numPr>
          <w:ilvl w:val="0"/>
          <w:numId w:val="7"/>
        </w:numPr>
        <w:spacing w:before="240" w:after="240"/>
        <w:ind w:left="720" w:hanging="720"/>
        <w:contextualSpacing w:val="0"/>
      </w:pPr>
      <w:r w:rsidRPr="004D0DC2">
        <w:t>Both of the individually sealed and labeled proposal packages (Technical and Cost Proposals) can be boxed and mailed/delivered together. Label and mail</w:t>
      </w:r>
      <w:r w:rsidR="005B267D" w:rsidRPr="004D0DC2">
        <w:t xml:space="preserve"> or deliver</w:t>
      </w:r>
      <w:r w:rsidRPr="004D0DC2">
        <w:t>, in accordance with the instructions provided below, to the following location:</w:t>
      </w:r>
    </w:p>
    <w:p w14:paraId="4F331845" w14:textId="77777777" w:rsidR="002C76E5" w:rsidRPr="004D0DC2" w:rsidRDefault="002C76E5" w:rsidP="002C76E5">
      <w:pPr>
        <w:pStyle w:val="ListParagraph"/>
        <w:spacing w:before="240" w:after="240"/>
        <w:ind w:left="1080"/>
        <w:contextualSpacing w:val="0"/>
      </w:pPr>
      <w:r w:rsidRPr="004D0DC2">
        <w:t>California Department of Education</w:t>
      </w:r>
      <w:r w:rsidRPr="004D0DC2">
        <w:br/>
        <w:t>Fiscal and Administrative Services Division</w:t>
      </w:r>
      <w:r w:rsidRPr="004D0DC2">
        <w:br/>
        <w:t>Attention: Contracts Office – Jaymi Brown – DO NOT OPEN</w:t>
      </w:r>
      <w:r w:rsidRPr="004D0DC2">
        <w:br/>
        <w:t>1430 N Street, Suite 2213</w:t>
      </w:r>
      <w:r w:rsidRPr="004D0DC2">
        <w:br/>
        <w:t>Sacramento, CA 95814-5901</w:t>
      </w:r>
    </w:p>
    <w:p w14:paraId="31C032E8" w14:textId="77777777" w:rsidR="002C76E5" w:rsidRPr="002171EE" w:rsidRDefault="002C76E5" w:rsidP="005B267D">
      <w:pPr>
        <w:pStyle w:val="ListParagraph"/>
        <w:spacing w:before="240" w:after="240"/>
        <w:contextualSpacing w:val="0"/>
      </w:pPr>
      <w:r w:rsidRPr="002171EE">
        <w:t>In the upper portion of the sealed, mailed box/package, label the outer package as follows:</w:t>
      </w:r>
    </w:p>
    <w:p w14:paraId="356DB0BE" w14:textId="7750A2A7" w:rsidR="002C76E5" w:rsidRPr="004D0DC2" w:rsidRDefault="002C76E5" w:rsidP="005B267D">
      <w:pPr>
        <w:pStyle w:val="ListParagraph"/>
        <w:spacing w:after="240"/>
        <w:ind w:left="1080"/>
        <w:contextualSpacing w:val="0"/>
        <w:rPr>
          <w:b/>
        </w:rPr>
      </w:pPr>
      <w:r w:rsidRPr="002171EE">
        <w:t xml:space="preserve">RFP </w:t>
      </w:r>
      <w:r w:rsidR="00071351" w:rsidRPr="002171EE">
        <w:t>CN</w:t>
      </w:r>
      <w:r w:rsidR="00071351">
        <w:t>260001</w:t>
      </w:r>
      <w:r w:rsidRPr="002171EE">
        <w:br/>
      </w:r>
      <w:r w:rsidRPr="002171EE">
        <w:rPr>
          <w:rFonts w:cs="Arial"/>
        </w:rPr>
        <w:t>RFP –</w:t>
      </w:r>
      <w:r w:rsidR="008039C9" w:rsidRPr="002171EE">
        <w:rPr>
          <w:rFonts w:cs="Arial"/>
        </w:rPr>
        <w:t xml:space="preserve"> Adult Education Professional Development</w:t>
      </w:r>
      <w:r w:rsidRPr="004D0DC2">
        <w:br/>
        <w:t>&lt;Firm Name&gt;</w:t>
      </w:r>
      <w:r w:rsidRPr="004D0DC2">
        <w:br/>
        <w:t>DO NOT OPEN</w:t>
      </w:r>
    </w:p>
    <w:p w14:paraId="4E50471B" w14:textId="37CC8683" w:rsidR="005B267D" w:rsidRPr="004D0DC2" w:rsidRDefault="005B267D" w:rsidP="004F4F2E">
      <w:pPr>
        <w:pStyle w:val="ListParagraph"/>
        <w:numPr>
          <w:ilvl w:val="0"/>
          <w:numId w:val="7"/>
        </w:numPr>
        <w:spacing w:before="240" w:after="240"/>
        <w:ind w:left="720" w:hanging="720"/>
        <w:contextualSpacing w:val="0"/>
      </w:pPr>
      <w:r>
        <w:t xml:space="preserve">To arrange for a time to deliver in person, please </w:t>
      </w:r>
      <w:r w:rsidR="10E27515">
        <w:t xml:space="preserve">send an </w:t>
      </w:r>
      <w:r>
        <w:t>email</w:t>
      </w:r>
      <w:r w:rsidR="0CA5810E">
        <w:t xml:space="preserve"> to</w:t>
      </w:r>
      <w:r>
        <w:t xml:space="preserve"> </w:t>
      </w:r>
      <w:hyperlink r:id="rId25">
        <w:r w:rsidRPr="54EA1D9A">
          <w:rPr>
            <w:rStyle w:val="Hyperlink"/>
          </w:rPr>
          <w:t>CONTRACTSOFFICE@cde.ca.gov</w:t>
        </w:r>
      </w:hyperlink>
      <w:r>
        <w:t xml:space="preserve"> with the Subject: “Proposal Deliver</w:t>
      </w:r>
      <w:r w:rsidR="3CE78513">
        <w:t>y</w:t>
      </w:r>
      <w:r>
        <w:t xml:space="preserve"> for CDE RFP – </w:t>
      </w:r>
      <w:r w:rsidR="008039C9" w:rsidRPr="54EA1D9A">
        <w:rPr>
          <w:rFonts w:cs="Arial"/>
        </w:rPr>
        <w:t>Adult Education Professional Development”</w:t>
      </w:r>
    </w:p>
    <w:p w14:paraId="5AFEE48F" w14:textId="7C874B0E" w:rsidR="00537458" w:rsidRPr="004D0DC2" w:rsidRDefault="00537458" w:rsidP="005B267D">
      <w:pPr>
        <w:pStyle w:val="ListParagraph"/>
        <w:numPr>
          <w:ilvl w:val="0"/>
          <w:numId w:val="7"/>
        </w:numPr>
        <w:spacing w:before="240" w:after="240"/>
        <w:ind w:left="720" w:hanging="720"/>
        <w:contextualSpacing w:val="0"/>
      </w:pPr>
      <w:r w:rsidRPr="004D0DC2">
        <w:t xml:space="preserve">Each Technical Proposal will be reviewed in accordance with Section </w:t>
      </w:r>
      <w:r w:rsidR="005520DE" w:rsidRPr="004D0DC2">
        <w:t>4</w:t>
      </w:r>
      <w:r w:rsidRPr="004D0DC2">
        <w:t xml:space="preserve"> Evaluation Process to determine if it meets the proposal requirements contained in the RFP.</w:t>
      </w:r>
    </w:p>
    <w:p w14:paraId="7F932B12" w14:textId="720E23B8" w:rsidR="00537458" w:rsidRPr="004D0DC2" w:rsidRDefault="00537458" w:rsidP="00F67ED5">
      <w:pPr>
        <w:pStyle w:val="Heading3"/>
      </w:pPr>
      <w:r w:rsidRPr="004D0DC2">
        <w:t>3.6 Proposal Submission Conditions</w:t>
      </w:r>
    </w:p>
    <w:p w14:paraId="4BE84BAC" w14:textId="6B7CDC13" w:rsidR="00537458" w:rsidRPr="004D0DC2" w:rsidRDefault="001D004A" w:rsidP="00132985">
      <w:pPr>
        <w:widowControl w:val="0"/>
        <w:numPr>
          <w:ilvl w:val="0"/>
          <w:numId w:val="15"/>
        </w:numPr>
        <w:spacing w:before="240" w:after="240"/>
        <w:ind w:left="720" w:hanging="720"/>
      </w:pPr>
      <w:r w:rsidRPr="004D0DC2">
        <w:t xml:space="preserve">The CDE may reject any or all proposals at its reasonable discretion. Examples include, but are not limited to, a proposal that is not responsive, does not meet the technical standards, is not from a responsible bidder, is from a bidder suspected of past or present collusion, is conditional or incomplete, contains unauthorized options or alternatives, is one of multiple alternative proposals from the same bidder, is suspected to be the product of collusion or otherwise is suspect or contains irregularities of any kind. Alternatively, </w:t>
      </w:r>
      <w:r w:rsidR="006C6950" w:rsidRPr="004D0DC2">
        <w:t xml:space="preserve">the </w:t>
      </w:r>
      <w:r w:rsidRPr="004D0DC2">
        <w:t>CDE may waive any immaterial defects in a proposal or may require bidders to correct an immaterial defect or request clarification at any time during the RFP process. The CDE’s waiver of an immaterial defect shall in no way modify the RFP document or excuse the bidder from full compliance with all requirements if the bidder is awarded the contract.</w:t>
      </w:r>
    </w:p>
    <w:p w14:paraId="29ABE252" w14:textId="40674050" w:rsidR="00537458" w:rsidRPr="004D0DC2" w:rsidRDefault="00537458" w:rsidP="00132985">
      <w:pPr>
        <w:widowControl w:val="0"/>
        <w:numPr>
          <w:ilvl w:val="0"/>
          <w:numId w:val="15"/>
        </w:numPr>
        <w:spacing w:before="240" w:after="240"/>
        <w:ind w:left="720" w:hanging="720"/>
      </w:pPr>
      <w:r w:rsidRPr="004D0DC2">
        <w:t xml:space="preserve">Costs for developing proposals and in anticipation of award of the contract, is the sole </w:t>
      </w:r>
      <w:r w:rsidRPr="004D0DC2">
        <w:lastRenderedPageBreak/>
        <w:t xml:space="preserve">responsibility of the </w:t>
      </w:r>
      <w:r w:rsidR="00ED6F2A" w:rsidRPr="004D0DC2">
        <w:t>b</w:t>
      </w:r>
      <w:r w:rsidRPr="004D0DC2">
        <w:t>idder and shall not be charged to the State of California</w:t>
      </w:r>
      <w:r w:rsidR="001D004A" w:rsidRPr="004D0DC2">
        <w:t xml:space="preserve"> under any </w:t>
      </w:r>
      <w:r w:rsidR="0001784B" w:rsidRPr="004D0DC2">
        <w:t>circumstances</w:t>
      </w:r>
      <w:r w:rsidRPr="004D0DC2">
        <w:t>.</w:t>
      </w:r>
    </w:p>
    <w:p w14:paraId="6C009AC1" w14:textId="54F02B4C" w:rsidR="001D004A" w:rsidRPr="004D0DC2" w:rsidRDefault="001D004A" w:rsidP="001D004A">
      <w:pPr>
        <w:pStyle w:val="ListParagraph"/>
        <w:numPr>
          <w:ilvl w:val="0"/>
          <w:numId w:val="15"/>
        </w:numPr>
        <w:spacing w:before="240" w:after="240"/>
        <w:ind w:left="720" w:hanging="720"/>
        <w:contextualSpacing w:val="0"/>
      </w:pPr>
      <w:r w:rsidRPr="004D0DC2">
        <w:t>A bidder may withdraw its proposal only by submitting a written withdrawal request to the CDE that is signed by the bidder’s authorized representative prior to the bid submission deadline. Proposals may not be withdrawn or modified after the bid submission deadline.</w:t>
      </w:r>
    </w:p>
    <w:p w14:paraId="42163FA7" w14:textId="211356CE" w:rsidR="00537458" w:rsidRPr="004D0DC2" w:rsidRDefault="00537458" w:rsidP="00132985">
      <w:pPr>
        <w:widowControl w:val="0"/>
        <w:numPr>
          <w:ilvl w:val="0"/>
          <w:numId w:val="15"/>
        </w:numPr>
        <w:spacing w:before="240" w:after="240"/>
        <w:ind w:left="720" w:hanging="720"/>
      </w:pPr>
      <w:r w:rsidRPr="004D0DC2">
        <w:t>A bidder may modify a proposal after its submission</w:t>
      </w:r>
      <w:r w:rsidR="001D004A" w:rsidRPr="004D0DC2">
        <w:t xml:space="preserve"> only</w:t>
      </w:r>
      <w:r w:rsidRPr="004D0DC2">
        <w:t xml:space="preserve"> by withdrawing its original proposal and resubmitting a new proposal prior to the bid submission deadline. Proposal modifications offered in any other manner, oral or written, will not be considered.</w:t>
      </w:r>
    </w:p>
    <w:p w14:paraId="6656F854" w14:textId="0A15D1B4" w:rsidR="00537458" w:rsidRPr="004D0DC2" w:rsidRDefault="00537458" w:rsidP="54EA1D9A">
      <w:pPr>
        <w:pStyle w:val="ListParagraph"/>
        <w:numPr>
          <w:ilvl w:val="0"/>
          <w:numId w:val="15"/>
        </w:numPr>
        <w:spacing w:before="240" w:after="240"/>
        <w:ind w:left="720" w:hanging="720"/>
        <w:rPr>
          <w:rFonts w:eastAsia="Times New Roman" w:cs="Arial"/>
          <w:snapToGrid w:val="0"/>
        </w:rPr>
      </w:pPr>
      <w:r>
        <w:t>The CDE may modify the RFP by issuance of an addendum to all parties who received a proposal package. All addenda will be posted on the Cal eProcure website</w:t>
      </w:r>
      <w:r w:rsidR="1BC33174">
        <w:t xml:space="preserve"> at</w:t>
      </w:r>
      <w:r>
        <w:t xml:space="preserve"> </w:t>
      </w:r>
      <w:hyperlink r:id="rId26" w:tooltip="Cal eProcure Event Search">
        <w:r w:rsidRPr="54EA1D9A">
          <w:rPr>
            <w:rStyle w:val="Hyperlink"/>
          </w:rPr>
          <w:t>https://caleprocure.ca.gov/pages/Events-BS3/event-search.aspx</w:t>
        </w:r>
      </w:hyperlink>
      <w:r>
        <w:t>, as well as the CDE's Funding website</w:t>
      </w:r>
      <w:r w:rsidR="1666D295">
        <w:t xml:space="preserve"> at</w:t>
      </w:r>
      <w:r>
        <w:t xml:space="preserve"> </w:t>
      </w:r>
      <w:hyperlink r:id="rId27" w:history="1">
        <w:r w:rsidR="00B206BD" w:rsidRPr="00237D08">
          <w:rPr>
            <w:rStyle w:val="Hyperlink"/>
          </w:rPr>
          <w:t>https://www.cde.ca.gov/fg/fo/af</w:t>
        </w:r>
      </w:hyperlink>
      <w:r>
        <w:t>.</w:t>
      </w:r>
      <w:r w:rsidR="00E30288">
        <w:t xml:space="preserve"> The CDE also reserves the right to cancel the RFP in its entirety at its discretion. The CDE is not required to award a contract.</w:t>
      </w:r>
    </w:p>
    <w:p w14:paraId="56DF1D1A" w14:textId="4CE998C0" w:rsidR="00537458" w:rsidRPr="004D0DC2" w:rsidRDefault="00E30288" w:rsidP="00132985">
      <w:pPr>
        <w:pStyle w:val="ListParagraph"/>
        <w:numPr>
          <w:ilvl w:val="0"/>
          <w:numId w:val="15"/>
        </w:numPr>
        <w:spacing w:before="240" w:after="240"/>
        <w:ind w:left="720" w:hanging="720"/>
        <w:contextualSpacing w:val="0"/>
      </w:pPr>
      <w:r w:rsidRPr="004D0DC2">
        <w:t>Each b</w:t>
      </w:r>
      <w:r w:rsidR="00537458" w:rsidRPr="004D0DC2">
        <w:t>idder</w:t>
      </w:r>
      <w:r w:rsidRPr="004D0DC2">
        <w:t xml:space="preserve"> is solely and entirely responsible for all aspects of its proposal.</w:t>
      </w:r>
      <w:r w:rsidR="00537458" w:rsidRPr="004D0DC2">
        <w:t xml:space="preserve"> Before submitting documents, bidders should carefully</w:t>
      </w:r>
      <w:r w:rsidRPr="004D0DC2">
        <w:t xml:space="preserve"> examine any RFP specifications or RFP requirements and fully</w:t>
      </w:r>
      <w:r w:rsidR="00537458" w:rsidRPr="004D0DC2">
        <w:t xml:space="preserve"> proof the</w:t>
      </w:r>
      <w:r w:rsidRPr="004D0DC2">
        <w:t xml:space="preserve"> documents. In the event a proposal contains errors, inaccurate assumptions, inconsistencies or other defects, the CDE shall interpret the proposal in the manner it determines is the most favorable to the state of California</w:t>
      </w:r>
      <w:r w:rsidR="00537458" w:rsidRPr="004D0DC2">
        <w:t>.</w:t>
      </w:r>
    </w:p>
    <w:p w14:paraId="7DE72123" w14:textId="77777777" w:rsidR="00537458" w:rsidRPr="004D0DC2" w:rsidRDefault="00537458" w:rsidP="00132985">
      <w:pPr>
        <w:pStyle w:val="ListParagraph"/>
        <w:numPr>
          <w:ilvl w:val="0"/>
          <w:numId w:val="15"/>
        </w:numPr>
        <w:spacing w:before="240" w:after="240"/>
        <w:ind w:left="720" w:hanging="720"/>
        <w:contextualSpacing w:val="0"/>
        <w:rPr>
          <w:b/>
        </w:rPr>
      </w:pPr>
      <w:r w:rsidRPr="004D0DC2">
        <w:t>More than one proposal or a proposal that includes various options or alternatives from an individual, firm, partnership, corporation or association under the same or different names, may be rejected. Reasonable grounds for believing that any bidder has submitted more than one proposal for the work contemplated herein will cause the rejection of all proposals submitted by that bidder. If there is reason for believing that collusion exists among the bidders, none of the participants in such collusion will be considered in this procurement or future procurements.</w:t>
      </w:r>
    </w:p>
    <w:p w14:paraId="4685F27F" w14:textId="7D347DBE" w:rsidR="00537458" w:rsidRPr="004D0DC2" w:rsidRDefault="00537458" w:rsidP="00F67ED5">
      <w:pPr>
        <w:pStyle w:val="Heading3"/>
      </w:pPr>
      <w:r w:rsidRPr="004D0DC2">
        <w:t xml:space="preserve">3.7 </w:t>
      </w:r>
      <w:r w:rsidR="0032738C" w:rsidRPr="004D0DC2">
        <w:t>Disposition of Proposals</w:t>
      </w:r>
    </w:p>
    <w:p w14:paraId="48FB2FB0" w14:textId="126964EB" w:rsidR="00C31EF0" w:rsidRPr="004D0DC2" w:rsidRDefault="00537458" w:rsidP="54EA1D9A">
      <w:pPr>
        <w:spacing w:before="240" w:after="240"/>
      </w:pPr>
      <w:r>
        <w:t xml:space="preserve">Upon proposal opening, all documents submitted in response to this RFP will become the property of the State of California and will be regarded as public records under the California Public Records Act (Government Code section </w:t>
      </w:r>
      <w:r w:rsidR="00C60923">
        <w:t>7920.000</w:t>
      </w:r>
      <w:r>
        <w:t xml:space="preserve"> et seq.) and subject to review by the public. The State cannot prevent the disclosure of public documents. However, the contents of all proposals, draft proposals, correspondence, agenda, memoranda, working papers, or any other medium which discloses any aspect of the bidder’s proposal, shall be held in the strictest of confidence until the “Notice of Intent to Award” is posted. We recommend that bidders register the copyright for any proprietary material submitted.</w:t>
      </w:r>
    </w:p>
    <w:p w14:paraId="22D58C7A" w14:textId="77777777" w:rsidR="0035323E" w:rsidRDefault="0035323E">
      <w:pPr>
        <w:rPr>
          <w:rFonts w:eastAsia="Times New Roman" w:cs="Arial"/>
          <w:b/>
          <w:bCs/>
          <w:iCs/>
          <w:sz w:val="40"/>
          <w:szCs w:val="40"/>
        </w:rPr>
      </w:pPr>
      <w:r>
        <w:br w:type="page"/>
      </w:r>
    </w:p>
    <w:p w14:paraId="3D8AD29F" w14:textId="40FF726D" w:rsidR="00D658A4" w:rsidRPr="004D0DC2" w:rsidRDefault="00537458" w:rsidP="00E43B4A">
      <w:pPr>
        <w:pStyle w:val="Heading2"/>
      </w:pPr>
      <w:bookmarkStart w:id="13" w:name="_Toc210913296"/>
      <w:r w:rsidRPr="004D0DC2">
        <w:lastRenderedPageBreak/>
        <w:t>4</w:t>
      </w:r>
      <w:r w:rsidR="007C2D86" w:rsidRPr="004D0DC2">
        <w:t xml:space="preserve">. </w:t>
      </w:r>
      <w:r w:rsidR="00D658A4" w:rsidRPr="004D0DC2">
        <w:t>EVALUATION PROCESS</w:t>
      </w:r>
      <w:bookmarkEnd w:id="13"/>
    </w:p>
    <w:p w14:paraId="3D8AD2A0" w14:textId="613BD929" w:rsidR="00CF4606" w:rsidRPr="004D0DC2" w:rsidRDefault="00CF4606" w:rsidP="009E444C">
      <w:pPr>
        <w:spacing w:after="240"/>
        <w:rPr>
          <w:rFonts w:cs="Arial"/>
        </w:rPr>
      </w:pPr>
      <w:r w:rsidRPr="54EA1D9A">
        <w:rPr>
          <w:rFonts w:cs="Arial"/>
        </w:rPr>
        <w:t>Each proposal</w:t>
      </w:r>
      <w:r w:rsidR="03465B75" w:rsidRPr="54EA1D9A">
        <w:rPr>
          <w:rFonts w:cs="Arial"/>
        </w:rPr>
        <w:t>,</w:t>
      </w:r>
      <w:r w:rsidRPr="54EA1D9A">
        <w:rPr>
          <w:rFonts w:cs="Arial"/>
        </w:rPr>
        <w:t xml:space="preserve"> including the </w:t>
      </w:r>
      <w:r w:rsidR="00663875" w:rsidRPr="54EA1D9A">
        <w:rPr>
          <w:rFonts w:cs="Arial"/>
        </w:rPr>
        <w:t>Te</w:t>
      </w:r>
      <w:r w:rsidRPr="54EA1D9A">
        <w:rPr>
          <w:rFonts w:cs="Arial"/>
        </w:rPr>
        <w:t xml:space="preserve">chnical and </w:t>
      </w:r>
      <w:r w:rsidR="00663875" w:rsidRPr="54EA1D9A">
        <w:rPr>
          <w:rFonts w:cs="Arial"/>
        </w:rPr>
        <w:t>C</w:t>
      </w:r>
      <w:r w:rsidRPr="54EA1D9A">
        <w:rPr>
          <w:rFonts w:cs="Arial"/>
        </w:rPr>
        <w:t xml:space="preserve">ost </w:t>
      </w:r>
      <w:r w:rsidR="00663875" w:rsidRPr="54EA1D9A">
        <w:rPr>
          <w:rFonts w:cs="Arial"/>
        </w:rPr>
        <w:t>P</w:t>
      </w:r>
      <w:r w:rsidRPr="54EA1D9A">
        <w:rPr>
          <w:rFonts w:cs="Arial"/>
        </w:rPr>
        <w:t>roposal, shall be evaluated to determine responsiveness to the general requirements and components, as well as format and content requirements, as described in this RF</w:t>
      </w:r>
      <w:r w:rsidR="00663875" w:rsidRPr="54EA1D9A">
        <w:rPr>
          <w:rFonts w:cs="Arial"/>
        </w:rPr>
        <w:t>P</w:t>
      </w:r>
      <w:r w:rsidRPr="54EA1D9A">
        <w:rPr>
          <w:rFonts w:cs="Arial"/>
        </w:rPr>
        <w:t>. Each bidder’s proposal will be evaluated per the criteria in Attachment 1</w:t>
      </w:r>
      <w:r w:rsidR="0035323E">
        <w:rPr>
          <w:rFonts w:cs="Arial"/>
        </w:rPr>
        <w:t>4</w:t>
      </w:r>
      <w:r w:rsidRPr="54EA1D9A">
        <w:rPr>
          <w:rFonts w:cs="Arial"/>
        </w:rPr>
        <w:t xml:space="preserve"> and the requirements specified in this RFP, to determine the quality and degree of responsiveness to the requirements in this RFP. The evaluation process is designed to determine the quality of the bidder’s submission.</w:t>
      </w:r>
    </w:p>
    <w:p w14:paraId="3D8AD2A1" w14:textId="77777777" w:rsidR="002830BC" w:rsidRPr="004D0DC2" w:rsidRDefault="002830BC" w:rsidP="00DB77A8">
      <w:pPr>
        <w:numPr>
          <w:ilvl w:val="0"/>
          <w:numId w:val="11"/>
        </w:numPr>
        <w:spacing w:before="240" w:after="240"/>
        <w:ind w:hanging="720"/>
      </w:pPr>
      <w:r w:rsidRPr="004D0DC2">
        <w:t>Formal Requirements</w:t>
      </w:r>
    </w:p>
    <w:p w14:paraId="3D8AD2A2" w14:textId="77777777" w:rsidR="00AA219A" w:rsidRPr="004D0DC2" w:rsidRDefault="00D658A4" w:rsidP="00DB77A8">
      <w:pPr>
        <w:numPr>
          <w:ilvl w:val="0"/>
          <w:numId w:val="2"/>
        </w:numPr>
        <w:spacing w:before="240" w:after="240"/>
        <w:ind w:left="1080"/>
      </w:pPr>
      <w:r w:rsidRPr="004D0DC2">
        <w:t>At the time of</w:t>
      </w:r>
      <w:r w:rsidR="00974717" w:rsidRPr="004D0DC2">
        <w:t xml:space="preserve"> the</w:t>
      </w:r>
      <w:r w:rsidRPr="004D0DC2">
        <w:t xml:space="preserve"> </w:t>
      </w:r>
      <w:r w:rsidR="0086591D" w:rsidRPr="004D0DC2">
        <w:t>Technical Proposal</w:t>
      </w:r>
      <w:r w:rsidRPr="004D0DC2">
        <w:t xml:space="preserve"> opening, each </w:t>
      </w:r>
      <w:r w:rsidR="0086591D" w:rsidRPr="004D0DC2">
        <w:t>Technical Proposal</w:t>
      </w:r>
      <w:r w:rsidRPr="004D0DC2">
        <w:t xml:space="preserve"> will be checked for the presence or absence of required information</w:t>
      </w:r>
      <w:r w:rsidR="00240A74" w:rsidRPr="004D0DC2">
        <w:t xml:space="preserve"> </w:t>
      </w:r>
      <w:r w:rsidRPr="004D0DC2">
        <w:t xml:space="preserve">in conformance with the submission requirements of this RFP. Proposals that do not provide requested information </w:t>
      </w:r>
      <w:r w:rsidR="00CF4606" w:rsidRPr="004D0DC2">
        <w:t xml:space="preserve">may </w:t>
      </w:r>
      <w:r w:rsidRPr="004D0DC2">
        <w:t>be rejected as non-responsive.</w:t>
      </w:r>
    </w:p>
    <w:p w14:paraId="3D8AD2A3" w14:textId="01E649EF" w:rsidR="00AA219A" w:rsidRPr="004D0DC2" w:rsidRDefault="0086591D" w:rsidP="00DB77A8">
      <w:pPr>
        <w:numPr>
          <w:ilvl w:val="0"/>
          <w:numId w:val="2"/>
        </w:numPr>
        <w:spacing w:before="240" w:after="240"/>
        <w:ind w:left="1080"/>
      </w:pPr>
      <w:r w:rsidRPr="004D0DC2">
        <w:t>Technical Proposal</w:t>
      </w:r>
      <w:r w:rsidR="00D658A4" w:rsidRPr="004D0DC2">
        <w:t>s that contain false or misleading statements, or which provide references</w:t>
      </w:r>
      <w:r w:rsidR="008E108A" w:rsidRPr="004D0DC2">
        <w:t xml:space="preserve"> that </w:t>
      </w:r>
      <w:r w:rsidR="00D658A4" w:rsidRPr="004D0DC2">
        <w:t>do not support an attribute or condition claimed by the proposer, shall be rejected.</w:t>
      </w:r>
    </w:p>
    <w:p w14:paraId="3D8AD2A4" w14:textId="77777777" w:rsidR="00AA219A" w:rsidRPr="004D0DC2" w:rsidRDefault="00974717" w:rsidP="00DB77A8">
      <w:pPr>
        <w:numPr>
          <w:ilvl w:val="0"/>
          <w:numId w:val="2"/>
        </w:numPr>
        <w:spacing w:before="240" w:after="240"/>
        <w:ind w:left="1080"/>
      </w:pPr>
      <w:r w:rsidRPr="004D0DC2">
        <w:t xml:space="preserve">The </w:t>
      </w:r>
      <w:r w:rsidR="00D658A4" w:rsidRPr="004D0DC2">
        <w:t xml:space="preserve">CDE will evaluate each </w:t>
      </w:r>
      <w:r w:rsidR="0086591D" w:rsidRPr="004D0DC2">
        <w:t>Technical Proposal</w:t>
      </w:r>
      <w:r w:rsidR="00D658A4" w:rsidRPr="004D0DC2">
        <w:t xml:space="preserve"> to determine its responsiveness to </w:t>
      </w:r>
      <w:r w:rsidRPr="004D0DC2">
        <w:t xml:space="preserve">the </w:t>
      </w:r>
      <w:r w:rsidR="00D658A4" w:rsidRPr="004D0DC2">
        <w:t xml:space="preserve">CDE’s needs. </w:t>
      </w:r>
      <w:r w:rsidR="0086591D" w:rsidRPr="004D0DC2">
        <w:t>Technical Proposal</w:t>
      </w:r>
      <w:r w:rsidR="00D658A4" w:rsidRPr="004D0DC2">
        <w:t>s will be rated by an evaluation panel using a consensus process for determining final scores as noted below.</w:t>
      </w:r>
    </w:p>
    <w:p w14:paraId="3D8AD2A5" w14:textId="51CCE07C" w:rsidR="00D658A4" w:rsidRPr="004D0DC2" w:rsidRDefault="00D658A4" w:rsidP="00DB77A8">
      <w:pPr>
        <w:pStyle w:val="ListParagraph"/>
        <w:numPr>
          <w:ilvl w:val="0"/>
          <w:numId w:val="11"/>
        </w:numPr>
        <w:spacing w:before="240" w:after="240"/>
        <w:ind w:hanging="720"/>
        <w:contextualSpacing w:val="0"/>
      </w:pPr>
      <w:r w:rsidRPr="004D0DC2">
        <w:t xml:space="preserve">Technical </w:t>
      </w:r>
      <w:r w:rsidR="00173DE4" w:rsidRPr="004D0DC2">
        <w:t xml:space="preserve">Proposal </w:t>
      </w:r>
      <w:r w:rsidRPr="004D0DC2">
        <w:t>Evaluation</w:t>
      </w:r>
    </w:p>
    <w:p w14:paraId="3D8AD2A6" w14:textId="32C0BD53" w:rsidR="00B52D10" w:rsidRPr="004D0DC2" w:rsidRDefault="00B52D10" w:rsidP="00132985">
      <w:pPr>
        <w:pStyle w:val="ListParagraph"/>
        <w:numPr>
          <w:ilvl w:val="0"/>
          <w:numId w:val="26"/>
        </w:numPr>
        <w:spacing w:before="240" w:after="240"/>
        <w:contextualSpacing w:val="0"/>
      </w:pPr>
      <w:r w:rsidRPr="004D0DC2">
        <w:rPr>
          <w:rFonts w:cs="Arial"/>
        </w:rPr>
        <w:t>Phase I: Pre-Evaluation Review – Attachment Checklist</w:t>
      </w:r>
    </w:p>
    <w:p w14:paraId="34C4B2E2" w14:textId="7383A8D4" w:rsidR="008452D2" w:rsidRPr="004D0DC2" w:rsidRDefault="00B52D10" w:rsidP="008452D2">
      <w:pPr>
        <w:pStyle w:val="ListParagraph"/>
        <w:spacing w:before="240" w:after="240"/>
        <w:ind w:left="1080"/>
        <w:contextualSpacing w:val="0"/>
        <w:rPr>
          <w:rFonts w:cs="Arial"/>
        </w:rPr>
      </w:pPr>
      <w:r w:rsidRPr="004D0DC2">
        <w:rPr>
          <w:rFonts w:eastAsia="Times New Roman"/>
          <w:snapToGrid w:val="0"/>
          <w:szCs w:val="20"/>
        </w:rPr>
        <w:t xml:space="preserve">The CDE will review the contents of the </w:t>
      </w:r>
      <w:r w:rsidR="006C6950" w:rsidRPr="004D0DC2">
        <w:rPr>
          <w:rFonts w:eastAsia="Times New Roman"/>
          <w:snapToGrid w:val="0"/>
          <w:szCs w:val="20"/>
        </w:rPr>
        <w:t xml:space="preserve">bidder’s Technical Proposal </w:t>
      </w:r>
      <w:r w:rsidRPr="004D0DC2">
        <w:rPr>
          <w:rFonts w:eastAsia="Times New Roman"/>
          <w:snapToGrid w:val="0"/>
          <w:szCs w:val="20"/>
        </w:rPr>
        <w:t xml:space="preserve">Attachment Checklist for the presence of all correctly completed required forms/attachments. Bidders will be rated on the basis of </w:t>
      </w:r>
      <w:r w:rsidR="006B5C0B" w:rsidRPr="004D0DC2">
        <w:rPr>
          <w:rFonts w:eastAsia="Times New Roman"/>
          <w:snapToGrid w:val="0"/>
          <w:szCs w:val="20"/>
        </w:rPr>
        <w:t>Pass/Fail</w:t>
      </w:r>
      <w:r w:rsidRPr="004D0DC2">
        <w:rPr>
          <w:rFonts w:eastAsia="Times New Roman"/>
          <w:snapToGrid w:val="0"/>
          <w:szCs w:val="20"/>
        </w:rPr>
        <w:t xml:space="preserve">. Proposals that do not provide all of the forms/attachments, correctly completed as required by the RFP </w:t>
      </w:r>
      <w:r w:rsidR="00CF4606" w:rsidRPr="004D0DC2">
        <w:rPr>
          <w:rFonts w:eastAsia="Times New Roman"/>
          <w:snapToGrid w:val="0"/>
          <w:szCs w:val="20"/>
        </w:rPr>
        <w:t xml:space="preserve">may </w:t>
      </w:r>
      <w:r w:rsidRPr="004D0DC2">
        <w:rPr>
          <w:rFonts w:eastAsia="Times New Roman"/>
          <w:snapToGrid w:val="0"/>
          <w:szCs w:val="20"/>
        </w:rPr>
        <w:t xml:space="preserve">be deemed as non-responsive and the bidder will receive a Fail for this portion of the evaluation process, which </w:t>
      </w:r>
      <w:r w:rsidR="00CF4606" w:rsidRPr="004D0DC2">
        <w:rPr>
          <w:rFonts w:eastAsia="Times New Roman"/>
          <w:snapToGrid w:val="0"/>
          <w:szCs w:val="20"/>
        </w:rPr>
        <w:t xml:space="preserve">may </w:t>
      </w:r>
      <w:r w:rsidRPr="004D0DC2">
        <w:rPr>
          <w:rFonts w:eastAsia="Times New Roman"/>
          <w:snapToGrid w:val="0"/>
          <w:szCs w:val="20"/>
        </w:rPr>
        <w:t>result in the elimination of the bidder’s Proposal from further consideration.</w:t>
      </w:r>
      <w:r w:rsidR="00CF4606" w:rsidRPr="004D0DC2">
        <w:rPr>
          <w:rFonts w:eastAsia="Times New Roman"/>
          <w:snapToGrid w:val="0"/>
          <w:szCs w:val="20"/>
        </w:rPr>
        <w:t xml:space="preserve"> </w:t>
      </w:r>
      <w:r w:rsidR="00CF4606" w:rsidRPr="004D0DC2">
        <w:rPr>
          <w:rFonts w:cs="Arial"/>
        </w:rPr>
        <w:t>The CDE reserves the right, at its sole discretion, to overlook, correct, or require a bidder to remedy any obvious clerical or incidental errors on a proposal, if the correction does not result in an increase in the bidders’ total price. Bidders may be required to initial corrections.</w:t>
      </w:r>
    </w:p>
    <w:p w14:paraId="3D8AD2A8" w14:textId="27546E30" w:rsidR="00CE7182" w:rsidRPr="004D0DC2" w:rsidRDefault="00CE7182" w:rsidP="00132985">
      <w:pPr>
        <w:pStyle w:val="ListParagraph"/>
        <w:numPr>
          <w:ilvl w:val="0"/>
          <w:numId w:val="26"/>
        </w:numPr>
        <w:spacing w:before="240" w:after="240"/>
        <w:contextualSpacing w:val="0"/>
        <w:rPr>
          <w:rFonts w:eastAsia="Times New Roman"/>
          <w:snapToGrid w:val="0"/>
          <w:szCs w:val="20"/>
        </w:rPr>
      </w:pPr>
      <w:r w:rsidRPr="004D0DC2">
        <w:rPr>
          <w:rFonts w:eastAsia="Times New Roman"/>
          <w:snapToGrid w:val="0"/>
          <w:szCs w:val="20"/>
        </w:rPr>
        <w:t xml:space="preserve">Phase II: </w:t>
      </w:r>
      <w:r w:rsidR="0086591D" w:rsidRPr="004D0DC2">
        <w:rPr>
          <w:rFonts w:eastAsia="Times New Roman"/>
          <w:snapToGrid w:val="0"/>
          <w:szCs w:val="20"/>
        </w:rPr>
        <w:t>Technical Proposal</w:t>
      </w:r>
      <w:r w:rsidRPr="004D0DC2">
        <w:rPr>
          <w:rFonts w:eastAsia="Times New Roman"/>
          <w:snapToGrid w:val="0"/>
          <w:szCs w:val="20"/>
        </w:rPr>
        <w:t xml:space="preserve"> Evaluation</w:t>
      </w:r>
    </w:p>
    <w:p w14:paraId="3D8AD2A9" w14:textId="4D41581E" w:rsidR="00CE7182" w:rsidRPr="004D0DC2" w:rsidRDefault="00CE7182" w:rsidP="008452D2">
      <w:pPr>
        <w:pStyle w:val="ListParagraph"/>
        <w:spacing w:before="240" w:after="240"/>
        <w:ind w:left="1080"/>
        <w:contextualSpacing w:val="0"/>
        <w:rPr>
          <w:rFonts w:cs="Arial"/>
        </w:rPr>
      </w:pPr>
      <w:r w:rsidRPr="004D0DC2">
        <w:rPr>
          <w:rFonts w:eastAsia="Times New Roman"/>
          <w:snapToGrid w:val="0"/>
          <w:szCs w:val="20"/>
        </w:rPr>
        <w:t xml:space="preserve">An evaluation panel will evaluate those </w:t>
      </w:r>
      <w:r w:rsidR="0086591D" w:rsidRPr="004D0DC2">
        <w:rPr>
          <w:rFonts w:eastAsia="Times New Roman"/>
          <w:snapToGrid w:val="0"/>
          <w:szCs w:val="20"/>
        </w:rPr>
        <w:t>Technical Proposal</w:t>
      </w:r>
      <w:r w:rsidRPr="004D0DC2">
        <w:rPr>
          <w:rFonts w:eastAsia="Times New Roman"/>
          <w:snapToGrid w:val="0"/>
          <w:szCs w:val="20"/>
        </w:rPr>
        <w:t xml:space="preserve">s that </w:t>
      </w:r>
      <w:r w:rsidR="00CF4606" w:rsidRPr="004D0DC2">
        <w:rPr>
          <w:rFonts w:eastAsia="Times New Roman"/>
          <w:snapToGrid w:val="0"/>
          <w:szCs w:val="20"/>
        </w:rPr>
        <w:t>pass</w:t>
      </w:r>
      <w:r w:rsidR="00974717" w:rsidRPr="004D0DC2">
        <w:rPr>
          <w:rFonts w:eastAsia="Times New Roman"/>
          <w:snapToGrid w:val="0"/>
          <w:szCs w:val="20"/>
        </w:rPr>
        <w:t xml:space="preserve"> the</w:t>
      </w:r>
      <w:r w:rsidR="00CF4606" w:rsidRPr="004D0DC2">
        <w:rPr>
          <w:rFonts w:eastAsia="Times New Roman"/>
          <w:snapToGrid w:val="0"/>
          <w:szCs w:val="20"/>
        </w:rPr>
        <w:t xml:space="preserve"> Phase I: Pre-Evaluation Review and meet </w:t>
      </w:r>
      <w:r w:rsidRPr="004D0DC2">
        <w:rPr>
          <w:rFonts w:eastAsia="Times New Roman"/>
          <w:snapToGrid w:val="0"/>
          <w:szCs w:val="20"/>
        </w:rPr>
        <w:t xml:space="preserve">the proposal submission requirements. The evaluation will </w:t>
      </w:r>
      <w:r w:rsidR="008F79F9" w:rsidRPr="004D0DC2">
        <w:rPr>
          <w:rFonts w:eastAsia="Times New Roman"/>
          <w:snapToGrid w:val="0"/>
          <w:szCs w:val="20"/>
        </w:rPr>
        <w:t>be based on the criteria shown i</w:t>
      </w:r>
      <w:r w:rsidRPr="004D0DC2">
        <w:rPr>
          <w:rFonts w:eastAsia="Times New Roman"/>
          <w:snapToGrid w:val="0"/>
          <w:szCs w:val="20"/>
        </w:rPr>
        <w:t xml:space="preserve">n Phase II </w:t>
      </w:r>
      <w:r w:rsidR="0086591D" w:rsidRPr="004D0DC2">
        <w:rPr>
          <w:rFonts w:eastAsia="Times New Roman"/>
          <w:snapToGrid w:val="0"/>
          <w:szCs w:val="20"/>
        </w:rPr>
        <w:t>Technical Proposal</w:t>
      </w:r>
      <w:r w:rsidRPr="004D0DC2">
        <w:rPr>
          <w:rFonts w:eastAsia="Times New Roman"/>
          <w:snapToGrid w:val="0"/>
          <w:szCs w:val="20"/>
        </w:rPr>
        <w:t xml:space="preserve"> Evaluation</w:t>
      </w:r>
      <w:r w:rsidR="00CC580B" w:rsidRPr="004D0DC2">
        <w:rPr>
          <w:rFonts w:eastAsia="Times New Roman"/>
          <w:snapToGrid w:val="0"/>
          <w:szCs w:val="20"/>
        </w:rPr>
        <w:t xml:space="preserve"> </w:t>
      </w:r>
      <w:r w:rsidR="008F79F9" w:rsidRPr="004D0DC2">
        <w:rPr>
          <w:rFonts w:eastAsia="Times New Roman"/>
          <w:snapToGrid w:val="0"/>
          <w:szCs w:val="20"/>
        </w:rPr>
        <w:t xml:space="preserve">of </w:t>
      </w:r>
      <w:r w:rsidR="00DE1CC5" w:rsidRPr="004D0DC2">
        <w:rPr>
          <w:rFonts w:eastAsia="Times New Roman"/>
          <w:snapToGrid w:val="0"/>
          <w:szCs w:val="20"/>
        </w:rPr>
        <w:t>Attachment</w:t>
      </w:r>
      <w:r w:rsidRPr="004D0DC2">
        <w:rPr>
          <w:rFonts w:eastAsia="Times New Roman"/>
          <w:snapToGrid w:val="0"/>
          <w:szCs w:val="20"/>
        </w:rPr>
        <w:t xml:space="preserve"> 1</w:t>
      </w:r>
      <w:r w:rsidR="009C2737">
        <w:rPr>
          <w:rFonts w:eastAsia="Times New Roman"/>
          <w:snapToGrid w:val="0"/>
          <w:szCs w:val="20"/>
        </w:rPr>
        <w:t>4</w:t>
      </w:r>
      <w:r w:rsidRPr="004D0DC2">
        <w:rPr>
          <w:rFonts w:eastAsia="Times New Roman"/>
          <w:snapToGrid w:val="0"/>
          <w:szCs w:val="20"/>
        </w:rPr>
        <w:t xml:space="preserve">. Only those </w:t>
      </w:r>
      <w:r w:rsidR="0086591D" w:rsidRPr="004D0DC2">
        <w:rPr>
          <w:rFonts w:eastAsia="Times New Roman"/>
          <w:snapToGrid w:val="0"/>
          <w:szCs w:val="20"/>
        </w:rPr>
        <w:t>Technical Proposal</w:t>
      </w:r>
      <w:r w:rsidRPr="004D0DC2">
        <w:rPr>
          <w:rFonts w:eastAsia="Times New Roman"/>
          <w:snapToGrid w:val="0"/>
          <w:szCs w:val="20"/>
        </w:rPr>
        <w:t>s that achieve the required minimum points stated in Attachment 1</w:t>
      </w:r>
      <w:r w:rsidR="009C2737">
        <w:rPr>
          <w:rFonts w:eastAsia="Times New Roman"/>
          <w:snapToGrid w:val="0"/>
          <w:szCs w:val="20"/>
        </w:rPr>
        <w:t>4</w:t>
      </w:r>
      <w:r w:rsidRPr="004D0DC2">
        <w:rPr>
          <w:rFonts w:eastAsia="Times New Roman"/>
          <w:snapToGrid w:val="0"/>
          <w:szCs w:val="20"/>
        </w:rPr>
        <w:t xml:space="preserve"> will move on to </w:t>
      </w:r>
      <w:r w:rsidR="008452D2" w:rsidRPr="004D0DC2">
        <w:rPr>
          <w:rFonts w:eastAsia="Times New Roman"/>
          <w:snapToGrid w:val="0"/>
          <w:szCs w:val="20"/>
        </w:rPr>
        <w:t xml:space="preserve">the Public Opening of the Cost Proposal. </w:t>
      </w:r>
      <w:r w:rsidRPr="004D0DC2">
        <w:rPr>
          <w:rFonts w:eastAsia="Times New Roman"/>
          <w:snapToGrid w:val="0"/>
          <w:szCs w:val="20"/>
        </w:rPr>
        <w:t xml:space="preserve">Those </w:t>
      </w:r>
      <w:r w:rsidR="0086591D" w:rsidRPr="004D0DC2">
        <w:rPr>
          <w:rFonts w:eastAsia="Times New Roman"/>
          <w:snapToGrid w:val="0"/>
          <w:szCs w:val="20"/>
        </w:rPr>
        <w:t>Technical Proposal</w:t>
      </w:r>
      <w:r w:rsidRPr="004D0DC2">
        <w:rPr>
          <w:rFonts w:eastAsia="Times New Roman"/>
          <w:snapToGrid w:val="0"/>
          <w:szCs w:val="20"/>
        </w:rPr>
        <w:t>s receiving less than the minimum points stated in Attachment 1</w:t>
      </w:r>
      <w:r w:rsidR="009C2737">
        <w:rPr>
          <w:rFonts w:eastAsia="Times New Roman"/>
          <w:snapToGrid w:val="0"/>
          <w:szCs w:val="20"/>
        </w:rPr>
        <w:t>4</w:t>
      </w:r>
      <w:r w:rsidRPr="004D0DC2">
        <w:rPr>
          <w:rFonts w:eastAsia="Times New Roman"/>
          <w:snapToGrid w:val="0"/>
          <w:szCs w:val="20"/>
        </w:rPr>
        <w:t>, will not receive further consideration.</w:t>
      </w:r>
      <w:r w:rsidR="00CF4606" w:rsidRPr="004D0DC2">
        <w:rPr>
          <w:rFonts w:eastAsia="Times New Roman"/>
          <w:snapToGrid w:val="0"/>
          <w:szCs w:val="20"/>
        </w:rPr>
        <w:t xml:space="preserve"> </w:t>
      </w:r>
      <w:r w:rsidR="00CF4606" w:rsidRPr="004D0DC2">
        <w:rPr>
          <w:rFonts w:cs="Arial"/>
        </w:rPr>
        <w:t xml:space="preserve">During the evaluation phase, </w:t>
      </w:r>
      <w:r w:rsidR="00974717" w:rsidRPr="004D0DC2">
        <w:rPr>
          <w:rFonts w:cs="Arial"/>
        </w:rPr>
        <w:t xml:space="preserve">the </w:t>
      </w:r>
      <w:r w:rsidR="00CF4606" w:rsidRPr="004D0DC2">
        <w:rPr>
          <w:rFonts w:cs="Arial"/>
        </w:rPr>
        <w:lastRenderedPageBreak/>
        <w:t xml:space="preserve">CDE reserves the right, at its sole discretion, to request clarification on any aspect of the </w:t>
      </w:r>
      <w:r w:rsidR="0086591D" w:rsidRPr="004D0DC2">
        <w:rPr>
          <w:rFonts w:cs="Arial"/>
        </w:rPr>
        <w:t>Technical Proposal</w:t>
      </w:r>
      <w:r w:rsidR="00CF4606" w:rsidRPr="004D0DC2">
        <w:rPr>
          <w:rFonts w:cs="Arial"/>
        </w:rPr>
        <w:t>.</w:t>
      </w:r>
    </w:p>
    <w:p w14:paraId="3D8AD2AA" w14:textId="24344694" w:rsidR="005619F3" w:rsidRPr="004D0DC2" w:rsidRDefault="00D658A4" w:rsidP="00DB77A8">
      <w:pPr>
        <w:pStyle w:val="ListParagraph"/>
        <w:numPr>
          <w:ilvl w:val="0"/>
          <w:numId w:val="11"/>
        </w:numPr>
        <w:spacing w:before="240" w:after="240"/>
        <w:ind w:hanging="720"/>
        <w:contextualSpacing w:val="0"/>
      </w:pPr>
      <w:r w:rsidRPr="004D0DC2">
        <w:t>Publ</w:t>
      </w:r>
      <w:r w:rsidR="002830BC" w:rsidRPr="004D0DC2">
        <w:t>ic Opening of the Cost Proposal</w:t>
      </w:r>
    </w:p>
    <w:p w14:paraId="3D8AD2AB" w14:textId="6BA6E985" w:rsidR="00CF4606" w:rsidRPr="004D0DC2" w:rsidRDefault="00D658A4" w:rsidP="00132985">
      <w:pPr>
        <w:pStyle w:val="ListParagraph"/>
        <w:numPr>
          <w:ilvl w:val="0"/>
          <w:numId w:val="16"/>
        </w:numPr>
        <w:spacing w:before="240" w:after="240"/>
        <w:ind w:left="1080"/>
        <w:contextualSpacing w:val="0"/>
      </w:pPr>
      <w:r w:rsidRPr="004D0DC2">
        <w:t>Cost Proposals will be opened for bidders who achieved the required minimum points in Phase I</w:t>
      </w:r>
      <w:r w:rsidR="008452D2" w:rsidRPr="004D0DC2">
        <w:t>I</w:t>
      </w:r>
      <w:r w:rsidR="00F14BBC" w:rsidRPr="004D0DC2">
        <w:t xml:space="preserve">, </w:t>
      </w:r>
      <w:r w:rsidR="008452D2" w:rsidRPr="004D0DC2">
        <w:t>Technical Proposal Evaluation</w:t>
      </w:r>
      <w:r w:rsidR="00DD77A6" w:rsidRPr="004D0DC2">
        <w:t xml:space="preserve">, </w:t>
      </w:r>
      <w:r w:rsidR="008452D2" w:rsidRPr="004D0DC2">
        <w:t xml:space="preserve">as scored using </w:t>
      </w:r>
      <w:r w:rsidR="00DE1CC5" w:rsidRPr="004D0DC2">
        <w:t>Attachment</w:t>
      </w:r>
      <w:r w:rsidR="00DD77A6" w:rsidRPr="004D0DC2">
        <w:t xml:space="preserve"> 1</w:t>
      </w:r>
      <w:r w:rsidR="009C2737">
        <w:t>4</w:t>
      </w:r>
      <w:r w:rsidR="007C2D86" w:rsidRPr="004D0DC2">
        <w:t xml:space="preserve">. </w:t>
      </w:r>
      <w:r w:rsidRPr="004D0DC2">
        <w:t xml:space="preserve">The final selection will be made on the basis of the lowest responsive Cost Proposal from a responsible </w:t>
      </w:r>
      <w:r w:rsidR="00F14BBC" w:rsidRPr="004D0DC2">
        <w:t>b</w:t>
      </w:r>
      <w:r w:rsidRPr="004D0DC2">
        <w:t>idder. The Public Opening of the Cost Proposal will</w:t>
      </w:r>
      <w:r w:rsidR="00E05AA0" w:rsidRPr="004D0DC2">
        <w:t xml:space="preserve"> be held at 1430 N Street, </w:t>
      </w:r>
      <w:r w:rsidR="00E05AA0" w:rsidRPr="002171EE">
        <w:t>Room</w:t>
      </w:r>
      <w:r w:rsidRPr="002171EE">
        <w:t xml:space="preserve"> </w:t>
      </w:r>
      <w:r w:rsidR="003141F3">
        <w:t>1801</w:t>
      </w:r>
      <w:r w:rsidR="003141F3" w:rsidRPr="002171EE">
        <w:t xml:space="preserve"> </w:t>
      </w:r>
      <w:r w:rsidRPr="002171EE">
        <w:t>Sacramento</w:t>
      </w:r>
      <w:r w:rsidRPr="004D0DC2">
        <w:t xml:space="preserve">, California, 95814 </w:t>
      </w:r>
      <w:r w:rsidR="00CF4606" w:rsidRPr="004D0DC2">
        <w:rPr>
          <w:rFonts w:cs="Arial"/>
        </w:rPr>
        <w:t>at the time, day</w:t>
      </w:r>
      <w:r w:rsidR="00AA7AB8" w:rsidRPr="004D0DC2">
        <w:rPr>
          <w:rFonts w:cs="Arial"/>
        </w:rPr>
        <w:t>,</w:t>
      </w:r>
      <w:r w:rsidR="00CF4606" w:rsidRPr="004D0DC2">
        <w:rPr>
          <w:rFonts w:cs="Arial"/>
        </w:rPr>
        <w:t xml:space="preserve"> and date specified in RFP Section </w:t>
      </w:r>
      <w:r w:rsidR="009D2EC2" w:rsidRPr="004D0DC2">
        <w:rPr>
          <w:rFonts w:cs="Arial"/>
        </w:rPr>
        <w:t>2</w:t>
      </w:r>
      <w:r w:rsidR="00CF4606" w:rsidRPr="004D0DC2">
        <w:rPr>
          <w:rFonts w:cs="Arial"/>
        </w:rPr>
        <w:t>.3 RFP Schedule of Events.</w:t>
      </w:r>
    </w:p>
    <w:p w14:paraId="3D8AD2AC" w14:textId="7D59850E" w:rsidR="00D658A4" w:rsidRPr="004D0DC2" w:rsidRDefault="00D658A4" w:rsidP="00132985">
      <w:pPr>
        <w:pStyle w:val="ListParagraph"/>
        <w:numPr>
          <w:ilvl w:val="0"/>
          <w:numId w:val="16"/>
        </w:numPr>
        <w:spacing w:before="240" w:after="240"/>
        <w:ind w:left="1080"/>
        <w:contextualSpacing w:val="0"/>
      </w:pPr>
      <w:r w:rsidRPr="004D0DC2">
        <w:t xml:space="preserve">The CDE will review the </w:t>
      </w:r>
      <w:r w:rsidR="00F14BBC" w:rsidRPr="004D0DC2">
        <w:t xml:space="preserve">opened </w:t>
      </w:r>
      <w:r w:rsidRPr="004D0DC2">
        <w:t>Cost Proposal</w:t>
      </w:r>
      <w:r w:rsidR="00F14BBC" w:rsidRPr="004D0DC2">
        <w:t>(</w:t>
      </w:r>
      <w:r w:rsidRPr="004D0DC2">
        <w:t>s</w:t>
      </w:r>
      <w:r w:rsidR="00F14BBC" w:rsidRPr="004D0DC2">
        <w:t>)</w:t>
      </w:r>
      <w:r w:rsidRPr="004D0DC2">
        <w:t xml:space="preserve"> for compliance with the standards and requirements in the RFP (see </w:t>
      </w:r>
      <w:r w:rsidR="00850636" w:rsidRPr="004D0DC2">
        <w:t>RFP Section 3.3</w:t>
      </w:r>
      <w:r w:rsidRPr="004D0DC2">
        <w:t>,</w:t>
      </w:r>
      <w:r w:rsidR="00C1612E" w:rsidRPr="004D0DC2">
        <w:t xml:space="preserve"> and</w:t>
      </w:r>
      <w:r w:rsidRPr="004D0DC2">
        <w:t xml:space="preserve"> Attachment 1</w:t>
      </w:r>
      <w:r w:rsidR="009C2737">
        <w:t>4</w:t>
      </w:r>
      <w:r w:rsidRPr="004D0DC2">
        <w:t xml:space="preserve">) including a review comparing the hours </w:t>
      </w:r>
      <w:r w:rsidR="00FF771D" w:rsidRPr="004D0DC2">
        <w:t xml:space="preserve">listed </w:t>
      </w:r>
      <w:r w:rsidRPr="004D0DC2">
        <w:t xml:space="preserve">in the Cost Proposal with the hours </w:t>
      </w:r>
      <w:r w:rsidR="00FF771D" w:rsidRPr="004D0DC2">
        <w:t xml:space="preserve">listed </w:t>
      </w:r>
      <w:r w:rsidRPr="004D0DC2">
        <w:t xml:space="preserve">in the </w:t>
      </w:r>
      <w:r w:rsidR="0086591D" w:rsidRPr="004D0DC2">
        <w:t>Technical Proposal</w:t>
      </w:r>
      <w:r w:rsidRPr="004D0DC2">
        <w:t xml:space="preserve">, Staffing Labor Hours Worksheet component of the </w:t>
      </w:r>
      <w:r w:rsidR="0086591D" w:rsidRPr="004D0DC2">
        <w:t>Technical Proposal</w:t>
      </w:r>
      <w:r w:rsidRPr="004D0DC2">
        <w:t xml:space="preserve">. The CDE reserves the right, at its sole discretion, to overlook, correct, or require a bidder to remedy any obvious clerical or incidental mathematical errors on a proposal, if the correction does not result in an increase in the bidders’ total price. Bidders may be required to initial corrections. Inconsistencies between the </w:t>
      </w:r>
      <w:r w:rsidR="0086591D" w:rsidRPr="004D0DC2">
        <w:t>Technical Proposal</w:t>
      </w:r>
      <w:r w:rsidRPr="004D0DC2">
        <w:t xml:space="preserve"> and the Cost Proposal may result in the re</w:t>
      </w:r>
      <w:r w:rsidR="004A7B5D" w:rsidRPr="004D0DC2">
        <w:t>jection of the proposal.</w:t>
      </w:r>
    </w:p>
    <w:p w14:paraId="3D8AD2AD" w14:textId="05014927" w:rsidR="00D658A4" w:rsidRPr="004D0DC2" w:rsidRDefault="00D658A4" w:rsidP="00132985">
      <w:pPr>
        <w:pStyle w:val="ListParagraph"/>
        <w:numPr>
          <w:ilvl w:val="0"/>
          <w:numId w:val="16"/>
        </w:numPr>
        <w:spacing w:before="240" w:after="240"/>
        <w:ind w:left="1080"/>
        <w:contextualSpacing w:val="0"/>
      </w:pPr>
      <w:r w:rsidRPr="004D0DC2">
        <w:t xml:space="preserve">The </w:t>
      </w:r>
      <w:r w:rsidR="00DE164F" w:rsidRPr="004D0DC2">
        <w:t xml:space="preserve">Small Business, </w:t>
      </w:r>
      <w:r w:rsidR="00CC3174" w:rsidRPr="004D0DC2">
        <w:t>DVBE</w:t>
      </w:r>
      <w:r w:rsidR="00DE164F" w:rsidRPr="004D0DC2">
        <w:t>,</w:t>
      </w:r>
      <w:r w:rsidR="00CC3174" w:rsidRPr="004D0DC2">
        <w:t xml:space="preserve"> and </w:t>
      </w:r>
      <w:r w:rsidRPr="004D0DC2">
        <w:t>TACPA preference program incentives will be computed by the CDE Contracts Office if the required documentation is included in the proposal. Adjustment to the bid price will be made accordingly. The preference program incentives are used only for computation purposes to determine the winning bidder and do not alter the amounts of the resulting contract.</w:t>
      </w:r>
    </w:p>
    <w:p w14:paraId="3D8AD2AE" w14:textId="0E6D5363" w:rsidR="00D658A4" w:rsidRPr="004D0DC2" w:rsidRDefault="00D658A4" w:rsidP="00132985">
      <w:pPr>
        <w:pStyle w:val="ListParagraph"/>
        <w:numPr>
          <w:ilvl w:val="0"/>
          <w:numId w:val="16"/>
        </w:numPr>
        <w:spacing w:before="240" w:after="240"/>
        <w:ind w:left="1080"/>
        <w:contextualSpacing w:val="0"/>
      </w:pPr>
      <w:r w:rsidRPr="004D0DC2">
        <w:t xml:space="preserve">If no proposals are received containing bids offering a price, which in the opinion of the CDE is a reasonable price, </w:t>
      </w:r>
      <w:r w:rsidR="00974717" w:rsidRPr="004D0DC2">
        <w:t xml:space="preserve">the </w:t>
      </w:r>
      <w:r w:rsidRPr="004D0DC2">
        <w:t>CDE is not required to award an Agreement (P</w:t>
      </w:r>
      <w:r w:rsidR="006C6950" w:rsidRPr="004D0DC2">
        <w:t xml:space="preserve">ublic </w:t>
      </w:r>
      <w:r w:rsidRPr="004D0DC2">
        <w:t>C</w:t>
      </w:r>
      <w:r w:rsidR="006C6950" w:rsidRPr="004D0DC2">
        <w:t xml:space="preserve">ontract </w:t>
      </w:r>
      <w:r w:rsidRPr="004D0DC2">
        <w:t>C</w:t>
      </w:r>
      <w:r w:rsidR="006C6950" w:rsidRPr="004D0DC2">
        <w:t>ode</w:t>
      </w:r>
      <w:r w:rsidRPr="004D0DC2">
        <w:t xml:space="preserve"> Section 10344 [d]).</w:t>
      </w:r>
    </w:p>
    <w:p w14:paraId="3D8AD2AF" w14:textId="3F20FD54" w:rsidR="002830BC" w:rsidRPr="004D0DC2" w:rsidRDefault="00D658A4" w:rsidP="00132985">
      <w:pPr>
        <w:pStyle w:val="ListParagraph"/>
        <w:numPr>
          <w:ilvl w:val="0"/>
          <w:numId w:val="16"/>
        </w:numPr>
        <w:spacing w:before="240" w:after="240"/>
        <w:ind w:left="1080"/>
        <w:contextualSpacing w:val="0"/>
      </w:pPr>
      <w:r w:rsidRPr="004D0DC2">
        <w:t xml:space="preserve">Every component of the cost is subject to reasonableness of cost justification to </w:t>
      </w:r>
      <w:r w:rsidR="006C6950" w:rsidRPr="004D0DC2">
        <w:t xml:space="preserve">the </w:t>
      </w:r>
      <w:r w:rsidRPr="004D0DC2">
        <w:t>DGS, who may approve it at its discretion. If any portion of the cost is rejected by</w:t>
      </w:r>
      <w:r w:rsidR="006C6950" w:rsidRPr="004D0DC2">
        <w:t xml:space="preserve"> the</w:t>
      </w:r>
      <w:r w:rsidRPr="004D0DC2">
        <w:t xml:space="preserve"> DGS, then the entire bid may be </w:t>
      </w:r>
      <w:r w:rsidR="002830BC" w:rsidRPr="004D0DC2">
        <w:t>rejected.</w:t>
      </w:r>
    </w:p>
    <w:p w14:paraId="3D8AD2B0" w14:textId="636C5D8E" w:rsidR="00D658A4" w:rsidRPr="004D0DC2" w:rsidRDefault="00D658A4" w:rsidP="00DB77A8">
      <w:pPr>
        <w:pStyle w:val="ListParagraph"/>
        <w:numPr>
          <w:ilvl w:val="0"/>
          <w:numId w:val="11"/>
        </w:numPr>
        <w:spacing w:before="240" w:after="240"/>
        <w:ind w:hanging="720"/>
        <w:contextualSpacing w:val="0"/>
      </w:pPr>
      <w:r w:rsidRPr="004D0DC2">
        <w:t>Miscellaneous Award Issues</w:t>
      </w:r>
    </w:p>
    <w:p w14:paraId="3D8AD2B1" w14:textId="73D4118B" w:rsidR="00D658A4" w:rsidRPr="004D0DC2" w:rsidRDefault="00974717" w:rsidP="008452D2">
      <w:pPr>
        <w:pStyle w:val="ListParagraph"/>
        <w:numPr>
          <w:ilvl w:val="0"/>
          <w:numId w:val="1"/>
        </w:numPr>
        <w:tabs>
          <w:tab w:val="left" w:pos="-1260"/>
        </w:tabs>
        <w:spacing w:before="240" w:after="240"/>
        <w:ind w:left="1080"/>
        <w:contextualSpacing w:val="0"/>
      </w:pPr>
      <w:r w:rsidRPr="004D0DC2">
        <w:t xml:space="preserve">The </w:t>
      </w:r>
      <w:r w:rsidR="00D658A4" w:rsidRPr="004D0DC2">
        <w:t>CDE does not negotiate rates and/or costs listed on any Cost Proposal submitted.</w:t>
      </w:r>
    </w:p>
    <w:p w14:paraId="3D8AD2B2" w14:textId="77777777" w:rsidR="00D658A4" w:rsidRPr="004D0DC2" w:rsidRDefault="00D658A4" w:rsidP="00DC1391">
      <w:pPr>
        <w:pStyle w:val="ListParagraph"/>
        <w:numPr>
          <w:ilvl w:val="0"/>
          <w:numId w:val="1"/>
        </w:numPr>
        <w:spacing w:before="240" w:after="240"/>
        <w:ind w:left="1080"/>
        <w:contextualSpacing w:val="0"/>
      </w:pPr>
      <w:r w:rsidRPr="004D0DC2">
        <w:t>An error in the proposal may cause rejection of that bid; however, the CDE may, at its sole discretion, retain the proposal and require certain corrections. In determining if a correction will be made, the CDE will consider the conformance of the bid to the format and content required by the RFP, and any unusual complexity of the format and content required by the RFP.</w:t>
      </w:r>
    </w:p>
    <w:p w14:paraId="3D8AD2B3" w14:textId="77777777" w:rsidR="00D658A4" w:rsidRPr="004D0DC2" w:rsidRDefault="00D658A4" w:rsidP="00F6039A">
      <w:pPr>
        <w:spacing w:before="240" w:after="240"/>
        <w:ind w:left="1080"/>
      </w:pPr>
      <w:r w:rsidRPr="004D0DC2">
        <w:t xml:space="preserve">If the bidder’s intent is clearly established based on review of the submitted proposal, the CDE may, at its sole discretion, require a bidder to correct an error based on that established intent. The CDE may, at its sole discretion, require a bidder to correct obvious clerical errors or incidental mathematical computation errors. The CDE may, at </w:t>
      </w:r>
      <w:r w:rsidRPr="004D0DC2">
        <w:lastRenderedPageBreak/>
        <w:t>its sole discretion, require a bidder to correct incidental errors of omission, and in the following three situations, the CDE will take the indicated actions if the bidder’s intent is not clearly established</w:t>
      </w:r>
      <w:r w:rsidR="000C00DF" w:rsidRPr="004D0DC2">
        <w:t xml:space="preserve"> by the complete bid submittal:</w:t>
      </w:r>
    </w:p>
    <w:p w14:paraId="3D8AD2B4" w14:textId="77777777" w:rsidR="00D658A4" w:rsidRPr="004D0DC2" w:rsidRDefault="00D658A4" w:rsidP="00132985">
      <w:pPr>
        <w:pStyle w:val="ListParagraph"/>
        <w:numPr>
          <w:ilvl w:val="0"/>
          <w:numId w:val="19"/>
        </w:numPr>
        <w:spacing w:before="240" w:after="240"/>
        <w:ind w:left="1440"/>
        <w:contextualSpacing w:val="0"/>
      </w:pPr>
      <w:r w:rsidRPr="004D0DC2">
        <w:t xml:space="preserve">If a deliverable, task, subtask, or staff is described in the narrative and omitted from the </w:t>
      </w:r>
      <w:r w:rsidR="002B5835" w:rsidRPr="004D0DC2">
        <w:rPr>
          <w:rFonts w:cs="Arial"/>
        </w:rPr>
        <w:t>Cost Proposal</w:t>
      </w:r>
      <w:r w:rsidRPr="004D0DC2">
        <w:t xml:space="preserve">, it will be interpreted to mean that the deliverable, task, subtask, </w:t>
      </w:r>
      <w:r w:rsidR="00CF4606" w:rsidRPr="004D0DC2">
        <w:t xml:space="preserve">and </w:t>
      </w:r>
      <w:r w:rsidRPr="004D0DC2">
        <w:t>staff will be provided by the bidder at no cost.</w:t>
      </w:r>
    </w:p>
    <w:p w14:paraId="3D8AD2B5" w14:textId="77777777" w:rsidR="00D658A4" w:rsidRPr="004D0DC2" w:rsidRDefault="00D658A4" w:rsidP="00132985">
      <w:pPr>
        <w:pStyle w:val="ListParagraph"/>
        <w:numPr>
          <w:ilvl w:val="0"/>
          <w:numId w:val="19"/>
        </w:numPr>
        <w:spacing w:before="240" w:after="240"/>
        <w:ind w:left="1440"/>
        <w:contextualSpacing w:val="0"/>
      </w:pPr>
      <w:r w:rsidRPr="004D0DC2">
        <w:t>If a deliverable, task, or subtask is not mentioned at all in the bidder’s proposal, the bid will be interpreted to mean that the bidder does not intend to perform that deliverable, task, or subtask.</w:t>
      </w:r>
    </w:p>
    <w:p w14:paraId="3D8AD2B6" w14:textId="77777777" w:rsidR="00D658A4" w:rsidRPr="004D0DC2" w:rsidRDefault="00D658A4" w:rsidP="00132985">
      <w:pPr>
        <w:pStyle w:val="ListParagraph"/>
        <w:numPr>
          <w:ilvl w:val="0"/>
          <w:numId w:val="19"/>
        </w:numPr>
        <w:spacing w:before="240" w:after="240"/>
        <w:ind w:left="1440"/>
        <w:contextualSpacing w:val="0"/>
      </w:pPr>
      <w:r w:rsidRPr="004D0DC2">
        <w:t>If a deliverable, task, or subtask is omitted, and the omission is not discovered until after contract award, the bidder shall be required to perform that deliverable, task, or subtask at no cost.</w:t>
      </w:r>
    </w:p>
    <w:p w14:paraId="3D8AD2B7" w14:textId="7EEB1952" w:rsidR="00002C3F" w:rsidRPr="004D0DC2" w:rsidRDefault="00D658A4" w:rsidP="00F92047">
      <w:pPr>
        <w:pStyle w:val="ListParagraph"/>
        <w:numPr>
          <w:ilvl w:val="0"/>
          <w:numId w:val="1"/>
        </w:numPr>
        <w:spacing w:before="240" w:after="240"/>
        <w:ind w:left="1080"/>
        <w:contextualSpacing w:val="0"/>
      </w:pPr>
      <w:r w:rsidRPr="004D0DC2">
        <w:t>The bidder is advised that should this RFP result in an award of a contract, the contract will not be in force an</w:t>
      </w:r>
      <w:r w:rsidR="003361B2" w:rsidRPr="004D0DC2">
        <w:t>d</w:t>
      </w:r>
      <w:r w:rsidRPr="004D0DC2">
        <w:t xml:space="preserve"> no work shall be performed until the contract is fully approved by the </w:t>
      </w:r>
      <w:r w:rsidR="00871006" w:rsidRPr="004D0DC2">
        <w:t>DGS</w:t>
      </w:r>
      <w:r w:rsidRPr="004D0DC2">
        <w:t xml:space="preserve"> and the bidder is notified by the CDE Contract Monitor that services may begin.</w:t>
      </w:r>
    </w:p>
    <w:p w14:paraId="3D8AD2B8" w14:textId="2B57000B" w:rsidR="00401B74" w:rsidRPr="004D0DC2" w:rsidRDefault="00135D6D" w:rsidP="00E43B4A">
      <w:pPr>
        <w:pStyle w:val="Heading2"/>
      </w:pPr>
      <w:r w:rsidRPr="004D0DC2">
        <w:br w:type="page"/>
      </w:r>
      <w:bookmarkStart w:id="14" w:name="_Toc210913297"/>
      <w:r w:rsidR="00537458" w:rsidRPr="004D0DC2">
        <w:lastRenderedPageBreak/>
        <w:t>5</w:t>
      </w:r>
      <w:r w:rsidR="00002C3F" w:rsidRPr="004D0DC2">
        <w:t>. AWARD AND PROTEST</w:t>
      </w:r>
      <w:bookmarkEnd w:id="14"/>
    </w:p>
    <w:p w14:paraId="3D8AD2B9" w14:textId="185C3DED" w:rsidR="00D658A4" w:rsidRPr="004D0DC2" w:rsidRDefault="00D658A4" w:rsidP="54EA1D9A">
      <w:pPr>
        <w:numPr>
          <w:ilvl w:val="0"/>
          <w:numId w:val="4"/>
        </w:numPr>
        <w:spacing w:before="240" w:after="240"/>
        <w:ind w:right="720" w:hanging="720"/>
      </w:pPr>
      <w:r>
        <w:t xml:space="preserve">Notice of Intent to Award will be posted for five (5) working days </w:t>
      </w:r>
      <w:r w:rsidR="00CF4606" w:rsidRPr="54EA1D9A">
        <w:rPr>
          <w:rFonts w:cs="Arial"/>
        </w:rPr>
        <w:t xml:space="preserve">beginning on the day and date specified in RFP Section </w:t>
      </w:r>
      <w:r w:rsidR="003B1588" w:rsidRPr="54EA1D9A">
        <w:rPr>
          <w:rFonts w:cs="Arial"/>
        </w:rPr>
        <w:t>2</w:t>
      </w:r>
      <w:r w:rsidR="00CF4606" w:rsidRPr="54EA1D9A">
        <w:rPr>
          <w:rFonts w:cs="Arial"/>
        </w:rPr>
        <w:t>.3 RFP Schedule of Events</w:t>
      </w:r>
      <w:r>
        <w:t xml:space="preserve">, in the CDE lobby located at 1430 N Street, Sacramento, California, and </w:t>
      </w:r>
      <w:r w:rsidR="00A34460">
        <w:t>may be posted on</w:t>
      </w:r>
      <w:r>
        <w:t xml:space="preserve"> the</w:t>
      </w:r>
      <w:r w:rsidR="007B4B86">
        <w:t xml:space="preserve"> CDE's Funding </w:t>
      </w:r>
      <w:r w:rsidR="65D1AC2C">
        <w:t>website</w:t>
      </w:r>
      <w:r w:rsidR="54DBA0BE">
        <w:t xml:space="preserve"> at</w:t>
      </w:r>
      <w:r>
        <w:t xml:space="preserve"> </w:t>
      </w:r>
      <w:hyperlink r:id="rId28" w:history="1">
        <w:r w:rsidR="00B206BD" w:rsidRPr="00237D08">
          <w:rPr>
            <w:rStyle w:val="Hyperlink"/>
          </w:rPr>
          <w:t>https://www.cde.ca.gov/fg/fo/af</w:t>
        </w:r>
      </w:hyperlink>
      <w:r w:rsidR="00CE7C87">
        <w:t xml:space="preserve">. </w:t>
      </w:r>
      <w:r>
        <w:t xml:space="preserve">During the same period, proposals and rating sheets will be available for public inspection at 1430 N Street, </w:t>
      </w:r>
      <w:r w:rsidR="00C1612E">
        <w:t>S</w:t>
      </w:r>
      <w:r>
        <w:t>acramento, California, during normal business hours</w:t>
      </w:r>
      <w:r w:rsidR="00C1612E">
        <w:t xml:space="preserve"> by submitting a request to the contact person identified in Section 2.5 of this RFP</w:t>
      </w:r>
      <w:r>
        <w:t>.</w:t>
      </w:r>
      <w:r w:rsidR="00CF4606">
        <w:t xml:space="preserve"> </w:t>
      </w:r>
      <w:r>
        <w:t>After the five (5) day notice has been completed, the proposed awardee wil</w:t>
      </w:r>
      <w:r w:rsidR="00AA27F1">
        <w:t>l be formally notified by mail</w:t>
      </w:r>
      <w:r w:rsidR="00AF4635">
        <w:t xml:space="preserve"> or email</w:t>
      </w:r>
      <w:r w:rsidR="00AA27F1">
        <w:t>.</w:t>
      </w:r>
    </w:p>
    <w:p w14:paraId="3D8AD2BA" w14:textId="77777777" w:rsidR="00D658A4" w:rsidRPr="004D0DC2" w:rsidRDefault="00D658A4" w:rsidP="00DB77A8">
      <w:pPr>
        <w:numPr>
          <w:ilvl w:val="0"/>
          <w:numId w:val="4"/>
        </w:numPr>
        <w:spacing w:before="240" w:after="240"/>
        <w:ind w:hanging="720"/>
      </w:pPr>
      <w:r w:rsidRPr="004D0DC2">
        <w:t xml:space="preserve">If prior to the formal award, any bidder files a protest with the </w:t>
      </w:r>
      <w:r w:rsidR="00871006" w:rsidRPr="004D0DC2">
        <w:t>DGS</w:t>
      </w:r>
      <w:r w:rsidRPr="004D0DC2">
        <w:t xml:space="preserve"> against the awarding of the contract, the contract shall not be awarded until either the protest has been withdrawn or the </w:t>
      </w:r>
      <w:r w:rsidR="00871006" w:rsidRPr="004D0DC2">
        <w:t xml:space="preserve">DGS </w:t>
      </w:r>
      <w:r w:rsidRPr="004D0DC2">
        <w:t xml:space="preserve">has decided the matter. Within five (5) days after filing the protest, the protesting bidder shall file with the </w:t>
      </w:r>
      <w:r w:rsidR="00871006" w:rsidRPr="004D0DC2">
        <w:t>DGS</w:t>
      </w:r>
      <w:r w:rsidRPr="004D0DC2">
        <w:t>, a full and complete written statement on the grounds that the (protesting) bidder would have been awarded the contract had the CDE correctly applied the evaluation standards in the RFP, or if the CDE followed the evaluation and scoring methods in the RFP. It is suggested that bidders submit any protest by certified or registered mail to:</w:t>
      </w:r>
    </w:p>
    <w:p w14:paraId="3D8AD2BB" w14:textId="73A913C7" w:rsidR="0078554A" w:rsidRPr="004D0DC2" w:rsidRDefault="008528F3" w:rsidP="00132985">
      <w:pPr>
        <w:pStyle w:val="ListParagraph"/>
        <w:numPr>
          <w:ilvl w:val="0"/>
          <w:numId w:val="17"/>
        </w:numPr>
        <w:contextualSpacing w:val="0"/>
      </w:pPr>
      <w:r w:rsidRPr="004D0DC2">
        <w:t xml:space="preserve">California </w:t>
      </w:r>
      <w:r w:rsidR="0078554A" w:rsidRPr="004D0DC2">
        <w:t>Department of Education</w:t>
      </w:r>
    </w:p>
    <w:p w14:paraId="459E33A2" w14:textId="77777777" w:rsidR="008528F3" w:rsidRPr="004D0DC2" w:rsidRDefault="0078554A" w:rsidP="00721E75">
      <w:pPr>
        <w:pStyle w:val="ListParagraph"/>
        <w:ind w:left="1080"/>
        <w:contextualSpacing w:val="0"/>
      </w:pPr>
      <w:r w:rsidRPr="004D0DC2">
        <w:t>Contracts Office</w:t>
      </w:r>
    </w:p>
    <w:p w14:paraId="3D8AD2BC" w14:textId="39511086" w:rsidR="0078554A" w:rsidRPr="004D0DC2" w:rsidRDefault="008528F3" w:rsidP="00721E75">
      <w:pPr>
        <w:pStyle w:val="ListParagraph"/>
        <w:ind w:left="1080"/>
        <w:contextualSpacing w:val="0"/>
      </w:pPr>
      <w:r w:rsidRPr="004D0DC2">
        <w:t xml:space="preserve">Attention: </w:t>
      </w:r>
      <w:r w:rsidR="0078554A" w:rsidRPr="004D0DC2">
        <w:t>Jaymi Brown</w:t>
      </w:r>
    </w:p>
    <w:p w14:paraId="3D8AD2BD" w14:textId="60C9EF97" w:rsidR="0078554A" w:rsidRPr="004D0DC2" w:rsidRDefault="0078554A" w:rsidP="00721E75">
      <w:pPr>
        <w:pStyle w:val="ListParagraph"/>
        <w:ind w:left="1080"/>
        <w:contextualSpacing w:val="0"/>
      </w:pPr>
      <w:r w:rsidRPr="004D0DC2">
        <w:t xml:space="preserve">1430 N Street, Suite </w:t>
      </w:r>
      <w:r w:rsidR="00AA27F1" w:rsidRPr="004D0DC2">
        <w:t>2213</w:t>
      </w:r>
    </w:p>
    <w:p w14:paraId="3D8AD2BE" w14:textId="77777777" w:rsidR="0078554A" w:rsidRPr="004D0DC2" w:rsidRDefault="0078554A" w:rsidP="00721E75">
      <w:pPr>
        <w:pStyle w:val="ListParagraph"/>
        <w:ind w:left="1080"/>
        <w:contextualSpacing w:val="0"/>
      </w:pPr>
      <w:r w:rsidRPr="004D0DC2">
        <w:t>Sacramento, CA 95814</w:t>
      </w:r>
    </w:p>
    <w:p w14:paraId="3D8AD2C0" w14:textId="68F34EFC" w:rsidR="0078554A" w:rsidRPr="004D0DC2" w:rsidRDefault="0078554A" w:rsidP="00721E75">
      <w:pPr>
        <w:pStyle w:val="ListParagraph"/>
        <w:spacing w:after="240"/>
        <w:ind w:left="1080"/>
        <w:contextualSpacing w:val="0"/>
      </w:pPr>
      <w:r w:rsidRPr="004D0DC2">
        <w:t xml:space="preserve">Email: </w:t>
      </w:r>
      <w:hyperlink r:id="rId29" w:tooltip="mail to Jaymi Brown" w:history="1">
        <w:r w:rsidRPr="004D0DC2">
          <w:rPr>
            <w:rStyle w:val="Hyperlink"/>
          </w:rPr>
          <w:t>JaBrown@cde.ca.gov</w:t>
        </w:r>
      </w:hyperlink>
      <w:r w:rsidR="00C1612E" w:rsidRPr="004D0DC2">
        <w:rPr>
          <w:rStyle w:val="Hyperlink"/>
          <w:color w:val="auto"/>
          <w:u w:val="none"/>
        </w:rPr>
        <w:t xml:space="preserve">, with CC: </w:t>
      </w:r>
      <w:hyperlink r:id="rId30" w:history="1">
        <w:r w:rsidR="00C1612E" w:rsidRPr="004D0DC2">
          <w:rPr>
            <w:rStyle w:val="Hyperlink"/>
          </w:rPr>
          <w:t>CONTRACTSOFFICE@cde.ca.gov</w:t>
        </w:r>
      </w:hyperlink>
    </w:p>
    <w:p w14:paraId="3D8AD2C1" w14:textId="77777777" w:rsidR="0078554A" w:rsidRPr="004D0DC2" w:rsidRDefault="0078554A" w:rsidP="00132985">
      <w:pPr>
        <w:pStyle w:val="ListParagraph"/>
        <w:numPr>
          <w:ilvl w:val="0"/>
          <w:numId w:val="17"/>
        </w:numPr>
        <w:contextualSpacing w:val="0"/>
      </w:pPr>
      <w:r w:rsidRPr="004D0DC2">
        <w:t>Department of General Services</w:t>
      </w:r>
    </w:p>
    <w:p w14:paraId="2A751D43" w14:textId="77777777" w:rsidR="008528F3" w:rsidRPr="004D0DC2" w:rsidRDefault="0078554A" w:rsidP="00721E75">
      <w:pPr>
        <w:pStyle w:val="ListParagraph"/>
        <w:ind w:left="1080"/>
        <w:contextualSpacing w:val="0"/>
      </w:pPr>
      <w:r w:rsidRPr="004D0DC2">
        <w:t>Office of Legal Services</w:t>
      </w:r>
    </w:p>
    <w:p w14:paraId="3D8AD2C2" w14:textId="683FAC93" w:rsidR="0078554A" w:rsidRPr="004D0DC2" w:rsidRDefault="008528F3" w:rsidP="00721E75">
      <w:pPr>
        <w:pStyle w:val="ListParagraph"/>
        <w:ind w:left="1080"/>
        <w:contextualSpacing w:val="0"/>
      </w:pPr>
      <w:r w:rsidRPr="004D0DC2">
        <w:t>Attention: Bid</w:t>
      </w:r>
      <w:r w:rsidR="0078554A" w:rsidRPr="004D0DC2">
        <w:t xml:space="preserve"> Protest Coordinator</w:t>
      </w:r>
    </w:p>
    <w:p w14:paraId="3D8AD2C3" w14:textId="0EEB921E" w:rsidR="0078554A" w:rsidRPr="004D0DC2" w:rsidRDefault="0078554A" w:rsidP="00721E75">
      <w:pPr>
        <w:pStyle w:val="ListParagraph"/>
        <w:ind w:left="1080"/>
        <w:contextualSpacing w:val="0"/>
      </w:pPr>
      <w:r w:rsidRPr="004D0DC2">
        <w:t>707 Third Street, 7</w:t>
      </w:r>
      <w:r w:rsidRPr="004D0DC2">
        <w:rPr>
          <w:vertAlign w:val="superscript"/>
        </w:rPr>
        <w:t>th</w:t>
      </w:r>
      <w:r w:rsidRPr="004D0DC2">
        <w:t xml:space="preserve"> Floor</w:t>
      </w:r>
      <w:r w:rsidR="008528F3" w:rsidRPr="004D0DC2">
        <w:t>, Suite 7-330</w:t>
      </w:r>
    </w:p>
    <w:p w14:paraId="3D8AD2C4" w14:textId="77777777" w:rsidR="0078554A" w:rsidRPr="004D0DC2" w:rsidRDefault="0078554A" w:rsidP="00721E75">
      <w:pPr>
        <w:pStyle w:val="ListParagraph"/>
        <w:ind w:left="1080"/>
        <w:contextualSpacing w:val="0"/>
      </w:pPr>
      <w:r w:rsidRPr="004D0DC2">
        <w:t>West Sacramento, CA 95605</w:t>
      </w:r>
    </w:p>
    <w:p w14:paraId="3D8AD2C5" w14:textId="592A1A59" w:rsidR="00B16AD9" w:rsidRPr="004D0DC2" w:rsidRDefault="008528F3" w:rsidP="00721E75">
      <w:pPr>
        <w:pStyle w:val="ListParagraph"/>
        <w:ind w:left="1080"/>
        <w:contextualSpacing w:val="0"/>
        <w:rPr>
          <w:b/>
        </w:rPr>
      </w:pPr>
      <w:r w:rsidRPr="004D0DC2">
        <w:t xml:space="preserve">Bid Protest Coordinator Email: </w:t>
      </w:r>
      <w:hyperlink r:id="rId31" w:history="1">
        <w:r w:rsidRPr="004D0DC2">
          <w:rPr>
            <w:rStyle w:val="Hyperlink"/>
          </w:rPr>
          <w:t>OLSProtests@dgs.ca.gov</w:t>
        </w:r>
      </w:hyperlink>
    </w:p>
    <w:p w14:paraId="3D8AD2C8" w14:textId="4F6F8CD4" w:rsidR="0047459D" w:rsidRPr="004D0DC2" w:rsidRDefault="00C426A0" w:rsidP="00E43B4A">
      <w:pPr>
        <w:pStyle w:val="Heading2"/>
      </w:pPr>
      <w:r>
        <w:br w:type="page"/>
      </w:r>
      <w:bookmarkStart w:id="15" w:name="_Toc210913298"/>
      <w:r>
        <w:lastRenderedPageBreak/>
        <w:t>6</w:t>
      </w:r>
      <w:r w:rsidR="002656A6">
        <w:t>. S</w:t>
      </w:r>
      <w:r w:rsidR="00471BC1">
        <w:t>TANDARD CONDITIONS OF SERVICE</w:t>
      </w:r>
      <w:bookmarkEnd w:id="15"/>
    </w:p>
    <w:p w14:paraId="5070AAF7" w14:textId="4BC03DF9" w:rsidR="004564C9" w:rsidRPr="004D0DC2" w:rsidRDefault="004564C9" w:rsidP="00DB77A8">
      <w:pPr>
        <w:keepNext/>
        <w:keepLines/>
        <w:numPr>
          <w:ilvl w:val="0"/>
          <w:numId w:val="3"/>
        </w:numPr>
        <w:spacing w:before="240" w:after="240"/>
        <w:ind w:hanging="720"/>
        <w:rPr>
          <w:rFonts w:eastAsia="Times New Roman" w:cs="Arial"/>
          <w:snapToGrid w:val="0"/>
          <w:szCs w:val="20"/>
        </w:rPr>
      </w:pPr>
      <w:r w:rsidRPr="004D0DC2">
        <w:t>Award of a contract as a result of the RFP shall be contingent on DGS approval, CDE executive approval, funding and program authorization provided to and by the CDE.</w:t>
      </w:r>
    </w:p>
    <w:p w14:paraId="3D8AD2C9" w14:textId="0D5BB095" w:rsidR="00401B74" w:rsidRPr="004D0DC2" w:rsidRDefault="00401B74" w:rsidP="00DB77A8">
      <w:pPr>
        <w:keepNext/>
        <w:keepLines/>
        <w:numPr>
          <w:ilvl w:val="0"/>
          <w:numId w:val="3"/>
        </w:numPr>
        <w:spacing w:before="240" w:after="240"/>
        <w:ind w:hanging="720"/>
        <w:rPr>
          <w:rFonts w:eastAsia="Times New Roman" w:cs="Arial"/>
          <w:snapToGrid w:val="0"/>
          <w:szCs w:val="20"/>
        </w:rPr>
      </w:pPr>
      <w:r w:rsidRPr="004D0DC2">
        <w:rPr>
          <w:rFonts w:eastAsia="Times New Roman" w:cs="Arial"/>
          <w:snapToGrid w:val="0"/>
          <w:szCs w:val="20"/>
        </w:rPr>
        <w:t xml:space="preserve">Service shall be available no sooner than the express date set by </w:t>
      </w:r>
      <w:r w:rsidR="00C770BD" w:rsidRPr="004D0DC2">
        <w:rPr>
          <w:rFonts w:eastAsia="Times New Roman" w:cs="Arial"/>
          <w:snapToGrid w:val="0"/>
          <w:szCs w:val="20"/>
        </w:rPr>
        <w:t xml:space="preserve">the </w:t>
      </w:r>
      <w:r w:rsidRPr="004D0DC2">
        <w:rPr>
          <w:rFonts w:eastAsia="Times New Roman" w:cs="Arial"/>
          <w:snapToGrid w:val="0"/>
          <w:szCs w:val="20"/>
        </w:rPr>
        <w:t xml:space="preserve">CDE and the </w:t>
      </w:r>
      <w:r w:rsidR="0002661D" w:rsidRPr="004D0DC2">
        <w:rPr>
          <w:rFonts w:eastAsia="Times New Roman" w:cs="Arial"/>
          <w:snapToGrid w:val="0"/>
          <w:szCs w:val="20"/>
        </w:rPr>
        <w:t>b</w:t>
      </w:r>
      <w:r w:rsidRPr="004D0DC2">
        <w:rPr>
          <w:rFonts w:eastAsia="Times New Roman" w:cs="Arial"/>
          <w:snapToGrid w:val="0"/>
          <w:szCs w:val="20"/>
        </w:rPr>
        <w:t xml:space="preserve">idder, after all approvals have been obtained and the contract is fully executed. Should the </w:t>
      </w:r>
      <w:r w:rsidR="0002661D" w:rsidRPr="004D0DC2">
        <w:rPr>
          <w:rFonts w:eastAsia="Times New Roman" w:cs="Arial"/>
          <w:snapToGrid w:val="0"/>
          <w:szCs w:val="20"/>
        </w:rPr>
        <w:t>b</w:t>
      </w:r>
      <w:r w:rsidRPr="004D0DC2">
        <w:rPr>
          <w:rFonts w:eastAsia="Times New Roman" w:cs="Arial"/>
          <w:snapToGrid w:val="0"/>
          <w:szCs w:val="20"/>
        </w:rPr>
        <w:t xml:space="preserve">idder fail to commence work at the agreed upon time, </w:t>
      </w:r>
      <w:r w:rsidR="00C770BD" w:rsidRPr="004D0DC2">
        <w:rPr>
          <w:rFonts w:eastAsia="Times New Roman" w:cs="Arial"/>
          <w:snapToGrid w:val="0"/>
          <w:szCs w:val="20"/>
        </w:rPr>
        <w:t xml:space="preserve">the </w:t>
      </w:r>
      <w:r w:rsidRPr="004D0DC2">
        <w:rPr>
          <w:rFonts w:eastAsia="Times New Roman" w:cs="Arial"/>
          <w:snapToGrid w:val="0"/>
          <w:szCs w:val="20"/>
        </w:rPr>
        <w:t xml:space="preserve">CDE, upon five (5) days written notice to the Contractor, reserves the right to terminate the Agreement. In addition, the proposer shall be liable to the State for the difference between the </w:t>
      </w:r>
      <w:r w:rsidR="0002661D" w:rsidRPr="004D0DC2">
        <w:rPr>
          <w:rFonts w:eastAsia="Times New Roman" w:cs="Arial"/>
          <w:snapToGrid w:val="0"/>
          <w:szCs w:val="20"/>
        </w:rPr>
        <w:t>b</w:t>
      </w:r>
      <w:r w:rsidRPr="004D0DC2">
        <w:rPr>
          <w:rFonts w:eastAsia="Times New Roman" w:cs="Arial"/>
          <w:snapToGrid w:val="0"/>
          <w:szCs w:val="20"/>
        </w:rPr>
        <w:t xml:space="preserve">idder’s </w:t>
      </w:r>
      <w:r w:rsidR="002B5835" w:rsidRPr="004D0DC2">
        <w:rPr>
          <w:rFonts w:eastAsia="Times New Roman" w:cs="Arial"/>
          <w:snapToGrid w:val="0"/>
          <w:szCs w:val="20"/>
        </w:rPr>
        <w:t>Cost Proposal</w:t>
      </w:r>
      <w:r w:rsidR="002B5835" w:rsidRPr="004D0DC2" w:rsidDel="002B5835">
        <w:rPr>
          <w:rFonts w:eastAsia="Times New Roman" w:cs="Arial"/>
          <w:snapToGrid w:val="0"/>
          <w:szCs w:val="20"/>
        </w:rPr>
        <w:t xml:space="preserve"> </w:t>
      </w:r>
      <w:r w:rsidRPr="004D0DC2">
        <w:rPr>
          <w:rFonts w:eastAsia="Times New Roman" w:cs="Arial"/>
          <w:snapToGrid w:val="0"/>
          <w:szCs w:val="20"/>
        </w:rPr>
        <w:t>price and the actual cost of performing work by the second lowest proposer or by another Contractor.</w:t>
      </w:r>
    </w:p>
    <w:p w14:paraId="558CBD6A" w14:textId="29164F67" w:rsidR="004564C9" w:rsidRPr="004D0DC2" w:rsidRDefault="004564C9" w:rsidP="004564C9">
      <w:pPr>
        <w:widowControl w:val="0"/>
        <w:numPr>
          <w:ilvl w:val="0"/>
          <w:numId w:val="3"/>
        </w:numPr>
        <w:spacing w:before="240" w:after="240"/>
        <w:ind w:hanging="720"/>
        <w:rPr>
          <w:rFonts w:eastAsia="Times New Roman" w:cs="Arial"/>
          <w:b/>
          <w:snapToGrid w:val="0"/>
          <w:szCs w:val="20"/>
        </w:rPr>
      </w:pPr>
      <w:r w:rsidRPr="004D0DC2">
        <w:t>All proposals and related documents submitted in response to this RFP shall become the property of the State of California. Pursuant to the Public Contract Code and all other applicable laws, all proposals and related documents will be made available in their entirety for public inspection and reproduction. Submission of a proposal constitutes acceptance of the terms.</w:t>
      </w:r>
    </w:p>
    <w:p w14:paraId="5050BE88" w14:textId="1CA4E1B7" w:rsidR="004564C9" w:rsidRPr="004D0DC2" w:rsidRDefault="004564C9" w:rsidP="004564C9">
      <w:pPr>
        <w:widowControl w:val="0"/>
        <w:numPr>
          <w:ilvl w:val="0"/>
          <w:numId w:val="3"/>
        </w:numPr>
        <w:spacing w:before="240" w:after="240"/>
        <w:ind w:hanging="720"/>
        <w:rPr>
          <w:rFonts w:eastAsia="Times New Roman" w:cs="Arial"/>
          <w:b/>
          <w:snapToGrid w:val="0"/>
          <w:szCs w:val="20"/>
        </w:rPr>
      </w:pPr>
      <w:r w:rsidRPr="004D0DC2">
        <w:t xml:space="preserve">Sections </w:t>
      </w:r>
      <w:r w:rsidR="00CD2F48" w:rsidRPr="004D0DC2">
        <w:t>7</w:t>
      </w:r>
      <w:r w:rsidRPr="004D0DC2">
        <w:t xml:space="preserve"> through 1</w:t>
      </w:r>
      <w:r w:rsidR="00CD2F48" w:rsidRPr="004D0DC2">
        <w:t>1</w:t>
      </w:r>
      <w:r w:rsidRPr="004D0DC2">
        <w:t xml:space="preserve"> of this RFP and the successful bidder’s Technical and Cost Proposals for the contract will be incorporated into the final contract, which is a public document.</w:t>
      </w:r>
    </w:p>
    <w:p w14:paraId="0B4C77BD" w14:textId="77777777" w:rsidR="004564C9" w:rsidRPr="004D0DC2" w:rsidRDefault="004564C9" w:rsidP="004564C9">
      <w:pPr>
        <w:widowControl w:val="0"/>
        <w:numPr>
          <w:ilvl w:val="0"/>
          <w:numId w:val="3"/>
        </w:numPr>
        <w:spacing w:before="240" w:after="240"/>
        <w:ind w:hanging="720"/>
        <w:rPr>
          <w:rFonts w:eastAsia="Times New Roman" w:cs="Arial"/>
          <w:snapToGrid w:val="0"/>
          <w:szCs w:val="20"/>
        </w:rPr>
      </w:pPr>
      <w:r w:rsidRPr="004D0DC2">
        <w:rPr>
          <w:rFonts w:eastAsia="Times New Roman" w:cs="Arial"/>
          <w:snapToGrid w:val="0"/>
          <w:szCs w:val="20"/>
        </w:rPr>
        <w:t>All performance under the contract shall be completed on or before the termination date of the contract.</w:t>
      </w:r>
    </w:p>
    <w:p w14:paraId="0F9A35E6" w14:textId="77777777" w:rsidR="004564C9" w:rsidRPr="004D0DC2" w:rsidRDefault="004564C9" w:rsidP="004564C9">
      <w:pPr>
        <w:widowControl w:val="0"/>
        <w:numPr>
          <w:ilvl w:val="0"/>
          <w:numId w:val="3"/>
        </w:numPr>
        <w:spacing w:before="240" w:after="240"/>
        <w:ind w:hanging="720"/>
        <w:rPr>
          <w:rFonts w:eastAsia="Times New Roman" w:cs="Arial"/>
          <w:snapToGrid w:val="0"/>
          <w:szCs w:val="20"/>
        </w:rPr>
      </w:pPr>
      <w:r w:rsidRPr="004D0DC2">
        <w:rPr>
          <w:rFonts w:eastAsia="Times New Roman" w:cs="Arial"/>
          <w:snapToGrid w:val="0"/>
          <w:szCs w:val="20"/>
        </w:rPr>
        <w:t>No oral understanding or agreement shall be binding on either party.</w:t>
      </w:r>
    </w:p>
    <w:p w14:paraId="2034C3F7" w14:textId="16C738BE" w:rsidR="00537458" w:rsidRPr="004D0DC2" w:rsidRDefault="004564C9" w:rsidP="54EA1D9A">
      <w:pPr>
        <w:widowControl w:val="0"/>
        <w:numPr>
          <w:ilvl w:val="0"/>
          <w:numId w:val="3"/>
        </w:numPr>
        <w:spacing w:before="240" w:after="240"/>
        <w:ind w:hanging="720"/>
        <w:rPr>
          <w:rFonts w:eastAsia="Times New Roman" w:cs="Arial"/>
          <w:b/>
          <w:bCs/>
        </w:rPr>
      </w:pPr>
      <w:r w:rsidRPr="54EA1D9A">
        <w:rPr>
          <w:rFonts w:eastAsia="Times New Roman" w:cs="Arial"/>
          <w:snapToGrid w:val="0"/>
        </w:rPr>
        <w:t xml:space="preserve">If a bidder is awarded a contract and refuses to sign the contract presented for signature within the time and manner required, the bidder will be liable to the CDE for actual damages resulting to the CDE therefrom or </w:t>
      </w:r>
      <w:r w:rsidR="0DF69B6D" w:rsidRPr="54EA1D9A">
        <w:rPr>
          <w:rFonts w:eastAsia="Times New Roman" w:cs="Arial"/>
          <w:snapToGrid w:val="0"/>
        </w:rPr>
        <w:t>10</w:t>
      </w:r>
      <w:r w:rsidRPr="54EA1D9A">
        <w:rPr>
          <w:rFonts w:eastAsia="Times New Roman" w:cs="Arial"/>
          <w:snapToGrid w:val="0"/>
        </w:rPr>
        <w:t xml:space="preserve"> percent of the amount proposed, whichever is less.</w:t>
      </w:r>
    </w:p>
    <w:p w14:paraId="6AFEADE1" w14:textId="77777777" w:rsidR="009C2737" w:rsidRDefault="009C2737">
      <w:pPr>
        <w:rPr>
          <w:rFonts w:eastAsia="Times New Roman" w:cs="Arial"/>
          <w:b/>
          <w:bCs/>
          <w:iCs/>
          <w:sz w:val="40"/>
          <w:szCs w:val="40"/>
        </w:rPr>
      </w:pPr>
      <w:r>
        <w:br w:type="page"/>
      </w:r>
    </w:p>
    <w:p w14:paraId="3FCE5E21" w14:textId="7627AC02" w:rsidR="00537458" w:rsidRPr="004D0DC2" w:rsidRDefault="00C426A0" w:rsidP="00E43B4A">
      <w:pPr>
        <w:pStyle w:val="Heading2"/>
      </w:pPr>
      <w:bookmarkStart w:id="16" w:name="_Toc210913299"/>
      <w:r w:rsidRPr="004D0DC2">
        <w:lastRenderedPageBreak/>
        <w:t>7</w:t>
      </w:r>
      <w:r w:rsidR="00537458" w:rsidRPr="004D0DC2">
        <w:t>. SCOPE OF PROJECT</w:t>
      </w:r>
      <w:bookmarkEnd w:id="16"/>
    </w:p>
    <w:p w14:paraId="35D94BC4" w14:textId="77777777" w:rsidR="00537458" w:rsidRPr="004D0DC2" w:rsidRDefault="00537458" w:rsidP="00537458">
      <w:pPr>
        <w:spacing w:after="240"/>
        <w:rPr>
          <w:rFonts w:eastAsia="Times New Roman" w:cs="Arial"/>
          <w:bCs/>
          <w:snapToGrid w:val="0"/>
          <w:szCs w:val="20"/>
        </w:rPr>
      </w:pPr>
      <w:r w:rsidRPr="004D0DC2">
        <w:rPr>
          <w:rFonts w:eastAsia="Times New Roman" w:cs="Arial"/>
          <w:bCs/>
          <w:snapToGrid w:val="0"/>
          <w:szCs w:val="20"/>
        </w:rPr>
        <w:t>The Contractor must plan and budget for the costs of all tasks/subtasks and activities. The Technical Proposal may not contain any cost information.</w:t>
      </w:r>
    </w:p>
    <w:p w14:paraId="6C3C73B2" w14:textId="77777777" w:rsidR="00537458" w:rsidRPr="002171EE" w:rsidRDefault="00537458" w:rsidP="00537458">
      <w:pPr>
        <w:spacing w:after="240"/>
        <w:rPr>
          <w:rFonts w:eastAsia="Times New Roman" w:cs="Arial"/>
          <w:bCs/>
          <w:snapToGrid w:val="0"/>
          <w:szCs w:val="20"/>
        </w:rPr>
      </w:pPr>
      <w:r w:rsidRPr="004D0DC2">
        <w:rPr>
          <w:rFonts w:eastAsia="Times New Roman" w:cs="Arial"/>
          <w:bCs/>
          <w:snapToGrid w:val="0"/>
          <w:szCs w:val="20"/>
        </w:rPr>
        <w:t xml:space="preserve">The successful bidder must comply with all relevant laws and regulations in the performance of </w:t>
      </w:r>
      <w:r w:rsidRPr="002171EE">
        <w:rPr>
          <w:rFonts w:eastAsia="Times New Roman" w:cs="Arial"/>
          <w:bCs/>
          <w:snapToGrid w:val="0"/>
          <w:szCs w:val="20"/>
        </w:rPr>
        <w:t>work in furtherance of the contract established pursuant to this procurement.</w:t>
      </w:r>
    </w:p>
    <w:p w14:paraId="662F572B" w14:textId="1353EC2C" w:rsidR="00537458" w:rsidRPr="002171EE" w:rsidRDefault="00537458" w:rsidP="54EA1D9A">
      <w:pPr>
        <w:tabs>
          <w:tab w:val="left" w:pos="720"/>
        </w:tabs>
        <w:spacing w:after="240"/>
        <w:rPr>
          <w:rFonts w:eastAsia="Times New Roman" w:cs="Arial"/>
          <w:snapToGrid w:val="0"/>
        </w:rPr>
      </w:pPr>
      <w:r w:rsidRPr="54EA1D9A">
        <w:rPr>
          <w:rFonts w:cs="Arial"/>
        </w:rPr>
        <w:t xml:space="preserve">The term of the contract is from </w:t>
      </w:r>
      <w:r w:rsidR="00C1612E" w:rsidRPr="54EA1D9A">
        <w:rPr>
          <w:rFonts w:cs="Arial"/>
        </w:rPr>
        <w:t>July</w:t>
      </w:r>
      <w:r w:rsidRPr="54EA1D9A">
        <w:rPr>
          <w:rFonts w:cs="Arial"/>
        </w:rPr>
        <w:t xml:space="preserve"> 1, 202</w:t>
      </w:r>
      <w:r w:rsidR="008039C9" w:rsidRPr="54EA1D9A">
        <w:rPr>
          <w:rFonts w:cs="Arial"/>
        </w:rPr>
        <w:t>6</w:t>
      </w:r>
      <w:r w:rsidRPr="54EA1D9A">
        <w:rPr>
          <w:rFonts w:cs="Arial"/>
        </w:rPr>
        <w:t>, through August 31, 202</w:t>
      </w:r>
      <w:r w:rsidR="008039C9" w:rsidRPr="54EA1D9A">
        <w:rPr>
          <w:rFonts w:cs="Arial"/>
        </w:rPr>
        <w:t>8</w:t>
      </w:r>
      <w:r w:rsidRPr="54EA1D9A">
        <w:rPr>
          <w:rFonts w:cs="Arial"/>
        </w:rPr>
        <w:t xml:space="preserve">, which spans </w:t>
      </w:r>
      <w:r w:rsidR="00C1612E" w:rsidRPr="54EA1D9A">
        <w:rPr>
          <w:rFonts w:cs="Arial"/>
        </w:rPr>
        <w:t>three</w:t>
      </w:r>
      <w:r w:rsidRPr="54EA1D9A">
        <w:rPr>
          <w:rFonts w:cs="Arial"/>
        </w:rPr>
        <w:t xml:space="preserve"> fiscal years, for a total of 2</w:t>
      </w:r>
      <w:r w:rsidR="00C1612E" w:rsidRPr="54EA1D9A">
        <w:rPr>
          <w:rFonts w:cs="Arial"/>
        </w:rPr>
        <w:t>6</w:t>
      </w:r>
      <w:r w:rsidRPr="54EA1D9A">
        <w:rPr>
          <w:rFonts w:cs="Arial"/>
        </w:rPr>
        <w:t xml:space="preserve"> months. </w:t>
      </w:r>
      <w:r w:rsidRPr="54EA1D9A">
        <w:rPr>
          <w:rFonts w:eastAsia="Times New Roman" w:cs="Arial"/>
          <w:snapToGrid w:val="0"/>
        </w:rPr>
        <w:t xml:space="preserve">(Refer to RFP Section </w:t>
      </w:r>
      <w:r w:rsidR="00C1612E" w:rsidRPr="54EA1D9A">
        <w:rPr>
          <w:rFonts w:eastAsia="Times New Roman" w:cs="Arial"/>
          <w:snapToGrid w:val="0"/>
        </w:rPr>
        <w:t>2</w:t>
      </w:r>
      <w:r w:rsidRPr="54EA1D9A">
        <w:rPr>
          <w:rFonts w:eastAsia="Times New Roman" w:cs="Arial"/>
          <w:snapToGrid w:val="0"/>
        </w:rPr>
        <w:t>.8 for the definition of “fiscal year</w:t>
      </w:r>
      <w:r w:rsidR="1D1B76D3" w:rsidRPr="54EA1D9A">
        <w:rPr>
          <w:rFonts w:eastAsia="Times New Roman" w:cs="Arial"/>
          <w:snapToGrid w:val="0"/>
        </w:rPr>
        <w:t>.</w:t>
      </w:r>
      <w:r w:rsidRPr="54EA1D9A">
        <w:rPr>
          <w:rFonts w:eastAsia="Times New Roman" w:cs="Arial"/>
          <w:snapToGrid w:val="0"/>
        </w:rPr>
        <w:t>”) The fiscal years defined in this RFP are as follows:</w:t>
      </w:r>
    </w:p>
    <w:p w14:paraId="66EB000D" w14:textId="2F22DD41" w:rsidR="00537458" w:rsidRPr="002171EE" w:rsidRDefault="00537458" w:rsidP="00C1612E">
      <w:pPr>
        <w:pStyle w:val="ListParagraph"/>
        <w:numPr>
          <w:ilvl w:val="0"/>
          <w:numId w:val="36"/>
        </w:numPr>
        <w:spacing w:after="240"/>
        <w:ind w:left="360" w:hanging="360"/>
        <w:rPr>
          <w:rFonts w:eastAsia="Times New Roman" w:cs="Arial"/>
          <w:bCs/>
          <w:snapToGrid w:val="0"/>
          <w:szCs w:val="20"/>
        </w:rPr>
      </w:pPr>
      <w:r w:rsidRPr="002171EE">
        <w:rPr>
          <w:rFonts w:eastAsia="Times New Roman" w:cs="Arial"/>
          <w:bCs/>
          <w:snapToGrid w:val="0"/>
          <w:szCs w:val="20"/>
        </w:rPr>
        <w:t>202</w:t>
      </w:r>
      <w:r w:rsidR="00B6633B" w:rsidRPr="002171EE">
        <w:rPr>
          <w:rFonts w:eastAsia="Times New Roman" w:cs="Arial"/>
          <w:bCs/>
          <w:snapToGrid w:val="0"/>
          <w:szCs w:val="20"/>
        </w:rPr>
        <w:t>6</w:t>
      </w:r>
      <w:r w:rsidRPr="002171EE">
        <w:rPr>
          <w:rFonts w:eastAsia="Times New Roman" w:cs="Arial"/>
          <w:bCs/>
          <w:snapToGrid w:val="0"/>
          <w:szCs w:val="20"/>
        </w:rPr>
        <w:t>–202</w:t>
      </w:r>
      <w:r w:rsidR="00B6633B" w:rsidRPr="002171EE">
        <w:rPr>
          <w:rFonts w:eastAsia="Times New Roman" w:cs="Arial"/>
          <w:bCs/>
          <w:snapToGrid w:val="0"/>
          <w:szCs w:val="20"/>
        </w:rPr>
        <w:t>7</w:t>
      </w:r>
      <w:r w:rsidRPr="002171EE">
        <w:rPr>
          <w:rFonts w:eastAsia="Times New Roman" w:cs="Arial"/>
          <w:bCs/>
          <w:snapToGrid w:val="0"/>
          <w:szCs w:val="20"/>
        </w:rPr>
        <w:t>: July 1, 202</w:t>
      </w:r>
      <w:r w:rsidR="008039C9" w:rsidRPr="002171EE">
        <w:rPr>
          <w:rFonts w:eastAsia="Times New Roman" w:cs="Arial"/>
          <w:bCs/>
          <w:snapToGrid w:val="0"/>
          <w:szCs w:val="20"/>
        </w:rPr>
        <w:t>6</w:t>
      </w:r>
      <w:r w:rsidRPr="002171EE">
        <w:rPr>
          <w:rFonts w:eastAsia="Times New Roman" w:cs="Arial"/>
          <w:bCs/>
          <w:snapToGrid w:val="0"/>
          <w:szCs w:val="20"/>
        </w:rPr>
        <w:t xml:space="preserve"> – June 30, 202</w:t>
      </w:r>
      <w:r w:rsidR="008039C9" w:rsidRPr="002171EE">
        <w:rPr>
          <w:rFonts w:eastAsia="Times New Roman" w:cs="Arial"/>
          <w:bCs/>
          <w:snapToGrid w:val="0"/>
          <w:szCs w:val="20"/>
        </w:rPr>
        <w:t>7</w:t>
      </w:r>
    </w:p>
    <w:p w14:paraId="606DF146" w14:textId="5478446E" w:rsidR="00537458" w:rsidRPr="002171EE" w:rsidRDefault="00537458" w:rsidP="00C1612E">
      <w:pPr>
        <w:pStyle w:val="ListParagraph"/>
        <w:numPr>
          <w:ilvl w:val="0"/>
          <w:numId w:val="36"/>
        </w:numPr>
        <w:spacing w:after="240"/>
        <w:ind w:left="360" w:hanging="360"/>
        <w:rPr>
          <w:rFonts w:eastAsia="Times New Roman" w:cs="Arial"/>
          <w:bCs/>
          <w:snapToGrid w:val="0"/>
          <w:szCs w:val="20"/>
        </w:rPr>
      </w:pPr>
      <w:r w:rsidRPr="002171EE">
        <w:rPr>
          <w:rFonts w:eastAsia="Times New Roman" w:cs="Arial"/>
          <w:bCs/>
          <w:snapToGrid w:val="0"/>
          <w:szCs w:val="20"/>
        </w:rPr>
        <w:t>202</w:t>
      </w:r>
      <w:r w:rsidR="00B6633B" w:rsidRPr="002171EE">
        <w:rPr>
          <w:rFonts w:eastAsia="Times New Roman" w:cs="Arial"/>
          <w:bCs/>
          <w:snapToGrid w:val="0"/>
          <w:szCs w:val="20"/>
        </w:rPr>
        <w:t>7</w:t>
      </w:r>
      <w:r w:rsidRPr="002171EE">
        <w:rPr>
          <w:rFonts w:eastAsia="Times New Roman" w:cs="Arial"/>
          <w:bCs/>
          <w:snapToGrid w:val="0"/>
          <w:szCs w:val="20"/>
        </w:rPr>
        <w:t>–202</w:t>
      </w:r>
      <w:r w:rsidR="00B6633B" w:rsidRPr="002171EE">
        <w:rPr>
          <w:rFonts w:eastAsia="Times New Roman" w:cs="Arial"/>
          <w:bCs/>
          <w:snapToGrid w:val="0"/>
          <w:szCs w:val="20"/>
        </w:rPr>
        <w:t>8</w:t>
      </w:r>
      <w:r w:rsidRPr="002171EE">
        <w:rPr>
          <w:rFonts w:eastAsia="Times New Roman" w:cs="Arial"/>
          <w:bCs/>
          <w:snapToGrid w:val="0"/>
          <w:szCs w:val="20"/>
        </w:rPr>
        <w:t>: July 1, 202</w:t>
      </w:r>
      <w:r w:rsidR="008039C9" w:rsidRPr="002171EE">
        <w:rPr>
          <w:rFonts w:eastAsia="Times New Roman" w:cs="Arial"/>
          <w:bCs/>
          <w:snapToGrid w:val="0"/>
          <w:szCs w:val="20"/>
        </w:rPr>
        <w:t>7</w:t>
      </w:r>
      <w:r w:rsidRPr="002171EE">
        <w:rPr>
          <w:rFonts w:eastAsia="Times New Roman" w:cs="Arial"/>
          <w:bCs/>
          <w:snapToGrid w:val="0"/>
          <w:szCs w:val="20"/>
        </w:rPr>
        <w:t xml:space="preserve"> – June 30, 202</w:t>
      </w:r>
      <w:r w:rsidR="008039C9" w:rsidRPr="002171EE">
        <w:rPr>
          <w:rFonts w:eastAsia="Times New Roman" w:cs="Arial"/>
          <w:bCs/>
          <w:snapToGrid w:val="0"/>
          <w:szCs w:val="20"/>
        </w:rPr>
        <w:t>8</w:t>
      </w:r>
    </w:p>
    <w:p w14:paraId="74CE029D" w14:textId="2682D7D5" w:rsidR="00537458" w:rsidRPr="002171EE" w:rsidRDefault="00537458" w:rsidP="00C1612E">
      <w:pPr>
        <w:pStyle w:val="ListParagraph"/>
        <w:numPr>
          <w:ilvl w:val="0"/>
          <w:numId w:val="36"/>
        </w:numPr>
        <w:spacing w:after="240"/>
        <w:ind w:left="360" w:hanging="360"/>
        <w:rPr>
          <w:rFonts w:eastAsia="Times New Roman" w:cs="Arial"/>
          <w:bCs/>
          <w:snapToGrid w:val="0"/>
          <w:szCs w:val="20"/>
        </w:rPr>
      </w:pPr>
      <w:r w:rsidRPr="002171EE">
        <w:rPr>
          <w:rFonts w:eastAsia="Times New Roman" w:cs="Arial"/>
          <w:bCs/>
          <w:snapToGrid w:val="0"/>
          <w:szCs w:val="20"/>
        </w:rPr>
        <w:t>202</w:t>
      </w:r>
      <w:r w:rsidR="00B6633B" w:rsidRPr="002171EE">
        <w:rPr>
          <w:rFonts w:eastAsia="Times New Roman" w:cs="Arial"/>
          <w:bCs/>
          <w:snapToGrid w:val="0"/>
          <w:szCs w:val="20"/>
        </w:rPr>
        <w:t>8</w:t>
      </w:r>
      <w:r w:rsidRPr="002171EE">
        <w:rPr>
          <w:rFonts w:eastAsia="Times New Roman" w:cs="Arial"/>
          <w:bCs/>
          <w:snapToGrid w:val="0"/>
          <w:szCs w:val="20"/>
        </w:rPr>
        <w:t>–202</w:t>
      </w:r>
      <w:r w:rsidR="00B6633B" w:rsidRPr="002171EE">
        <w:rPr>
          <w:rFonts w:eastAsia="Times New Roman" w:cs="Arial"/>
          <w:bCs/>
          <w:snapToGrid w:val="0"/>
          <w:szCs w:val="20"/>
        </w:rPr>
        <w:t>9</w:t>
      </w:r>
      <w:r w:rsidRPr="002171EE">
        <w:rPr>
          <w:rFonts w:eastAsia="Times New Roman" w:cs="Arial"/>
          <w:bCs/>
          <w:snapToGrid w:val="0"/>
          <w:szCs w:val="20"/>
        </w:rPr>
        <w:t>: July 1, 202</w:t>
      </w:r>
      <w:r w:rsidR="008039C9" w:rsidRPr="002171EE">
        <w:rPr>
          <w:rFonts w:eastAsia="Times New Roman" w:cs="Arial"/>
          <w:bCs/>
          <w:snapToGrid w:val="0"/>
          <w:szCs w:val="20"/>
        </w:rPr>
        <w:t>8</w:t>
      </w:r>
      <w:r w:rsidRPr="002171EE">
        <w:rPr>
          <w:rFonts w:eastAsia="Times New Roman" w:cs="Arial"/>
          <w:bCs/>
          <w:snapToGrid w:val="0"/>
          <w:szCs w:val="20"/>
        </w:rPr>
        <w:t xml:space="preserve"> – August 31, 202</w:t>
      </w:r>
      <w:r w:rsidR="008039C9" w:rsidRPr="002171EE">
        <w:rPr>
          <w:rFonts w:eastAsia="Times New Roman" w:cs="Arial"/>
          <w:bCs/>
          <w:snapToGrid w:val="0"/>
          <w:szCs w:val="20"/>
        </w:rPr>
        <w:t>8</w:t>
      </w:r>
    </w:p>
    <w:p w14:paraId="1E47285D" w14:textId="613B6285" w:rsidR="00537458" w:rsidRPr="002171EE" w:rsidRDefault="00537458" w:rsidP="00537458">
      <w:pPr>
        <w:spacing w:after="240"/>
      </w:pPr>
      <w:r w:rsidRPr="002171EE">
        <w:t>At the sole discretion of the CDE, the contract may be extended by written agreement and formal amendment between the parties, for an additional year (12 months) beginning September 1, 202</w:t>
      </w:r>
      <w:r w:rsidR="008039C9" w:rsidRPr="002171EE">
        <w:t>8</w:t>
      </w:r>
      <w:r w:rsidRPr="002171EE">
        <w:t xml:space="preserve"> through August 31, 202</w:t>
      </w:r>
      <w:r w:rsidR="008039C9" w:rsidRPr="002171EE">
        <w:t>9</w:t>
      </w:r>
      <w:r w:rsidRPr="002171EE">
        <w:t xml:space="preserve">, at the same or lower rates, under the same terms and conditions. (Refer to RFP Section </w:t>
      </w:r>
      <w:r w:rsidR="00CD2F48" w:rsidRPr="002171EE">
        <w:t>2</w:t>
      </w:r>
      <w:r w:rsidRPr="002171EE">
        <w:t>.4.3)</w:t>
      </w:r>
    </w:p>
    <w:p w14:paraId="2AE43DD8" w14:textId="3E3F8167" w:rsidR="00537458" w:rsidRPr="004D0DC2" w:rsidRDefault="00537458" w:rsidP="00537458">
      <w:pPr>
        <w:spacing w:after="240"/>
        <w:rPr>
          <w:rFonts w:eastAsia="Times New Roman" w:cs="Arial"/>
          <w:bCs/>
          <w:snapToGrid w:val="0"/>
          <w:szCs w:val="20"/>
        </w:rPr>
      </w:pPr>
      <w:r w:rsidRPr="004D0DC2">
        <w:t xml:space="preserve">Proposals must be submitted for the performance of all tasks described herein. Any deviation from the tasks described in Section </w:t>
      </w:r>
      <w:r w:rsidR="00DC395C" w:rsidRPr="004D0DC2">
        <w:t>7</w:t>
      </w:r>
      <w:r w:rsidRPr="004D0DC2">
        <w:t xml:space="preserve"> (Scope of Project) </w:t>
      </w:r>
      <w:r w:rsidRPr="002171EE">
        <w:t>will not be considered and will cause a proposal to be rejected.</w:t>
      </w:r>
      <w:r w:rsidRPr="002171EE">
        <w:rPr>
          <w:rFonts w:eastAsia="Times New Roman" w:cs="Arial"/>
          <w:bCs/>
          <w:snapToGrid w:val="0"/>
          <w:szCs w:val="20"/>
        </w:rPr>
        <w:t xml:space="preserve"> This RFP seeks proposals addressing </w:t>
      </w:r>
      <w:r w:rsidR="009C2737">
        <w:rPr>
          <w:rFonts w:eastAsia="Times New Roman" w:cs="Arial"/>
          <w:bCs/>
          <w:snapToGrid w:val="0"/>
          <w:szCs w:val="20"/>
        </w:rPr>
        <w:t>four</w:t>
      </w:r>
      <w:r w:rsidR="009C2737" w:rsidRPr="002171EE">
        <w:rPr>
          <w:rFonts w:eastAsia="Times New Roman" w:cs="Arial"/>
          <w:bCs/>
          <w:snapToGrid w:val="0"/>
          <w:szCs w:val="20"/>
        </w:rPr>
        <w:t xml:space="preserve"> </w:t>
      </w:r>
      <w:r w:rsidRPr="002171EE">
        <w:rPr>
          <w:rFonts w:eastAsia="Times New Roman" w:cs="Arial"/>
          <w:bCs/>
          <w:snapToGrid w:val="0"/>
          <w:szCs w:val="20"/>
        </w:rPr>
        <w:t xml:space="preserve">main </w:t>
      </w:r>
      <w:r w:rsidRPr="004D0DC2">
        <w:rPr>
          <w:rFonts w:eastAsia="Times New Roman" w:cs="Arial"/>
          <w:bCs/>
          <w:snapToGrid w:val="0"/>
          <w:szCs w:val="20"/>
        </w:rPr>
        <w:t>tasks:</w:t>
      </w:r>
    </w:p>
    <w:p w14:paraId="11255AF1" w14:textId="77777777"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Task 1 – Coordination and Communications with the CDE</w:t>
      </w:r>
    </w:p>
    <w:p w14:paraId="611E905D" w14:textId="77777777"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Task 2 – Reports, Invoices, and Data File Requirements</w:t>
      </w:r>
    </w:p>
    <w:p w14:paraId="6C951E31" w14:textId="77777777" w:rsidR="00537458" w:rsidRPr="002171EE" w:rsidRDefault="00537458" w:rsidP="00537458">
      <w:pPr>
        <w:spacing w:after="240"/>
        <w:rPr>
          <w:rFonts w:eastAsia="Times New Roman" w:cs="Arial"/>
          <w:bCs/>
          <w:snapToGrid w:val="0"/>
          <w:szCs w:val="20"/>
        </w:rPr>
      </w:pPr>
      <w:r w:rsidRPr="002171EE">
        <w:rPr>
          <w:rFonts w:eastAsia="Times New Roman" w:cs="Arial"/>
          <w:bCs/>
          <w:snapToGrid w:val="0"/>
          <w:szCs w:val="20"/>
        </w:rPr>
        <w:t>Task 3 – Comprehensive Plan and Schedule for Project Activities and Deliverables</w:t>
      </w:r>
    </w:p>
    <w:p w14:paraId="592DB7F7" w14:textId="3DEE4756" w:rsidR="00537458" w:rsidRPr="002171EE" w:rsidRDefault="00537458" w:rsidP="00537458">
      <w:pPr>
        <w:spacing w:after="240"/>
        <w:rPr>
          <w:rFonts w:eastAsia="Times New Roman" w:cs="Arial"/>
          <w:b/>
          <w:bCs/>
          <w:iCs/>
          <w:sz w:val="32"/>
          <w:szCs w:val="28"/>
        </w:rPr>
      </w:pPr>
      <w:r w:rsidRPr="002171EE">
        <w:rPr>
          <w:rFonts w:eastAsia="Times New Roman" w:cs="Arial"/>
          <w:bCs/>
          <w:snapToGrid w:val="0"/>
          <w:szCs w:val="20"/>
        </w:rPr>
        <w:t xml:space="preserve">Task 4 – </w:t>
      </w:r>
      <w:r w:rsidR="008039C9" w:rsidRPr="002171EE">
        <w:rPr>
          <w:rFonts w:eastAsia="Times New Roman" w:cs="Arial"/>
          <w:bCs/>
          <w:snapToGrid w:val="0"/>
          <w:szCs w:val="20"/>
        </w:rPr>
        <w:t>Professional Development Activities</w:t>
      </w:r>
    </w:p>
    <w:p w14:paraId="48C55EEE" w14:textId="77777777" w:rsidR="009C2737" w:rsidRDefault="009C2737">
      <w:pPr>
        <w:rPr>
          <w:b/>
          <w:snapToGrid w:val="0"/>
          <w:sz w:val="36"/>
          <w:szCs w:val="36"/>
        </w:rPr>
      </w:pPr>
      <w:r>
        <w:br w:type="page"/>
      </w:r>
    </w:p>
    <w:p w14:paraId="49F755B9" w14:textId="4DC63AAA" w:rsidR="00537458" w:rsidRPr="004D0DC2" w:rsidRDefault="00537458" w:rsidP="00F67ED5">
      <w:pPr>
        <w:pStyle w:val="Heading3"/>
      </w:pPr>
      <w:r w:rsidRPr="004D0DC2">
        <w:lastRenderedPageBreak/>
        <w:t>TASK 1 – COORDINATION AND COMMUNICATIONS WITH THE CDE</w:t>
      </w:r>
    </w:p>
    <w:p w14:paraId="30A06FA0" w14:textId="77777777" w:rsidR="00537458" w:rsidRDefault="00537458" w:rsidP="004F4F2E">
      <w:pPr>
        <w:spacing w:after="240"/>
        <w:rPr>
          <w:rFonts w:cs="Arial"/>
          <w:color w:val="000000"/>
          <w:szCs w:val="24"/>
        </w:rPr>
      </w:pPr>
      <w:r w:rsidRPr="004D0DC2">
        <w:rPr>
          <w:rFonts w:cs="Arial"/>
          <w:color w:val="000000"/>
          <w:szCs w:val="24"/>
        </w:rPr>
        <w:t>This section of the Technical Proposal must acknowledge the bidder’s commitment to completing all the requirements specified below in Task 1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1.</w:t>
      </w:r>
    </w:p>
    <w:p w14:paraId="234109F3" w14:textId="3A7BA649" w:rsidR="003B04EF" w:rsidRPr="004D0DC2" w:rsidRDefault="003B04EF" w:rsidP="00537458">
      <w:pPr>
        <w:rPr>
          <w:rFonts w:cs="Arial"/>
          <w:color w:val="000000"/>
          <w:szCs w:val="24"/>
        </w:rPr>
      </w:pPr>
      <w:r>
        <w:rPr>
          <w:rFonts w:cs="Arial"/>
          <w:color w:val="000000"/>
          <w:szCs w:val="24"/>
        </w:rPr>
        <w:t>For all in person meetings and activities, the successful bidder will ensure that i</w:t>
      </w:r>
      <w:r w:rsidRPr="003B04EF">
        <w:rPr>
          <w:rFonts w:cs="Arial"/>
          <w:color w:val="000000"/>
          <w:szCs w:val="24"/>
        </w:rPr>
        <w:t>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the in-person meetings may be cancelled or changed to a virtual meeting at the discretion of the CDE. Therefore, any announcement for the event must state that the event may be in-person, virtual, or both. The CDE cannot reimburse the Contractor for any cancellation fees, deposit or pre-payments under any circumstances, even if the CDE decides to cancel the event.</w:t>
      </w:r>
    </w:p>
    <w:p w14:paraId="15E729AA" w14:textId="25541447" w:rsidR="00537458" w:rsidRPr="004D0DC2" w:rsidRDefault="00537458" w:rsidP="00537458">
      <w:pPr>
        <w:spacing w:before="240" w:after="240"/>
      </w:pPr>
      <w:r w:rsidRPr="004D0DC2">
        <w:rPr>
          <w:rFonts w:cs="Arial"/>
          <w:color w:val="000000"/>
          <w:szCs w:val="24"/>
        </w:rPr>
        <w:t>The successful bidder shall coordinate communications with the CDE during the entire contract period. The successful bidder shall provide timely and accurate communication and coordination with CDE staff and other policy, administrative, and advisory groups; attend and provide minutes for required meetings; adhere to the CDE Approval Schedule Requirements (See Task 1.</w:t>
      </w:r>
      <w:r w:rsidR="003B04EF">
        <w:rPr>
          <w:rFonts w:cs="Arial"/>
          <w:szCs w:val="24"/>
        </w:rPr>
        <w:t>5</w:t>
      </w:r>
      <w:r w:rsidRPr="004D0DC2">
        <w:rPr>
          <w:rFonts w:cs="Arial"/>
          <w:color w:val="000000"/>
          <w:szCs w:val="24"/>
        </w:rPr>
        <w:t xml:space="preserve"> </w:t>
      </w:r>
      <w:r w:rsidRPr="004D0DC2">
        <w:t>– CDE Approval Schedule Requirements</w:t>
      </w:r>
      <w:r w:rsidRPr="004D0DC2">
        <w:rPr>
          <w:rFonts w:cs="Arial"/>
          <w:color w:val="000000"/>
          <w:szCs w:val="24"/>
        </w:rPr>
        <w:t>) for project deliverables. The bidder’s proposal must include the following information to address Task 1 activities which include the following subtasks. The Task 1 activities include, but are not limited to, the following subtasks.</w:t>
      </w:r>
    </w:p>
    <w:p w14:paraId="60361EBF" w14:textId="77777777" w:rsidR="00537458" w:rsidRPr="004D0DC2" w:rsidRDefault="00537458" w:rsidP="00537458">
      <w:pPr>
        <w:pStyle w:val="Heading4"/>
      </w:pPr>
      <w:r w:rsidRPr="004D0DC2">
        <w:t>1.1 Orientation Meeting</w:t>
      </w:r>
    </w:p>
    <w:p w14:paraId="174663E0" w14:textId="481F26D6" w:rsidR="00537458" w:rsidRPr="0001784B" w:rsidRDefault="00537458" w:rsidP="54EA1D9A">
      <w:pPr>
        <w:spacing w:before="240" w:after="240"/>
        <w:rPr>
          <w:rFonts w:cs="Arial"/>
        </w:rPr>
      </w:pPr>
      <w:r w:rsidRPr="54EA1D9A">
        <w:rPr>
          <w:rFonts w:cs="Arial"/>
        </w:rPr>
        <w:t xml:space="preserve">The Technical Proposal must include a detailed plan for conducting an orientation meeting that will occur within the first two weeks of the commencement of this contract. The Technical Proposal must ensure that all key personnel of the prime contractor and any subcontractor(s) including the management team (Project Manager, Fiscal Manager, and any other key personnel identified in Section </w:t>
      </w:r>
      <w:r w:rsidR="00292129" w:rsidRPr="54EA1D9A">
        <w:rPr>
          <w:rFonts w:cs="Arial"/>
        </w:rPr>
        <w:t xml:space="preserve">RFP </w:t>
      </w:r>
      <w:r w:rsidR="00CD2F48" w:rsidRPr="54EA1D9A">
        <w:rPr>
          <w:rFonts w:cs="Arial"/>
        </w:rPr>
        <w:t>3</w:t>
      </w:r>
      <w:r w:rsidRPr="54EA1D9A">
        <w:rPr>
          <w:rFonts w:cs="Arial"/>
        </w:rPr>
        <w:t>.1.3), task leaders, and significant subcontractors will meet in person with the CDE for up to four hours at the CDE headquarters located at 1430 N Street, Sacramento, California 95814.</w:t>
      </w:r>
      <w:r w:rsidR="008039C9" w:rsidRPr="54EA1D9A">
        <w:rPr>
          <w:rFonts w:cs="Arial"/>
        </w:rPr>
        <w:t xml:space="preserve"> The meeting may be conducted by telephone or video conference technology.</w:t>
      </w:r>
    </w:p>
    <w:p w14:paraId="2F1C5E11" w14:textId="57905A39" w:rsidR="002730D0" w:rsidRPr="004D0DC2" w:rsidRDefault="00537458" w:rsidP="00537458">
      <w:pPr>
        <w:spacing w:before="240" w:after="240"/>
        <w:rPr>
          <w:rFonts w:cs="Arial"/>
          <w:szCs w:val="24"/>
        </w:rPr>
      </w:pPr>
      <w:r w:rsidRPr="004D0DC2">
        <w:rPr>
          <w:rFonts w:cs="Arial"/>
          <w:szCs w:val="24"/>
        </w:rPr>
        <w:t xml:space="preserve">The Technical Proposal must acknowledge and ensure that during the orientation meeting, the successful bidder will review each task and subtask(s), the detailed narrative schedule and timeline (See Task 3.1), and staffing regarding the proposed method(s) for implementation of the contract as contained in the bidder’s Technical Proposal. The successful bidder must develop the meeting agenda in coordination with the CDE, take minutes, and, within five working days after the meeting, submit the meeting minutes to the CDE by email for review and approval. The orientation meeting must address all tasks, including timelines, questions, and concerns about the implementation of the contract. </w:t>
      </w:r>
      <w:r w:rsidRPr="004D0DC2">
        <w:t>The bidder must budget for this meeting and include all costs in the Cost Proposal. Do not include any cost information in the Technical Proposal.</w:t>
      </w:r>
    </w:p>
    <w:p w14:paraId="73B6C8A2" w14:textId="77777777" w:rsidR="00537458" w:rsidRPr="004D0DC2" w:rsidRDefault="00537458" w:rsidP="00537458">
      <w:pPr>
        <w:pStyle w:val="Heading4"/>
      </w:pPr>
      <w:r w:rsidRPr="004D0DC2">
        <w:lastRenderedPageBreak/>
        <w:t>1.2 Annual Planning Meeting</w:t>
      </w:r>
    </w:p>
    <w:p w14:paraId="463BD44F" w14:textId="40446688" w:rsidR="00537458" w:rsidRPr="002171EE" w:rsidRDefault="00537458" w:rsidP="00537458">
      <w:pPr>
        <w:spacing w:after="240"/>
        <w:rPr>
          <w:rFonts w:cs="Arial"/>
          <w:szCs w:val="24"/>
        </w:rPr>
      </w:pPr>
      <w:r w:rsidRPr="002171EE">
        <w:rPr>
          <w:rFonts w:cs="Arial"/>
          <w:szCs w:val="24"/>
        </w:rPr>
        <w:t xml:space="preserve">The Technical Proposal must include a detailed plan to coordinate an Annual Planning meeting with CDE that is to occur no later than June 1 annually to confirm the procedures and timeline for implementing subsequent year activities. The Technical Proposal must ensure that all key personnel of the prime contractor and any subcontractor(s) including the management team (Project Manager, Fiscal Manager, and any other key personnel identified in </w:t>
      </w:r>
      <w:r w:rsidR="00292129" w:rsidRPr="002171EE">
        <w:rPr>
          <w:rFonts w:cs="Arial"/>
          <w:szCs w:val="24"/>
        </w:rPr>
        <w:t xml:space="preserve">RFP </w:t>
      </w:r>
      <w:r w:rsidRPr="002171EE">
        <w:rPr>
          <w:rFonts w:cs="Arial"/>
          <w:szCs w:val="24"/>
        </w:rPr>
        <w:t xml:space="preserve">Section </w:t>
      </w:r>
      <w:r w:rsidR="00CD2F48" w:rsidRPr="002171EE">
        <w:rPr>
          <w:rFonts w:cs="Arial"/>
          <w:szCs w:val="24"/>
        </w:rPr>
        <w:t>3</w:t>
      </w:r>
      <w:r w:rsidRPr="002171EE">
        <w:rPr>
          <w:rFonts w:cs="Arial"/>
          <w:szCs w:val="24"/>
        </w:rPr>
        <w:t xml:space="preserve">.1.3), task leaders, and significant subcontractors will meet with the CDE for up to four hours at the CDE headquarters located at 1430 N Street, Sacramento, California 95814. The meeting may be held in person at the CDE headquarters, or may be conducted by telephone or video conference technology. The Technical Proposal must acknowledge and ensure that the meeting must address all tasks, timelines, questions, and concerns related to the project. The Technical Proposal must acknowledge and ensure that during the meeting, the successful bidder will provide a review of all tasks, timelines, task implementation, deliverables, and status as contained in the Technical Proposal. The successful bidder must develop the meeting agenda in coordination with the CDE, take minutes, and, within five working days after the meeting, submit the meeting minutes to the CDE by email for review and approval. </w:t>
      </w:r>
      <w:r w:rsidRPr="002171EE">
        <w:t>The agenda must include the status of all pending activities along with the deadline and person(s) assigned to each activity. The bidder must budget for these meetings and include all costs in the cost proposal. Do not include any cost information in the Technical Proposal.</w:t>
      </w:r>
    </w:p>
    <w:p w14:paraId="004CA302" w14:textId="77777777" w:rsidR="00537458" w:rsidRPr="002171EE" w:rsidRDefault="00537458" w:rsidP="00537458">
      <w:pPr>
        <w:pStyle w:val="Heading4"/>
      </w:pPr>
      <w:r w:rsidRPr="002171EE">
        <w:t>1.3 Management Meetings</w:t>
      </w:r>
    </w:p>
    <w:p w14:paraId="17164212" w14:textId="507040BF" w:rsidR="00537458" w:rsidRPr="002171EE" w:rsidRDefault="00537458" w:rsidP="00537458">
      <w:pPr>
        <w:widowControl w:val="0"/>
        <w:spacing w:after="240"/>
        <w:rPr>
          <w:rFonts w:cs="Arial"/>
          <w:szCs w:val="24"/>
        </w:rPr>
      </w:pPr>
      <w:r w:rsidRPr="002171EE">
        <w:rPr>
          <w:rFonts w:cs="Arial"/>
          <w:szCs w:val="24"/>
        </w:rPr>
        <w:t>The Technical Proposal must include a plan to hold quarterly management meetings between the CDE and the successful bidder’s Project Manager to review and discuss task</w:t>
      </w:r>
      <w:r w:rsidR="00EF6C6D">
        <w:rPr>
          <w:rFonts w:cs="Arial"/>
          <w:szCs w:val="24"/>
        </w:rPr>
        <w:t>/subtask</w:t>
      </w:r>
      <w:r w:rsidRPr="002171EE">
        <w:rPr>
          <w:rFonts w:cs="Arial"/>
          <w:szCs w:val="24"/>
        </w:rPr>
        <w:t xml:space="preserve"> implementation and status. The Technical Proposal must acknowledge and ensure that the successful bidder’s key personnel, including staff and any proposed subcontractors, will be present and must attend, at the request of the CDE, the meetings as appropriate to the task. The meetings </w:t>
      </w:r>
      <w:r w:rsidR="00DB2B3F">
        <w:rPr>
          <w:rFonts w:cs="Arial"/>
          <w:szCs w:val="24"/>
        </w:rPr>
        <w:t>will</w:t>
      </w:r>
      <w:r w:rsidR="00DB2B3F" w:rsidRPr="002171EE">
        <w:rPr>
          <w:rFonts w:cs="Arial"/>
          <w:szCs w:val="24"/>
        </w:rPr>
        <w:t xml:space="preserve"> </w:t>
      </w:r>
      <w:r w:rsidRPr="002171EE">
        <w:rPr>
          <w:rFonts w:cs="Arial"/>
          <w:szCs w:val="24"/>
        </w:rPr>
        <w:t>be held via teleconference. The successful bidder must develop the meeting agenda in coordination with the CDE, take minutes, and, within five working days after the meeting, submit the meeting minutes to the CDE by email for review and approval. The agenda must include but is not limited to the status of all pending activities along with deadline, status, issue(s), and person(s) assigned to each activity.</w:t>
      </w:r>
      <w:r w:rsidRPr="002171EE">
        <w:t xml:space="preserve"> The bidder must budget for these meetings and include all costs in the cost proposal. Do not include any cost information in the Technical Proposal.</w:t>
      </w:r>
    </w:p>
    <w:p w14:paraId="4BF164D0" w14:textId="77777777" w:rsidR="00537458" w:rsidRPr="002171EE" w:rsidRDefault="00537458" w:rsidP="00537458">
      <w:pPr>
        <w:pStyle w:val="Heading4"/>
      </w:pPr>
      <w:r w:rsidRPr="002171EE">
        <w:t>1.4 Professional Development Advisory Board Meetings</w:t>
      </w:r>
    </w:p>
    <w:p w14:paraId="06B55138" w14:textId="142EC956" w:rsidR="00537458" w:rsidRPr="002171EE" w:rsidRDefault="00537458" w:rsidP="00537458">
      <w:pPr>
        <w:spacing w:after="240"/>
      </w:pPr>
      <w:r w:rsidRPr="002171EE">
        <w:t xml:space="preserve">The professional development advisory board (PAB) will provide guidance and feedback to the successful bidder on professional development planning activities. The Technical Proposal must describe in detail how the successful bidder proposes to establish an advisory committee consisting of ten to twelve members representing different types of adult education providers, including but not limited to, local education agencies, community colleges, correctional institutions, CBOs and public libraries. The Technical Proposal must acknowledge and ensure that the successful bidder will collaborate with the CDE to select the members of the PAB. The Technical Proposal must describe in detail how the successful bidder will solicit and select PAB members by October </w:t>
      </w:r>
      <w:r w:rsidR="00D5188E" w:rsidRPr="00D5188E">
        <w:t>5</w:t>
      </w:r>
      <w:r w:rsidR="00CC7C41">
        <w:t xml:space="preserve">, </w:t>
      </w:r>
      <w:r w:rsidRPr="002171EE">
        <w:t>202</w:t>
      </w:r>
      <w:r w:rsidR="008039C9" w:rsidRPr="002171EE">
        <w:t>6</w:t>
      </w:r>
      <w:r w:rsidRPr="002171EE">
        <w:t xml:space="preserve">. The Technical Proposal must acknowledge and ensure that the The Technical Proposal must describe in detail the topics to be discussed at the PAB meetings, these topics may include, but are not limited to, proposed new module(s) to be developed, </w:t>
      </w:r>
      <w:r w:rsidRPr="002171EE">
        <w:lastRenderedPageBreak/>
        <w:t>proposed modules to be revised, professional development outreach to underserved areas, and relevant academic contents.</w:t>
      </w:r>
    </w:p>
    <w:p w14:paraId="2485D129" w14:textId="7C13B4E7" w:rsidR="00537458" w:rsidRPr="002171EE" w:rsidRDefault="00537458" w:rsidP="00537458">
      <w:pPr>
        <w:spacing w:after="240"/>
      </w:pPr>
      <w:r w:rsidRPr="002171EE">
        <w:t>The Technical Proposal must describe in detail how the successful bidder will conduct annual meetings by October of each year, and at least two subsequent meetings per fiscal year, which may be conducted via teleconference, video conference or webinar. The Technical Proposal must acknowledge and ensure that the successful bidder will develop the meeting agenda in coordination with the CDE, take minutes, and, within five working days after the meeting, submit the minutes to the CDE by email for review and approval.</w:t>
      </w:r>
    </w:p>
    <w:p w14:paraId="3CB5D302" w14:textId="493280CE" w:rsidR="00537458" w:rsidRPr="002171EE" w:rsidRDefault="00537458" w:rsidP="00537458">
      <w:pPr>
        <w:pStyle w:val="Heading4"/>
        <w:rPr>
          <w:snapToGrid w:val="0"/>
        </w:rPr>
      </w:pPr>
      <w:r w:rsidRPr="002171EE">
        <w:rPr>
          <w:snapToGrid w:val="0"/>
        </w:rPr>
        <w:t>1.5 CDE Approval Schedule Requirements</w:t>
      </w:r>
    </w:p>
    <w:p w14:paraId="266CC7A6" w14:textId="77777777" w:rsidR="00537458" w:rsidRPr="004D0DC2" w:rsidRDefault="00537458" w:rsidP="00537458">
      <w:pPr>
        <w:spacing w:after="240"/>
      </w:pPr>
      <w:r w:rsidRPr="002171EE">
        <w:t xml:space="preserve">The Technical Proposal must acknowledge and ensure the successful bidder will consult with the CDE for guidance during all work performed during this contract. The CDE has an established review and approval process to document all final deliverables. This process consists of the review of the deliverable by CDE staff and the approval of the deliverable </w:t>
      </w:r>
      <w:r w:rsidRPr="004D0DC2">
        <w:t xml:space="preserve">by the CDE Contract Monitor. This process will be further discussed by the CDE at the orientation meeting. The successful bidder must have thoroughly vetted all deliverables to ensure they are of high quality prior to submitting them to the CDE. The Technical Proposal must include a plan for complying with the CDE review and approval process as well as the CDE Approval Schedule Requirements. The Technical Proposal must acknowledge and ensure that the CDE must approve all materials and/or deliverables developed in conjunction with this contract. </w:t>
      </w:r>
      <w:r w:rsidRPr="004D0DC2">
        <w:rPr>
          <w:rFonts w:cs="Arial"/>
        </w:rPr>
        <w:t xml:space="preserve">The Technical Proposal must acknowledge and ensure that the successful </w:t>
      </w:r>
      <w:r w:rsidRPr="004D0DC2">
        <w:t>bidder may not disseminate any written information, materials, or deliverables to the field, public, or any other third party without the CDE’s prior written approval.</w:t>
      </w:r>
    </w:p>
    <w:p w14:paraId="3633EF91" w14:textId="77777777" w:rsidR="00537458" w:rsidRPr="004D0DC2" w:rsidRDefault="00537458" w:rsidP="00537458">
      <w:pPr>
        <w:spacing w:after="240"/>
      </w:pPr>
      <w:r w:rsidRPr="004D0DC2">
        <w:t>The Technical Proposal must acknowledge and ensure that all materials and/or deliverables submitted to the CDE have been reviewed and approved by the successful bidder’s Project Manager, are free of any typographical or grammatical errors, and are presented in a professional format in adherence with the CDE required style. The Technical Proposal must specify that the bidder will:</w:t>
      </w:r>
    </w:p>
    <w:p w14:paraId="017A535D" w14:textId="77777777" w:rsidR="00537458" w:rsidRPr="004D0DC2" w:rsidRDefault="00537458" w:rsidP="00132985">
      <w:pPr>
        <w:pStyle w:val="ListParagraph"/>
        <w:numPr>
          <w:ilvl w:val="0"/>
          <w:numId w:val="30"/>
        </w:numPr>
        <w:spacing w:after="240"/>
        <w:contextualSpacing w:val="0"/>
      </w:pPr>
      <w:r w:rsidRPr="004D0DC2">
        <w:t>Meet all the requirements for each deliverable as specified in the Scope of Project.</w:t>
      </w:r>
    </w:p>
    <w:p w14:paraId="4CDCC76A" w14:textId="77777777" w:rsidR="00537458" w:rsidRPr="004D0DC2" w:rsidRDefault="00537458" w:rsidP="00132985">
      <w:pPr>
        <w:pStyle w:val="ListParagraph"/>
        <w:numPr>
          <w:ilvl w:val="0"/>
          <w:numId w:val="30"/>
        </w:numPr>
        <w:spacing w:after="240"/>
        <w:contextualSpacing w:val="0"/>
      </w:pPr>
      <w:r w:rsidRPr="004D0DC2">
        <w:t>Submit deliverables that are consistent with and do not conflict with any previously approved deliverable.</w:t>
      </w:r>
    </w:p>
    <w:p w14:paraId="4CDB02ED" w14:textId="32B69E04" w:rsidR="00537458" w:rsidRPr="004D0DC2" w:rsidRDefault="00537458" w:rsidP="54EA1D9A">
      <w:pPr>
        <w:pStyle w:val="ListParagraph"/>
        <w:numPr>
          <w:ilvl w:val="0"/>
          <w:numId w:val="30"/>
        </w:numPr>
        <w:spacing w:after="240"/>
        <w:contextualSpacing w:val="0"/>
      </w:pPr>
      <w:r>
        <w:t>Meet the requirements of the CDE Correspondence Guide and the CDE Style Manual which can be found</w:t>
      </w:r>
      <w:r w:rsidR="4CE3C18A">
        <w:t xml:space="preserve"> on the CDE website</w:t>
      </w:r>
      <w:r>
        <w:t xml:space="preserve"> at </w:t>
      </w:r>
      <w:hyperlink r:id="rId32" w:history="1">
        <w:r w:rsidR="00B206BD" w:rsidRPr="00237D08">
          <w:rPr>
            <w:rStyle w:val="Hyperlink"/>
          </w:rPr>
          <w:t>https://www.cde.ca.gov/re/pn/st/</w:t>
        </w:r>
      </w:hyperlink>
      <w:r w:rsidR="007C07A0">
        <w:t xml:space="preserve">. </w:t>
      </w:r>
    </w:p>
    <w:p w14:paraId="090C261A" w14:textId="77777777" w:rsidR="00537458" w:rsidRPr="004D0DC2" w:rsidRDefault="00537458" w:rsidP="00132985">
      <w:pPr>
        <w:pStyle w:val="ListParagraph"/>
        <w:numPr>
          <w:ilvl w:val="0"/>
          <w:numId w:val="30"/>
        </w:numPr>
        <w:spacing w:after="240"/>
        <w:contextualSpacing w:val="0"/>
      </w:pPr>
      <w:r w:rsidRPr="004D0DC2">
        <w:t>Ensure all task information provided has been reviewed and is accurate for each deliverable as specified in the Scope of Project.</w:t>
      </w:r>
    </w:p>
    <w:p w14:paraId="321E6B6B" w14:textId="7E287228" w:rsidR="00537458" w:rsidRPr="004D0DC2" w:rsidRDefault="00537458" w:rsidP="00132985">
      <w:pPr>
        <w:pStyle w:val="ListParagraph"/>
        <w:numPr>
          <w:ilvl w:val="0"/>
          <w:numId w:val="30"/>
        </w:numPr>
        <w:spacing w:after="240"/>
        <w:contextualSpacing w:val="0"/>
      </w:pPr>
      <w:r w:rsidRPr="004D0DC2">
        <w:t xml:space="preserve">Ensure that all deliverables are consistent with data file requirements as specified in RFP Section </w:t>
      </w:r>
      <w:r w:rsidR="00F766B4" w:rsidRPr="004D0DC2">
        <w:t>7</w:t>
      </w:r>
      <w:r w:rsidRPr="004D0DC2">
        <w:t>, Task 2.3 – Data Files, Reports, and Final Documents.</w:t>
      </w:r>
    </w:p>
    <w:p w14:paraId="540BB5A5" w14:textId="77777777" w:rsidR="00537458" w:rsidRPr="00996AC1" w:rsidRDefault="00537458" w:rsidP="00132985">
      <w:pPr>
        <w:pStyle w:val="ListParagraph"/>
        <w:numPr>
          <w:ilvl w:val="0"/>
          <w:numId w:val="30"/>
        </w:numPr>
        <w:spacing w:after="240"/>
        <w:contextualSpacing w:val="0"/>
      </w:pPr>
      <w:r w:rsidRPr="004D0DC2">
        <w:t xml:space="preserve">Ensure that all deliverables are consistent with and do not conflict with state or federal law, state </w:t>
      </w:r>
      <w:r w:rsidRPr="00996AC1">
        <w:t>regulations, and/or State Board of Education actions.</w:t>
      </w:r>
    </w:p>
    <w:p w14:paraId="6044699C" w14:textId="60CA1903" w:rsidR="00537458" w:rsidRPr="004D0DC2" w:rsidRDefault="00537458" w:rsidP="00132985">
      <w:pPr>
        <w:pStyle w:val="ListParagraph"/>
        <w:numPr>
          <w:ilvl w:val="0"/>
          <w:numId w:val="30"/>
        </w:numPr>
        <w:spacing w:after="240"/>
        <w:contextualSpacing w:val="0"/>
      </w:pPr>
      <w:r w:rsidRPr="004D0DC2">
        <w:lastRenderedPageBreak/>
        <w:t xml:space="preserve">Submit deliverables in a timely manner consistent with the CDE review and approval process as well as the CDE Approved Schedule Requirements and due dates as specified in the Section </w:t>
      </w:r>
      <w:r w:rsidR="00DC395C" w:rsidRPr="004D0DC2">
        <w:t>7</w:t>
      </w:r>
      <w:r w:rsidRPr="004D0DC2">
        <w:t xml:space="preserve"> Scope of Project, state or federal law, and/or state regulations.</w:t>
      </w:r>
    </w:p>
    <w:p w14:paraId="3B946A60" w14:textId="14C2251A" w:rsidR="00537458" w:rsidRPr="004D0DC2" w:rsidRDefault="00537458" w:rsidP="54EA1D9A">
      <w:pPr>
        <w:pStyle w:val="ListParagraph"/>
        <w:numPr>
          <w:ilvl w:val="0"/>
          <w:numId w:val="30"/>
        </w:numPr>
        <w:spacing w:after="240"/>
        <w:contextualSpacing w:val="0"/>
      </w:pPr>
      <w:r>
        <w:t xml:space="preserve">Adhere to the CDE Web Standards including tags for accessibility for all deliverables, including all technical reports and special studies, CDE </w:t>
      </w:r>
      <w:r w:rsidR="00E4342D">
        <w:t>w</w:t>
      </w:r>
      <w:r>
        <w:t xml:space="preserve">eb </w:t>
      </w:r>
      <w:r w:rsidR="00E4342D">
        <w:t>s</w:t>
      </w:r>
      <w:r>
        <w:t xml:space="preserve">tandards which can be found </w:t>
      </w:r>
      <w:r w:rsidR="7E4F7062">
        <w:t xml:space="preserve">on the CDE website </w:t>
      </w:r>
      <w:r>
        <w:t xml:space="preserve">at </w:t>
      </w:r>
      <w:hyperlink r:id="rId33" w:history="1">
        <w:r w:rsidR="00B206BD" w:rsidRPr="00237D08">
          <w:rPr>
            <w:rStyle w:val="Hyperlink"/>
          </w:rPr>
          <w:t>https://www.cde.ca.gov/re/di/ws/webstandards.asp</w:t>
        </w:r>
      </w:hyperlink>
      <w:r w:rsidR="007C07A0">
        <w:t>.</w:t>
      </w:r>
    </w:p>
    <w:p w14:paraId="47C1C382" w14:textId="77777777" w:rsidR="00537458" w:rsidRPr="004D0DC2" w:rsidRDefault="00537458" w:rsidP="00132985">
      <w:pPr>
        <w:pStyle w:val="ListParagraph"/>
        <w:numPr>
          <w:ilvl w:val="0"/>
          <w:numId w:val="30"/>
        </w:numPr>
        <w:spacing w:after="240"/>
        <w:contextualSpacing w:val="0"/>
      </w:pPr>
      <w:r w:rsidRPr="004D0DC2">
        <w:rPr>
          <w:rFonts w:cs="Arial"/>
          <w:szCs w:val="24"/>
        </w:rPr>
        <w:t>Occasional deliverable/report content edits may be required; the CDE reserves the right to modify all project related deliverables after review.</w:t>
      </w:r>
    </w:p>
    <w:p w14:paraId="6F763BDF" w14:textId="3A0CB9B2" w:rsidR="00537458" w:rsidRPr="004D0DC2" w:rsidRDefault="00537458" w:rsidP="00537458">
      <w:pPr>
        <w:spacing w:after="240"/>
      </w:pPr>
      <w:r w:rsidRPr="004D0DC2">
        <w:t>Unless otherwise specified in this RFP or agreed to in writing by the CDE, the Technical Proposal must acknowledge that the successful bidder will:</w:t>
      </w:r>
    </w:p>
    <w:p w14:paraId="25E3DE90" w14:textId="153CAE78" w:rsidR="00537458" w:rsidRPr="004D0DC2" w:rsidRDefault="00537458" w:rsidP="00132985">
      <w:pPr>
        <w:pStyle w:val="ListParagraph"/>
        <w:numPr>
          <w:ilvl w:val="0"/>
          <w:numId w:val="31"/>
        </w:numPr>
        <w:spacing w:after="240"/>
        <w:contextualSpacing w:val="0"/>
      </w:pPr>
      <w:r w:rsidRPr="004D0DC2">
        <w:t>Ensure that there are no fewer than 10 working days for the CDE to initially review any finalized deliverable that has been previously reviewed and approved by the successful bidder’s Project Manager prior to submission to the CDE;</w:t>
      </w:r>
    </w:p>
    <w:p w14:paraId="31DDFA3A" w14:textId="53FDEC09" w:rsidR="00537458" w:rsidRPr="004D0DC2" w:rsidRDefault="00537458" w:rsidP="00132985">
      <w:pPr>
        <w:pStyle w:val="ListParagraph"/>
        <w:numPr>
          <w:ilvl w:val="0"/>
          <w:numId w:val="31"/>
        </w:numPr>
        <w:spacing w:after="240"/>
        <w:contextualSpacing w:val="0"/>
      </w:pPr>
      <w:r w:rsidRPr="004D0DC2">
        <w:t>Ensure that the successful bidder will make all modifications within five working days from receipt of the changes directed by the CDE; and</w:t>
      </w:r>
    </w:p>
    <w:p w14:paraId="2BD55A97" w14:textId="6318D9FC" w:rsidR="00537458" w:rsidRPr="004D0DC2" w:rsidRDefault="00537458" w:rsidP="00132985">
      <w:pPr>
        <w:pStyle w:val="ListParagraph"/>
        <w:numPr>
          <w:ilvl w:val="0"/>
          <w:numId w:val="31"/>
        </w:numPr>
        <w:spacing w:after="240"/>
        <w:contextualSpacing w:val="0"/>
      </w:pPr>
      <w:r w:rsidRPr="004D0DC2">
        <w:t xml:space="preserve">Ensure that the successful bidder will allow the CDE at least five working days to review, and the CDE Contract Monitor </w:t>
      </w:r>
      <w:r w:rsidR="00E4342D" w:rsidRPr="004D0DC2">
        <w:t xml:space="preserve">to </w:t>
      </w:r>
      <w:r w:rsidRPr="004D0DC2">
        <w:t>approve, the modified deliverable that has been reviewed and approved by the successful bidder’s Project Manager prior to re-submission to the CDE.</w:t>
      </w:r>
    </w:p>
    <w:p w14:paraId="33010C54" w14:textId="77777777" w:rsidR="00537458" w:rsidRPr="004D0DC2" w:rsidRDefault="00537458" w:rsidP="00537458">
      <w:pPr>
        <w:pStyle w:val="ListParagraph"/>
        <w:spacing w:after="240"/>
        <w:ind w:left="0"/>
        <w:contextualSpacing w:val="0"/>
      </w:pPr>
      <w:r w:rsidRPr="004D0DC2">
        <w:t>The Technical Proposal must ensure that there are no less than 30 working days for the CDE initial review of final drafts that have been reviewed and approved by the successful bidder’s Project Manager prior to submission to the CDE.</w:t>
      </w:r>
    </w:p>
    <w:p w14:paraId="4A42B234" w14:textId="4A45A12F" w:rsidR="00537458" w:rsidRPr="004D0DC2" w:rsidRDefault="00537458" w:rsidP="00537458">
      <w:pPr>
        <w:spacing w:after="240"/>
      </w:pPr>
      <w:r>
        <w:t xml:space="preserve">The Technical Proposal must include a process to document all approvals, the CDE-requested modifications, and disapprovals from the CDE in writing. If the CDE rejects a deliverable or product as unacceptable, the successful bidder shall make required modifications within the time frame required by the CDE. An approval/sign-off for any deliverable will be provided only when the CDE is satisfied with the deliverable. The successful bidder is responsible for any costs associated with making modifications to deliverables necessary to obtain the CDE approval. (See RFP Section </w:t>
      </w:r>
      <w:r w:rsidR="00CD2F48">
        <w:t>3</w:t>
      </w:r>
      <w:r>
        <w:t xml:space="preserve">.3 – Cost Proposal </w:t>
      </w:r>
      <w:r w:rsidR="7374ABFF">
        <w:t>Requirements.)</w:t>
      </w:r>
      <w:r>
        <w:t xml:space="preserve"> Do not include any cost information in the Technical Proposal.</w:t>
      </w:r>
    </w:p>
    <w:p w14:paraId="7BBB5DDD" w14:textId="77777777" w:rsidR="00537458" w:rsidRPr="004D0DC2" w:rsidRDefault="00537458" w:rsidP="00537458">
      <w:pPr>
        <w:spacing w:after="240"/>
      </w:pPr>
      <w:r w:rsidRPr="004D0DC2">
        <w:t>The Technical Proposal must acknowledge and ensure that, in the event of failure of the successful bidder to obtain prior CDE approval of deliverables or products, the successful bidder shall not be relieved of performing related responsibilities or providing related deliverables and products to the CDE. The proposal must acknowledge that the successful bidder will accept financial responsibility for failure to meet agreed-upon timelines and produce deliverables that are of high quality and satisfactory to the CDE. The CDE is not liable for payment of any work which begins without the bidder consulting the CDE for guidance. Failure to conform to the CDE Approval Schedule Requirements may result in the cancellation of the contract.</w:t>
      </w:r>
    </w:p>
    <w:p w14:paraId="5E0CD37B" w14:textId="179BA6D8" w:rsidR="00537458" w:rsidRPr="004D0DC2" w:rsidRDefault="00537458" w:rsidP="00537458">
      <w:pPr>
        <w:spacing w:after="240"/>
        <w:rPr>
          <w:rFonts w:cs="Arial"/>
          <w:szCs w:val="24"/>
        </w:rPr>
      </w:pPr>
      <w:r w:rsidRPr="004D0DC2">
        <w:rPr>
          <w:rFonts w:cs="Arial"/>
          <w:szCs w:val="24"/>
        </w:rPr>
        <w:t xml:space="preserve">The bidder must acknowledge on the Bidder Certification Sheet (Attachment </w:t>
      </w:r>
      <w:r w:rsidR="000C3DCA" w:rsidRPr="004D0DC2">
        <w:rPr>
          <w:rFonts w:cs="Arial"/>
          <w:szCs w:val="24"/>
        </w:rPr>
        <w:t>3</w:t>
      </w:r>
      <w:r w:rsidRPr="004D0DC2">
        <w:rPr>
          <w:rFonts w:cs="Arial"/>
          <w:szCs w:val="24"/>
        </w:rPr>
        <w:t>) that it will comply with the CDE Approval Schedule requirements.</w:t>
      </w:r>
    </w:p>
    <w:p w14:paraId="2D19FA9D" w14:textId="77777777" w:rsidR="00537458" w:rsidRPr="004D0DC2" w:rsidRDefault="00537458" w:rsidP="00537458">
      <w:pPr>
        <w:pStyle w:val="Heading4"/>
      </w:pPr>
      <w:r w:rsidRPr="004D0DC2">
        <w:lastRenderedPageBreak/>
        <w:t>1.6 Transition of Contracts</w:t>
      </w:r>
    </w:p>
    <w:p w14:paraId="58B02636" w14:textId="1F3926AE" w:rsidR="00537458" w:rsidRPr="002171EE" w:rsidRDefault="00537458" w:rsidP="00537458">
      <w:pPr>
        <w:spacing w:after="240"/>
        <w:rPr>
          <w:rFonts w:cs="Arial"/>
          <w:szCs w:val="24"/>
        </w:rPr>
      </w:pPr>
      <w:r w:rsidRPr="002171EE">
        <w:rPr>
          <w:rFonts w:cs="Arial"/>
          <w:szCs w:val="24"/>
        </w:rPr>
        <w:t>The Technical Proposal must acknowledge the successful bidder’s commitment to completing all the requirements specified below in Task 1.</w:t>
      </w:r>
      <w:r w:rsidR="003F2FA9" w:rsidRPr="002171EE">
        <w:rPr>
          <w:rFonts w:cs="Arial"/>
          <w:szCs w:val="24"/>
        </w:rPr>
        <w:t>6</w:t>
      </w:r>
      <w:r w:rsidRPr="002171EE">
        <w:rPr>
          <w:rFonts w:cs="Arial"/>
          <w:szCs w:val="24"/>
        </w:rPr>
        <w:t xml:space="preserve"> and must provide a description of the approach and methodology by which the successful bidder will accomplish all the associated transition activities. The Technical Proposal must contain sufficient detail to convey the successful bidder’s knowledge of the subjects and skills necessary to successfully complete the project as stated in Task 1.</w:t>
      </w:r>
      <w:r w:rsidR="003F2FA9" w:rsidRPr="002171EE">
        <w:rPr>
          <w:rFonts w:cs="Arial"/>
          <w:szCs w:val="24"/>
        </w:rPr>
        <w:t>6</w:t>
      </w:r>
      <w:r w:rsidRPr="002171EE">
        <w:rPr>
          <w:rFonts w:cs="Arial"/>
          <w:szCs w:val="24"/>
        </w:rPr>
        <w:t>.</w:t>
      </w:r>
    </w:p>
    <w:p w14:paraId="78B6C2E6" w14:textId="6240431A" w:rsidR="00537458" w:rsidRPr="002171EE" w:rsidRDefault="00537458" w:rsidP="00537458">
      <w:pPr>
        <w:spacing w:after="240"/>
        <w:rPr>
          <w:rFonts w:cs="Arial"/>
          <w:szCs w:val="24"/>
        </w:rPr>
      </w:pPr>
      <w:r w:rsidRPr="002171EE">
        <w:t>The Technical Proposal must acknowledge and ensure that the successful bidder awarded the contract, pursuant to this RFP process, must cooperate fully with the CDE and the current or any future contractors selected by the CDE.</w:t>
      </w:r>
    </w:p>
    <w:p w14:paraId="165FF73B" w14:textId="77777777" w:rsidR="00537458" w:rsidRPr="002171EE" w:rsidRDefault="00537458" w:rsidP="00537458">
      <w:pPr>
        <w:spacing w:after="240"/>
      </w:pPr>
      <w:r w:rsidRPr="002171EE">
        <w:t>The successful bidder and any proposed subcontractors must plan and budget for the cost of sending staff to the transition meetings. No costs may be included in the Technical Proposal.</w:t>
      </w:r>
    </w:p>
    <w:p w14:paraId="7A9C47B4" w14:textId="3EB0B5B0" w:rsidR="00537458" w:rsidRPr="002171EE" w:rsidRDefault="00537458" w:rsidP="00132985">
      <w:pPr>
        <w:pStyle w:val="ListParagraph"/>
        <w:numPr>
          <w:ilvl w:val="0"/>
          <w:numId w:val="32"/>
        </w:numPr>
        <w:spacing w:after="240"/>
        <w:contextualSpacing w:val="0"/>
      </w:pPr>
      <w:r w:rsidRPr="002171EE">
        <w:t>The Technical Proposal must describe in detail how the successful bidder proposes to work with the current contractor to obtain all electronic data files and file layouts, including historical data, all supporting documentation, and all other materials developed for the Professional Development contract and on behalf of the CDE.</w:t>
      </w:r>
    </w:p>
    <w:p w14:paraId="5877CA36" w14:textId="77777777" w:rsidR="00537458" w:rsidRPr="002171EE" w:rsidRDefault="00537458" w:rsidP="00537458">
      <w:pPr>
        <w:pStyle w:val="ListParagraph"/>
        <w:spacing w:after="240"/>
        <w:contextualSpacing w:val="0"/>
      </w:pPr>
      <w:r w:rsidRPr="002171EE">
        <w:t>The Technical Proposal must describe in detail how the successful bidder proposes to handle all private, personal, or confidential data to be transmitted from the current contractor. The data must be transferred in a secure manner (see Task 2.3 – Data Files, Reports, and Final Documents).</w:t>
      </w:r>
    </w:p>
    <w:p w14:paraId="06956358" w14:textId="77777777" w:rsidR="00537458" w:rsidRPr="002171EE" w:rsidRDefault="00537458" w:rsidP="00537458">
      <w:pPr>
        <w:pStyle w:val="ListParagraph"/>
        <w:spacing w:after="240"/>
        <w:contextualSpacing w:val="0"/>
      </w:pPr>
      <w:r w:rsidRPr="002171EE">
        <w:t>The Technical Proposal must describe in detail how the successful bidder proposes to organize and manage all information obtained from the current contractor.</w:t>
      </w:r>
    </w:p>
    <w:p w14:paraId="2C10E5C3" w14:textId="565B3A19" w:rsidR="00537458" w:rsidRPr="002171EE" w:rsidRDefault="00537458" w:rsidP="00132985">
      <w:pPr>
        <w:pStyle w:val="ListParagraph"/>
        <w:numPr>
          <w:ilvl w:val="0"/>
          <w:numId w:val="32"/>
        </w:numPr>
        <w:spacing w:after="240"/>
        <w:contextualSpacing w:val="0"/>
      </w:pPr>
      <w:r w:rsidRPr="002171EE">
        <w:t>The Technical Proposal must describe in detail the process that will be used for the effective and seamless transition to the next (future) contractor. The Technical Proposal must acknowledge and ensure that the successful bidder will have staff available to work with the next contractor on transitional aspects of the program, including but not limited to transfer of knowledge, transfer of data, etc.</w:t>
      </w:r>
    </w:p>
    <w:p w14:paraId="1F4B258F" w14:textId="72177172" w:rsidR="00537458" w:rsidRPr="002171EE" w:rsidRDefault="00537458" w:rsidP="00537458">
      <w:pPr>
        <w:pStyle w:val="ListParagraph"/>
        <w:spacing w:after="240"/>
        <w:contextualSpacing w:val="0"/>
      </w:pPr>
      <w:r w:rsidRPr="002171EE">
        <w:t xml:space="preserve">The Technical Proposal must include a detailed plan for a transition meeting in the last year of the contract. A transition meeting with the CDE must be held in </w:t>
      </w:r>
      <w:r w:rsidR="006B4A8C">
        <w:t xml:space="preserve">person in </w:t>
      </w:r>
      <w:r w:rsidRPr="002171EE">
        <w:t>Sacramento, California at the CDE headquarters by June 30 of the last contract year to ensure that all final deliverables are complete or on track for final delivery before the end of the contract.</w:t>
      </w:r>
    </w:p>
    <w:p w14:paraId="3323DE72" w14:textId="736136E3" w:rsidR="00537458" w:rsidRPr="002171EE" w:rsidRDefault="00537458" w:rsidP="54EA1D9A">
      <w:pPr>
        <w:pStyle w:val="ListParagraph"/>
        <w:spacing w:after="240"/>
      </w:pPr>
      <w:r>
        <w:t>The Technical Proposal must describe in detail how the successful bidder proposes to handle all private, personal, or confidential data to be transmitted to the next (future) contractor. The data must be transferred in a secure manner (see Task 2.3 – Data Files, Reports, and Final Documents).</w:t>
      </w:r>
    </w:p>
    <w:p w14:paraId="1B9BB27F" w14:textId="77777777" w:rsidR="006B4A8C" w:rsidRDefault="006B4A8C">
      <w:pPr>
        <w:rPr>
          <w:b/>
          <w:snapToGrid w:val="0"/>
          <w:sz w:val="36"/>
          <w:szCs w:val="36"/>
        </w:rPr>
      </w:pPr>
      <w:r>
        <w:br w:type="page"/>
      </w:r>
    </w:p>
    <w:p w14:paraId="02198C7E" w14:textId="51789FEA" w:rsidR="00537458" w:rsidRPr="002171EE" w:rsidRDefault="00537458" w:rsidP="00F67ED5">
      <w:pPr>
        <w:pStyle w:val="Heading3"/>
        <w:rPr>
          <w:sz w:val="24"/>
        </w:rPr>
      </w:pPr>
      <w:r w:rsidRPr="002171EE">
        <w:lastRenderedPageBreak/>
        <w:t>TASK 2 – REPORTS, INVOICES, AND DATA FILE REQUIREMENTS</w:t>
      </w:r>
    </w:p>
    <w:p w14:paraId="292F5F6B" w14:textId="77777777" w:rsidR="00537458" w:rsidRPr="002171EE" w:rsidRDefault="00537458" w:rsidP="00537458">
      <w:pPr>
        <w:spacing w:before="240" w:after="240"/>
      </w:pPr>
      <w:r w:rsidRPr="002171EE">
        <w:t>This section of the Technical Proposal must acknowledge the bidder’s commitment to completing all the requirements specified below in Task 2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2.</w:t>
      </w:r>
    </w:p>
    <w:p w14:paraId="196C54B5" w14:textId="6C9B01AC" w:rsidR="00537458" w:rsidRPr="004D0DC2" w:rsidRDefault="00537458" w:rsidP="00537458">
      <w:pPr>
        <w:spacing w:before="240" w:after="240"/>
      </w:pPr>
      <w:r w:rsidRPr="002171EE">
        <w:t xml:space="preserve">The successful bidder must adhere to the CDE Approval Schedule Requirements </w:t>
      </w:r>
      <w:r w:rsidRPr="004D0DC2">
        <w:t xml:space="preserve">as stated in </w:t>
      </w:r>
      <w:r w:rsidRPr="002171EE">
        <w:t>Task 1.</w:t>
      </w:r>
      <w:r w:rsidR="003F2FA9" w:rsidRPr="002171EE">
        <w:t>5</w:t>
      </w:r>
      <w:r w:rsidRPr="002171EE">
        <w:t xml:space="preserve"> – </w:t>
      </w:r>
      <w:r w:rsidRPr="002171EE">
        <w:rPr>
          <w:snapToGrid w:val="0"/>
        </w:rPr>
        <w:t xml:space="preserve">CDE Approval Schedule Requirements </w:t>
      </w:r>
      <w:r w:rsidRPr="002171EE">
        <w:t>for generating and delivering required reports/deliverables</w:t>
      </w:r>
      <w:r w:rsidRPr="004D0DC2">
        <w:t>.</w:t>
      </w:r>
    </w:p>
    <w:p w14:paraId="6BFA5D26" w14:textId="77777777" w:rsidR="00537458" w:rsidRPr="004D0DC2" w:rsidRDefault="00537458" w:rsidP="00537458">
      <w:pPr>
        <w:spacing w:before="240" w:after="240"/>
      </w:pPr>
      <w:r w:rsidRPr="004D0DC2">
        <w:t>The Technical Proposal must acknowledge and ensure that the successful bidder shall be responsible for a variety of activities related to reports, invoices, and data file requirements and will adhere to the relative timelines. The Technical Proposal must include the following information to address Task 2 activities which include the following subtasks:</w:t>
      </w:r>
    </w:p>
    <w:p w14:paraId="7ED459E3" w14:textId="77777777" w:rsidR="00537458" w:rsidRPr="004D0DC2" w:rsidRDefault="00537458" w:rsidP="00537458">
      <w:pPr>
        <w:pStyle w:val="Heading4"/>
      </w:pPr>
      <w:r w:rsidRPr="004D0DC2">
        <w:t>2.1 Monthly Written Progress Reports</w:t>
      </w:r>
    </w:p>
    <w:p w14:paraId="17D95C23" w14:textId="77777777" w:rsidR="007C07A0" w:rsidRPr="004D0DC2" w:rsidRDefault="00537458" w:rsidP="00537458">
      <w:pPr>
        <w:pStyle w:val="ListParagraph"/>
        <w:spacing w:before="240" w:after="240"/>
        <w:ind w:left="0"/>
        <w:contextualSpacing w:val="0"/>
      </w:pPr>
      <w:r w:rsidRPr="004D0DC2">
        <w:t xml:space="preserve">The Technical Proposal must include a detailed process for providing monthly written progress reports to the CDE. The Technical Proposal must ensure that at a minimum, each monthly progress report must include: </w:t>
      </w:r>
    </w:p>
    <w:p w14:paraId="17F902F6" w14:textId="1754C3E1" w:rsidR="007C07A0" w:rsidRPr="004D0DC2" w:rsidRDefault="00537458" w:rsidP="00A37665">
      <w:pPr>
        <w:pStyle w:val="ListParagraph"/>
        <w:numPr>
          <w:ilvl w:val="0"/>
          <w:numId w:val="40"/>
        </w:numPr>
        <w:spacing w:before="240" w:after="240"/>
      </w:pPr>
      <w:r w:rsidRPr="004D0DC2">
        <w:t>task number and title;</w:t>
      </w:r>
    </w:p>
    <w:p w14:paraId="76C29C03" w14:textId="3947ECD0" w:rsidR="007C07A0" w:rsidRPr="004D0DC2" w:rsidRDefault="00537458" w:rsidP="00A37665">
      <w:pPr>
        <w:pStyle w:val="ListParagraph"/>
        <w:numPr>
          <w:ilvl w:val="0"/>
          <w:numId w:val="40"/>
        </w:numPr>
        <w:spacing w:before="240" w:after="240"/>
      </w:pPr>
      <w:r w:rsidRPr="004D0DC2">
        <w:t>description of tasks;</w:t>
      </w:r>
    </w:p>
    <w:p w14:paraId="10D3E55E" w14:textId="5706C1DC" w:rsidR="007C07A0" w:rsidRPr="004D0DC2" w:rsidRDefault="00537458" w:rsidP="00A37665">
      <w:pPr>
        <w:pStyle w:val="ListParagraph"/>
        <w:numPr>
          <w:ilvl w:val="0"/>
          <w:numId w:val="40"/>
        </w:numPr>
        <w:spacing w:before="240" w:after="240"/>
      </w:pPr>
      <w:r w:rsidRPr="004D0DC2">
        <w:t>a report of activities completed and deliverables produced during the prior month;</w:t>
      </w:r>
    </w:p>
    <w:p w14:paraId="518D08C9" w14:textId="724B8A55" w:rsidR="007C07A0" w:rsidRPr="004D0DC2" w:rsidRDefault="00537458" w:rsidP="00A37665">
      <w:pPr>
        <w:pStyle w:val="ListParagraph"/>
        <w:numPr>
          <w:ilvl w:val="0"/>
          <w:numId w:val="40"/>
        </w:numPr>
        <w:spacing w:before="240" w:after="240"/>
      </w:pPr>
      <w:r w:rsidRPr="004D0DC2">
        <w:t>an update of current or ongoing activities and the progress noted for each;</w:t>
      </w:r>
    </w:p>
    <w:p w14:paraId="7CE6E98A" w14:textId="50F2163A" w:rsidR="007C07A0" w:rsidRPr="004D0DC2" w:rsidRDefault="00537458" w:rsidP="00A37665">
      <w:pPr>
        <w:pStyle w:val="ListParagraph"/>
        <w:numPr>
          <w:ilvl w:val="0"/>
          <w:numId w:val="40"/>
        </w:numPr>
        <w:spacing w:before="240" w:after="240"/>
      </w:pPr>
      <w:r w:rsidRPr="004D0DC2">
        <w:t>unanticipated outcomes or problems (as applicable);</w:t>
      </w:r>
    </w:p>
    <w:p w14:paraId="3A7FB93C" w14:textId="5A5C3E0F" w:rsidR="007C07A0" w:rsidRPr="004D0DC2" w:rsidRDefault="00537458" w:rsidP="00A37665">
      <w:pPr>
        <w:pStyle w:val="ListParagraph"/>
        <w:numPr>
          <w:ilvl w:val="0"/>
          <w:numId w:val="40"/>
        </w:numPr>
        <w:spacing w:before="240" w:after="240"/>
      </w:pPr>
      <w:r w:rsidRPr="004D0DC2">
        <w:t>root cause analysis of the problems (as applicable</w:t>
      </w:r>
      <w:r w:rsidR="008A49B6" w:rsidRPr="004D0DC2">
        <w:t>, see Task 2.1.1</w:t>
      </w:r>
      <w:r w:rsidRPr="004D0DC2">
        <w:t>);</w:t>
      </w:r>
    </w:p>
    <w:p w14:paraId="4B181E51" w14:textId="77777777" w:rsidR="007C07A0" w:rsidRPr="004D0DC2" w:rsidRDefault="00537458" w:rsidP="00A37665">
      <w:pPr>
        <w:pStyle w:val="ListParagraph"/>
        <w:numPr>
          <w:ilvl w:val="0"/>
          <w:numId w:val="40"/>
        </w:numPr>
        <w:spacing w:before="240" w:after="240"/>
      </w:pPr>
      <w:r w:rsidRPr="004D0DC2">
        <w:t>tasks planned for completion the following month; and</w:t>
      </w:r>
    </w:p>
    <w:p w14:paraId="55E21302" w14:textId="77777777" w:rsidR="00EE7E47" w:rsidRDefault="00537458" w:rsidP="004F4F2E">
      <w:pPr>
        <w:pStyle w:val="ListParagraph"/>
        <w:numPr>
          <w:ilvl w:val="0"/>
          <w:numId w:val="40"/>
        </w:numPr>
        <w:spacing w:before="240"/>
        <w:contextualSpacing w:val="0"/>
      </w:pPr>
      <w:r w:rsidRPr="004D0DC2">
        <w:t>a detailed list of activities</w:t>
      </w:r>
      <w:r w:rsidR="00EE7E47">
        <w:t>; and</w:t>
      </w:r>
    </w:p>
    <w:p w14:paraId="505847A8" w14:textId="63B382DD" w:rsidR="007C07A0" w:rsidRPr="004D0DC2" w:rsidRDefault="00EE7E47" w:rsidP="004F4F2E">
      <w:pPr>
        <w:pStyle w:val="ListParagraph"/>
        <w:numPr>
          <w:ilvl w:val="0"/>
          <w:numId w:val="40"/>
        </w:numPr>
        <w:spacing w:after="240"/>
        <w:contextualSpacing w:val="0"/>
      </w:pPr>
      <w:r>
        <w:t>a synthesis of participant evaluations/reflections from completing professional development activities</w:t>
      </w:r>
      <w:r w:rsidR="00537458" w:rsidRPr="004D0DC2">
        <w:t xml:space="preserve">. </w:t>
      </w:r>
    </w:p>
    <w:p w14:paraId="0AF40147" w14:textId="77777777" w:rsidR="008A49B6" w:rsidRPr="004D0DC2" w:rsidRDefault="00537458" w:rsidP="008A49B6">
      <w:pPr>
        <w:spacing w:after="240"/>
      </w:pPr>
      <w:r w:rsidRPr="004D0DC2">
        <w:t xml:space="preserve">The Technical Proposal must ensure that the monthly progress report will be submitted to the CDE for review and approval </w:t>
      </w:r>
      <w:r w:rsidRPr="002171EE">
        <w:t xml:space="preserve">on the last Friday of each month for the month </w:t>
      </w:r>
      <w:r w:rsidRPr="004D0DC2">
        <w:t>prior. The CDE will not approve invoices for payments on this contract without an approved monthly progress report.</w:t>
      </w:r>
      <w:r w:rsidR="008A49B6" w:rsidRPr="004D0DC2" w:rsidDel="00A3025F">
        <w:t xml:space="preserve"> </w:t>
      </w:r>
    </w:p>
    <w:p w14:paraId="60FCD3F7" w14:textId="1EFA7F57" w:rsidR="008A49B6" w:rsidRPr="004D0DC2" w:rsidDel="00A3025F" w:rsidRDefault="008A49B6" w:rsidP="008A49B6">
      <w:pPr>
        <w:spacing w:after="240"/>
        <w:rPr>
          <w:rFonts w:cs="Arial"/>
        </w:rPr>
      </w:pPr>
      <w:r w:rsidRPr="004D0DC2" w:rsidDel="00A3025F">
        <w:t>The Technical Proposal must specify that the monthly progress reports will note progress on all tasks and activities and will be used as a basis for tracking progress and making improvements. The monthly progress reports must reflect all tasks specified in the corresponding monthly invoice and each monthly progress report must be used to determine approval for payment of the corresponding monthly invoice. Additionally, the original CDE-approved monthly progress report must be signed by the successful bidder's Project Manager and submitted to the CDE with the monthly invoice.</w:t>
      </w:r>
    </w:p>
    <w:p w14:paraId="413EC20F" w14:textId="287EF2BE" w:rsidR="008A49B6" w:rsidRPr="004D0DC2" w:rsidRDefault="008A49B6" w:rsidP="008A49B6">
      <w:pPr>
        <w:pStyle w:val="Heading5"/>
      </w:pPr>
      <w:r w:rsidRPr="004D0DC2">
        <w:lastRenderedPageBreak/>
        <w:t>2.1.1 Root Cause Analysis</w:t>
      </w:r>
    </w:p>
    <w:p w14:paraId="3467A7B8" w14:textId="0A9996E7" w:rsidR="00537458" w:rsidRPr="004D0DC2" w:rsidRDefault="00537458" w:rsidP="008A49B6">
      <w:pPr>
        <w:pStyle w:val="ListParagraph"/>
        <w:spacing w:before="240" w:after="240"/>
        <w:contextualSpacing w:val="0"/>
      </w:pPr>
      <w:r w:rsidRPr="004D0DC2">
        <w:t>The Technical Proposal must acknowledge and ensure that if a problem occurs, the successful bidder must notify the CDE Contract Monitor within one working day, and submit a Root Cause Analysis Report as part of the monthly progress report within 30 calendar days after the incident.</w:t>
      </w:r>
    </w:p>
    <w:p w14:paraId="079A02C8" w14:textId="77777777" w:rsidR="00537458" w:rsidRPr="004D0DC2" w:rsidRDefault="00537458" w:rsidP="008A49B6">
      <w:pPr>
        <w:pStyle w:val="ListParagraph"/>
        <w:spacing w:after="240"/>
        <w:contextualSpacing w:val="0"/>
      </w:pPr>
      <w:r w:rsidRPr="004D0DC2">
        <w:t>The Technical Proposal must acknowledge and ensure that at a minimum, the Root Cause Analysis Report must address the following:</w:t>
      </w:r>
    </w:p>
    <w:p w14:paraId="3A696A54" w14:textId="77777777" w:rsidR="00537458" w:rsidRPr="004D0DC2" w:rsidRDefault="00537458" w:rsidP="008A49B6">
      <w:pPr>
        <w:pStyle w:val="ListParagraph"/>
        <w:ind w:left="1440" w:hanging="360"/>
        <w:contextualSpacing w:val="0"/>
      </w:pPr>
      <w:r w:rsidRPr="004D0DC2">
        <w:t>1.</w:t>
      </w:r>
      <w:r w:rsidRPr="004D0DC2">
        <w:tab/>
        <w:t>Identify the problem;</w:t>
      </w:r>
    </w:p>
    <w:p w14:paraId="7920F0C7" w14:textId="77777777" w:rsidR="00537458" w:rsidRPr="004D0DC2" w:rsidRDefault="00537458" w:rsidP="008A49B6">
      <w:pPr>
        <w:pStyle w:val="ListParagraph"/>
        <w:ind w:left="1440" w:hanging="360"/>
        <w:contextualSpacing w:val="0"/>
      </w:pPr>
      <w:r w:rsidRPr="004D0DC2">
        <w:t>2.</w:t>
      </w:r>
      <w:r w:rsidRPr="004D0DC2">
        <w:tab/>
        <w:t>Evaluate the significance and impact of the problem;</w:t>
      </w:r>
    </w:p>
    <w:p w14:paraId="7FC20171" w14:textId="77777777" w:rsidR="00537458" w:rsidRPr="004D0DC2" w:rsidRDefault="00537458" w:rsidP="008A49B6">
      <w:pPr>
        <w:pStyle w:val="ListParagraph"/>
        <w:ind w:left="1440" w:hanging="360"/>
        <w:contextualSpacing w:val="0"/>
      </w:pPr>
      <w:r w:rsidRPr="004D0DC2">
        <w:t>3.</w:t>
      </w:r>
      <w:r w:rsidRPr="004D0DC2">
        <w:tab/>
        <w:t>Identify the root cause of the problem and the responsible party;</w:t>
      </w:r>
    </w:p>
    <w:p w14:paraId="50BE55B2" w14:textId="77777777" w:rsidR="00537458" w:rsidRPr="004D0DC2" w:rsidRDefault="00537458" w:rsidP="008A49B6">
      <w:pPr>
        <w:pStyle w:val="ListParagraph"/>
        <w:ind w:left="1440" w:hanging="360"/>
        <w:contextualSpacing w:val="0"/>
      </w:pPr>
      <w:r w:rsidRPr="004D0DC2">
        <w:t>4.</w:t>
      </w:r>
      <w:r w:rsidRPr="004D0DC2">
        <w:tab/>
        <w:t>Recommend actions to prevent recurrence of this or similar problems;</w:t>
      </w:r>
    </w:p>
    <w:p w14:paraId="30EA5B11" w14:textId="77777777" w:rsidR="00537458" w:rsidRPr="004D0DC2" w:rsidRDefault="00537458" w:rsidP="008A49B6">
      <w:pPr>
        <w:pStyle w:val="ListParagraph"/>
        <w:ind w:left="1440" w:hanging="360"/>
        <w:contextualSpacing w:val="0"/>
      </w:pPr>
      <w:r w:rsidRPr="004D0DC2">
        <w:t>5.</w:t>
      </w:r>
      <w:r w:rsidRPr="004D0DC2">
        <w:tab/>
        <w:t>Assign responsibility for developing and implementing corrective action;</w:t>
      </w:r>
    </w:p>
    <w:p w14:paraId="29B46701" w14:textId="77777777" w:rsidR="00537458" w:rsidRPr="004D0DC2" w:rsidRDefault="00537458" w:rsidP="008A49B6">
      <w:pPr>
        <w:pStyle w:val="ListParagraph"/>
        <w:ind w:left="1440" w:hanging="360"/>
        <w:contextualSpacing w:val="0"/>
      </w:pPr>
      <w:r w:rsidRPr="004D0DC2">
        <w:t>6.</w:t>
      </w:r>
      <w:r w:rsidRPr="004D0DC2">
        <w:tab/>
        <w:t>Implement new process or quality controls as necessary;</w:t>
      </w:r>
    </w:p>
    <w:p w14:paraId="08E06450" w14:textId="77777777" w:rsidR="00537458" w:rsidRPr="004D0DC2" w:rsidRDefault="00537458" w:rsidP="008A49B6">
      <w:pPr>
        <w:pStyle w:val="ListParagraph"/>
        <w:ind w:left="1440" w:hanging="360"/>
        <w:contextualSpacing w:val="0"/>
      </w:pPr>
      <w:r w:rsidRPr="004D0DC2">
        <w:t>7.</w:t>
      </w:r>
      <w:r w:rsidRPr="004D0DC2">
        <w:tab/>
        <w:t>Determine what to do with failed items/deliverables; and</w:t>
      </w:r>
    </w:p>
    <w:p w14:paraId="23750776" w14:textId="77777777" w:rsidR="00537458" w:rsidRPr="004D0DC2" w:rsidRDefault="00537458" w:rsidP="008A49B6">
      <w:pPr>
        <w:pStyle w:val="ListParagraph"/>
        <w:spacing w:after="240"/>
        <w:ind w:left="1440" w:hanging="360"/>
        <w:contextualSpacing w:val="0"/>
      </w:pPr>
      <w:r w:rsidRPr="004D0DC2">
        <w:t>8.</w:t>
      </w:r>
      <w:r w:rsidRPr="004D0DC2">
        <w:tab/>
        <w:t>Record permanent changes in process documentation.</w:t>
      </w:r>
    </w:p>
    <w:p w14:paraId="72BF20F5" w14:textId="77777777" w:rsidR="00537458" w:rsidRPr="002171EE" w:rsidRDefault="00537458" w:rsidP="00537458">
      <w:pPr>
        <w:pStyle w:val="Heading4"/>
      </w:pPr>
      <w:r w:rsidRPr="002171EE">
        <w:t xml:space="preserve">2.2 Annual Summary Project Report </w:t>
      </w:r>
    </w:p>
    <w:p w14:paraId="29605A34" w14:textId="08E83F3A" w:rsidR="00537458" w:rsidRPr="002171EE" w:rsidRDefault="00537458" w:rsidP="54EA1D9A">
      <w:pPr>
        <w:spacing w:after="240"/>
        <w:rPr>
          <w:rFonts w:cs="Arial"/>
        </w:rPr>
      </w:pPr>
      <w:r w:rsidRPr="54EA1D9A">
        <w:rPr>
          <w:rFonts w:cs="Arial"/>
        </w:rPr>
        <w:t xml:space="preserve">The Technical Proposal must describe in detail the process for delivering annual summary reports </w:t>
      </w:r>
      <w:r w:rsidR="00EE7E47">
        <w:rPr>
          <w:rFonts w:cs="Arial"/>
        </w:rPr>
        <w:t>for each fiscal year covered in the contract period</w:t>
      </w:r>
      <w:r w:rsidRPr="54EA1D9A">
        <w:rPr>
          <w:rFonts w:cs="Arial"/>
        </w:rPr>
        <w:t xml:space="preserve">. The Technical Proposal must acknowledge and ensure that at the end of each fiscal year, the successful bidder will email the annual summary report to the CDE no later than the </w:t>
      </w:r>
      <w:r w:rsidR="0031794A" w:rsidRPr="0031794A">
        <w:rPr>
          <w:rFonts w:cs="Arial"/>
        </w:rPr>
        <w:t xml:space="preserve">first </w:t>
      </w:r>
      <w:r w:rsidRPr="54EA1D9A">
        <w:rPr>
          <w:rFonts w:cs="Arial"/>
        </w:rPr>
        <w:t>Friday in August. The Technical Proposal must describe how the successful bidder will submit the annual summary progress reports electronically by email to the CDE. The original annual summary progress report must be signed by the contractor’s Project Manager.</w:t>
      </w:r>
    </w:p>
    <w:p w14:paraId="459408DF" w14:textId="5F0CB781" w:rsidR="004D5A99" w:rsidRPr="002171EE" w:rsidRDefault="00537458" w:rsidP="00537458">
      <w:pPr>
        <w:spacing w:after="240"/>
        <w:rPr>
          <w:rFonts w:cs="Arial"/>
          <w:szCs w:val="24"/>
        </w:rPr>
      </w:pPr>
      <w:r w:rsidRPr="002171EE">
        <w:rPr>
          <w:rFonts w:cs="Arial"/>
          <w:szCs w:val="24"/>
        </w:rPr>
        <w:t>The annual report documents the work performed for each contract fiscal year. It provides a mechanism for accountability and contract monitoring purposes. This report is formatted by contractual tasks/subtask(s) and related activities.</w:t>
      </w:r>
    </w:p>
    <w:p w14:paraId="3DECB032" w14:textId="798BF2AC" w:rsidR="00EE7E47" w:rsidRDefault="00537458" w:rsidP="004D0DC2">
      <w:pPr>
        <w:spacing w:after="240"/>
        <w:rPr>
          <w:rFonts w:cs="Arial"/>
          <w:szCs w:val="24"/>
        </w:rPr>
      </w:pPr>
      <w:r w:rsidRPr="002171EE">
        <w:rPr>
          <w:rFonts w:cs="Arial"/>
          <w:szCs w:val="24"/>
        </w:rPr>
        <w:t>The Technical Proposal must ensure that the annual summary progress reports include at a minimum an executive summary, background, tasks/subtasks specified in the Scope of Project, task methodology, progress, status update(s), and recommendations.</w:t>
      </w:r>
    </w:p>
    <w:p w14:paraId="55BA026C" w14:textId="4DE76317" w:rsidR="00EE7E47" w:rsidRDefault="00537458" w:rsidP="004D0DC2">
      <w:pPr>
        <w:spacing w:after="240"/>
        <w:rPr>
          <w:rFonts w:cs="Arial"/>
          <w:szCs w:val="24"/>
        </w:rPr>
      </w:pPr>
      <w:r w:rsidRPr="002171EE">
        <w:rPr>
          <w:rFonts w:cs="Arial"/>
          <w:szCs w:val="24"/>
        </w:rPr>
        <w:t>The Technical Proposal must ensure that each annual summary progress report describes the procedures used, describes any limitations of the findings, and challenges related to conducting the task activities and any surveys or other instruments developed to conduct the activities are to be included in the report.</w:t>
      </w:r>
    </w:p>
    <w:p w14:paraId="345D7935" w14:textId="39B11199" w:rsidR="00EE7E47" w:rsidRDefault="00537458" w:rsidP="004D0DC2">
      <w:pPr>
        <w:spacing w:after="240"/>
      </w:pPr>
      <w:r w:rsidRPr="002171EE">
        <w:t>Additionally, this report will include analysis and synthesis of participant feedbacks from each professional development activities and surveys conducted as indicated in Task 4.</w:t>
      </w:r>
      <w:r w:rsidR="004D5A99" w:rsidRPr="002171EE">
        <w:t xml:space="preserve"> This report will include an analysis of what other professional development opportunities are provided by local, state and national organizations.</w:t>
      </w:r>
    </w:p>
    <w:p w14:paraId="707158D3" w14:textId="1C4E45BC" w:rsidR="00537458" w:rsidRPr="004D0DC2" w:rsidRDefault="004D5A99" w:rsidP="00537458">
      <w:pPr>
        <w:spacing w:after="240"/>
        <w:rPr>
          <w:color w:val="FF0000"/>
        </w:rPr>
      </w:pPr>
      <w:r w:rsidRPr="002171EE">
        <w:t xml:space="preserve">The report will be professionally written, in compliance with the CDE’s standards as indicated in Task 2.3 Data Files, Reports, and Final Documents. This is a comprehensive annual report to the CDE. Additionally, the successful bidder will produce an abbreviated report presentable to the </w:t>
      </w:r>
      <w:r w:rsidRPr="002171EE">
        <w:lastRenderedPageBreak/>
        <w:t xml:space="preserve">field of adult education and various </w:t>
      </w:r>
      <w:r w:rsidRPr="004D0DC2">
        <w:rPr>
          <w:color w:val="000000" w:themeColor="text1"/>
        </w:rPr>
        <w:t>stakeholders, consists of (but not limited to) appropriate graphics, statistics, participant comments, and other relevant information.</w:t>
      </w:r>
    </w:p>
    <w:p w14:paraId="476991FC" w14:textId="77777777" w:rsidR="00537458" w:rsidRPr="004D0DC2" w:rsidRDefault="00537458" w:rsidP="00537458">
      <w:pPr>
        <w:pStyle w:val="Heading4"/>
      </w:pPr>
      <w:r w:rsidRPr="004D0DC2">
        <w:t>2.3 Data Files, Reports, and Final Documents</w:t>
      </w:r>
    </w:p>
    <w:p w14:paraId="381249CA" w14:textId="6C45F814" w:rsidR="00537458" w:rsidRPr="004D0DC2" w:rsidRDefault="00537458" w:rsidP="54EA1D9A">
      <w:pPr>
        <w:spacing w:before="240" w:after="240"/>
        <w:rPr>
          <w:rFonts w:eastAsia="Times New Roman"/>
          <w:snapToGrid w:val="0"/>
        </w:rPr>
      </w:pPr>
      <w:r w:rsidRPr="54EA1D9A">
        <w:rPr>
          <w:rFonts w:eastAsia="Times New Roman"/>
          <w:snapToGrid w:val="0"/>
        </w:rPr>
        <w:t xml:space="preserve">The Technical Proposal must acknowledge and ensure that the successful bidder will adhere to the CDE Style Manual, Correspondence Guide, </w:t>
      </w:r>
      <w:r w:rsidR="003F2FA9" w:rsidRPr="54EA1D9A">
        <w:rPr>
          <w:rFonts w:eastAsia="Times New Roman"/>
          <w:snapToGrid w:val="0"/>
        </w:rPr>
        <w:t>w</w:t>
      </w:r>
      <w:r w:rsidRPr="54EA1D9A">
        <w:rPr>
          <w:rFonts w:eastAsia="Times New Roman"/>
          <w:snapToGrid w:val="0"/>
        </w:rPr>
        <w:t xml:space="preserve">eb standards, and data file requirements. The CDE Style Manual, Correspondence Guide, and </w:t>
      </w:r>
      <w:r w:rsidR="003F2FA9" w:rsidRPr="54EA1D9A">
        <w:rPr>
          <w:rFonts w:eastAsia="Times New Roman"/>
          <w:snapToGrid w:val="0"/>
        </w:rPr>
        <w:t>w</w:t>
      </w:r>
      <w:r w:rsidRPr="54EA1D9A">
        <w:rPr>
          <w:rFonts w:eastAsia="Times New Roman"/>
          <w:snapToGrid w:val="0"/>
        </w:rPr>
        <w:t xml:space="preserve">eb standards are posted on the CDE </w:t>
      </w:r>
      <w:r w:rsidR="003F2FA9" w:rsidRPr="54EA1D9A">
        <w:rPr>
          <w:rFonts w:eastAsia="Times New Roman"/>
          <w:snapToGrid w:val="0"/>
        </w:rPr>
        <w:t>w</w:t>
      </w:r>
      <w:r w:rsidRPr="54EA1D9A">
        <w:rPr>
          <w:rFonts w:eastAsia="Times New Roman"/>
          <w:snapToGrid w:val="0"/>
        </w:rPr>
        <w:t xml:space="preserve">eb </w:t>
      </w:r>
      <w:r w:rsidR="003F2FA9" w:rsidRPr="54EA1D9A">
        <w:rPr>
          <w:rFonts w:eastAsia="Times New Roman"/>
          <w:snapToGrid w:val="0"/>
        </w:rPr>
        <w:t>s</w:t>
      </w:r>
      <w:r w:rsidRPr="54EA1D9A">
        <w:rPr>
          <w:rFonts w:eastAsia="Times New Roman"/>
          <w:snapToGrid w:val="0"/>
        </w:rPr>
        <w:t xml:space="preserve">tandards </w:t>
      </w:r>
      <w:r w:rsidR="003F2FA9" w:rsidRPr="54EA1D9A">
        <w:rPr>
          <w:rFonts w:eastAsia="Times New Roman"/>
          <w:snapToGrid w:val="0"/>
        </w:rPr>
        <w:t>w</w:t>
      </w:r>
      <w:r w:rsidRPr="54EA1D9A">
        <w:rPr>
          <w:rFonts w:eastAsia="Times New Roman"/>
          <w:snapToGrid w:val="0"/>
        </w:rPr>
        <w:t xml:space="preserve">eb </w:t>
      </w:r>
      <w:r w:rsidR="003F2FA9" w:rsidRPr="54EA1D9A">
        <w:rPr>
          <w:rFonts w:eastAsia="Times New Roman"/>
          <w:snapToGrid w:val="0"/>
        </w:rPr>
        <w:t>p</w:t>
      </w:r>
      <w:r w:rsidRPr="54EA1D9A">
        <w:rPr>
          <w:rFonts w:eastAsia="Times New Roman"/>
          <w:snapToGrid w:val="0"/>
        </w:rPr>
        <w:t xml:space="preserve">age which can be found </w:t>
      </w:r>
      <w:r w:rsidR="6E22E06C" w:rsidRPr="54EA1D9A">
        <w:rPr>
          <w:rFonts w:eastAsia="Times New Roman"/>
          <w:snapToGrid w:val="0"/>
        </w:rPr>
        <w:t xml:space="preserve">on the CDE Web Standards web page </w:t>
      </w:r>
      <w:r w:rsidRPr="54EA1D9A">
        <w:rPr>
          <w:rFonts w:eastAsia="Times New Roman"/>
          <w:snapToGrid w:val="0"/>
        </w:rPr>
        <w:t xml:space="preserve">at </w:t>
      </w:r>
      <w:hyperlink r:id="rId34" w:history="1">
        <w:r w:rsidR="00B206BD" w:rsidRPr="00237D08">
          <w:rPr>
            <w:rStyle w:val="Hyperlink"/>
            <w:rFonts w:eastAsia="Times New Roman"/>
            <w:snapToGrid w:val="0"/>
          </w:rPr>
          <w:t>https://www.cde.ca.gov/re/di/ws/webstandards.asp</w:t>
        </w:r>
      </w:hyperlink>
      <w:r w:rsidRPr="54EA1D9A">
        <w:rPr>
          <w:rFonts w:eastAsia="Times New Roman"/>
          <w:snapToGrid w:val="0"/>
        </w:rPr>
        <w:t>.</w:t>
      </w:r>
    </w:p>
    <w:p w14:paraId="30A58AAC" w14:textId="4FF286A1" w:rsidR="00537458" w:rsidRPr="004D0DC2" w:rsidRDefault="00537458" w:rsidP="00537458">
      <w:pPr>
        <w:spacing w:before="240" w:after="240"/>
        <w:rPr>
          <w:rFonts w:eastAsia="Times New Roman"/>
          <w:snapToGrid w:val="0"/>
          <w:szCs w:val="20"/>
        </w:rPr>
      </w:pPr>
      <w:r w:rsidRPr="004D0DC2">
        <w:rPr>
          <w:rFonts w:eastAsia="Times New Roman"/>
          <w:snapToGrid w:val="0"/>
          <w:szCs w:val="20"/>
        </w:rPr>
        <w:t xml:space="preserve">The Technical Proposal must acknowledge and ensure that unless otherwise specified in this RFP, all final documents must be provided in Microsoft Word 2013 or later format. With prior approval from CDE, the </w:t>
      </w:r>
      <w:r w:rsidR="00EE5ED2" w:rsidRPr="004D0DC2">
        <w:rPr>
          <w:rFonts w:eastAsia="Times New Roman"/>
          <w:snapToGrid w:val="0"/>
          <w:szCs w:val="20"/>
        </w:rPr>
        <w:t>successful bidder</w:t>
      </w:r>
      <w:r w:rsidRPr="004D0DC2">
        <w:rPr>
          <w:rFonts w:eastAsia="Times New Roman"/>
          <w:snapToGrid w:val="0"/>
          <w:szCs w:val="20"/>
        </w:rPr>
        <w:t xml:space="preserve"> may also use Adobe Acrobat or any other CDE approved software. The Technical Proposal must acknowledge and ensure that any document (e.g., </w:t>
      </w:r>
      <w:r w:rsidR="003F2FA9" w:rsidRPr="004D0DC2">
        <w:rPr>
          <w:rFonts w:eastAsia="Times New Roman"/>
          <w:snapToGrid w:val="0"/>
          <w:szCs w:val="20"/>
        </w:rPr>
        <w:t>w</w:t>
      </w:r>
      <w:r w:rsidRPr="004D0DC2">
        <w:rPr>
          <w:rFonts w:eastAsia="Times New Roman"/>
          <w:snapToGrid w:val="0"/>
          <w:szCs w:val="20"/>
        </w:rPr>
        <w:t xml:space="preserve">eb page, document, survey, application) to be posted on the Internet (not just any CDE </w:t>
      </w:r>
      <w:r w:rsidR="003F2FA9" w:rsidRPr="004D0DC2">
        <w:rPr>
          <w:rFonts w:eastAsia="Times New Roman"/>
          <w:snapToGrid w:val="0"/>
          <w:szCs w:val="20"/>
        </w:rPr>
        <w:t>w</w:t>
      </w:r>
      <w:r w:rsidRPr="004D0DC2">
        <w:rPr>
          <w:rFonts w:eastAsia="Times New Roman"/>
          <w:snapToGrid w:val="0"/>
          <w:szCs w:val="20"/>
        </w:rPr>
        <w:t xml:space="preserve">ebsite but any </w:t>
      </w:r>
      <w:r w:rsidR="003F2FA9" w:rsidRPr="004D0DC2">
        <w:rPr>
          <w:rFonts w:eastAsia="Times New Roman"/>
          <w:snapToGrid w:val="0"/>
          <w:szCs w:val="20"/>
        </w:rPr>
        <w:t>w</w:t>
      </w:r>
      <w:r w:rsidRPr="004D0DC2">
        <w:rPr>
          <w:rFonts w:eastAsia="Times New Roman"/>
          <w:snapToGrid w:val="0"/>
          <w:szCs w:val="20"/>
        </w:rPr>
        <w:t xml:space="preserve">ebsite) meets the CDE’s </w:t>
      </w:r>
      <w:r w:rsidR="003F2FA9" w:rsidRPr="004D0DC2">
        <w:rPr>
          <w:rFonts w:eastAsia="Times New Roman"/>
          <w:snapToGrid w:val="0"/>
          <w:szCs w:val="20"/>
        </w:rPr>
        <w:t>w</w:t>
      </w:r>
      <w:r w:rsidRPr="004D0DC2">
        <w:rPr>
          <w:rFonts w:eastAsia="Times New Roman"/>
          <w:snapToGrid w:val="0"/>
          <w:szCs w:val="20"/>
        </w:rPr>
        <w:t xml:space="preserve">eb standards, including but not limited to the CDE Style Guidelines and </w:t>
      </w:r>
      <w:r w:rsidR="003F2FA9" w:rsidRPr="004D0DC2">
        <w:rPr>
          <w:rFonts w:eastAsia="Times New Roman"/>
          <w:snapToGrid w:val="0"/>
          <w:szCs w:val="20"/>
        </w:rPr>
        <w:t>w</w:t>
      </w:r>
      <w:r w:rsidRPr="004D0DC2">
        <w:rPr>
          <w:rFonts w:eastAsia="Times New Roman"/>
          <w:snapToGrid w:val="0"/>
          <w:szCs w:val="20"/>
        </w:rPr>
        <w:t>eb standards and CDE Accessibility Standards. The Technical Proposal must acknowledge and ensure that whether documents are provided as word or PDF, the documents must be fully accessible to persons with disabilities including at a minimum that they are text-based, have the correct reading order, and all non-text elements (e.g., pictures, charts, and graphs) have fully equivalent alternative text and alternative text tags.</w:t>
      </w:r>
    </w:p>
    <w:p w14:paraId="59C5BC7A" w14:textId="486FC362" w:rsidR="00537458" w:rsidRPr="004D0DC2" w:rsidRDefault="00537458" w:rsidP="00537458">
      <w:pPr>
        <w:spacing w:before="240" w:after="240"/>
        <w:rPr>
          <w:rFonts w:eastAsia="Times New Roman"/>
          <w:snapToGrid w:val="0"/>
          <w:szCs w:val="20"/>
        </w:rPr>
      </w:pPr>
      <w:r w:rsidRPr="004D0DC2">
        <w:rPr>
          <w:rFonts w:eastAsia="Times New Roman"/>
          <w:snapToGrid w:val="0"/>
          <w:szCs w:val="20"/>
        </w:rPr>
        <w:t xml:space="preserve">The Technical Proposal must acknowledge and ensure that after a document has been fully approved by the CDE, the successful bidder must ensure that the material meets the CDE Accessibility Standards. Additionally, PDF documents must be tagged for accessibility. The </w:t>
      </w:r>
      <w:r w:rsidR="003F2FA9" w:rsidRPr="004D0DC2">
        <w:rPr>
          <w:rFonts w:eastAsia="Times New Roman"/>
          <w:snapToGrid w:val="0"/>
          <w:szCs w:val="20"/>
        </w:rPr>
        <w:t>T</w:t>
      </w:r>
      <w:r w:rsidRPr="004D0DC2">
        <w:rPr>
          <w:rFonts w:eastAsia="Times New Roman"/>
          <w:snapToGrid w:val="0"/>
          <w:szCs w:val="20"/>
        </w:rPr>
        <w:t xml:space="preserve">echnical </w:t>
      </w:r>
      <w:r w:rsidR="003F2FA9" w:rsidRPr="004D0DC2">
        <w:rPr>
          <w:rFonts w:eastAsia="Times New Roman"/>
          <w:snapToGrid w:val="0"/>
          <w:szCs w:val="20"/>
        </w:rPr>
        <w:t>P</w:t>
      </w:r>
      <w:r w:rsidRPr="004D0DC2">
        <w:rPr>
          <w:rFonts w:eastAsia="Times New Roman"/>
          <w:snapToGrid w:val="0"/>
          <w:szCs w:val="20"/>
        </w:rPr>
        <w:t xml:space="preserve">roposal must acknowledge and ensure that accessibility requirements are not waived because content is received from schools or any other </w:t>
      </w:r>
      <w:r w:rsidR="00645B5B" w:rsidRPr="004D0DC2">
        <w:rPr>
          <w:rFonts w:eastAsia="Times New Roman"/>
          <w:snapToGrid w:val="0"/>
          <w:szCs w:val="20"/>
        </w:rPr>
        <w:t>thi</w:t>
      </w:r>
      <w:r w:rsidRPr="004D0DC2">
        <w:rPr>
          <w:rFonts w:eastAsia="Times New Roman"/>
          <w:snapToGrid w:val="0"/>
          <w:szCs w:val="20"/>
        </w:rPr>
        <w:t xml:space="preserve">rd party. The Technical Proposal must acknowledge and ensure that all fully approved PowerPoint documents, for posting on the Internet, must be delivered to the CDE with a text only Word version, with fully equivalent alternative text for every non-text element (e.g., graphics, pictures, charts, graphs). Videos or </w:t>
      </w:r>
      <w:r w:rsidR="003F2FA9" w:rsidRPr="004D0DC2">
        <w:rPr>
          <w:rFonts w:eastAsia="Times New Roman"/>
          <w:snapToGrid w:val="0"/>
          <w:szCs w:val="20"/>
        </w:rPr>
        <w:t>w</w:t>
      </w:r>
      <w:r w:rsidRPr="004D0DC2">
        <w:rPr>
          <w:rFonts w:eastAsia="Times New Roman"/>
          <w:snapToGrid w:val="0"/>
          <w:szCs w:val="20"/>
        </w:rPr>
        <w:t xml:space="preserve">ebinars that are posted to any </w:t>
      </w:r>
      <w:r w:rsidR="00EF3B33" w:rsidRPr="004D0DC2">
        <w:rPr>
          <w:rFonts w:eastAsia="Times New Roman"/>
          <w:snapToGrid w:val="0"/>
          <w:szCs w:val="20"/>
        </w:rPr>
        <w:t>w</w:t>
      </w:r>
      <w:r w:rsidRPr="004D0DC2">
        <w:rPr>
          <w:rFonts w:eastAsia="Times New Roman"/>
          <w:snapToGrid w:val="0"/>
          <w:szCs w:val="20"/>
        </w:rPr>
        <w:t xml:space="preserve">eb site must be fully captioned and meet the CDE </w:t>
      </w:r>
      <w:r w:rsidR="003F2FA9" w:rsidRPr="004D0DC2">
        <w:rPr>
          <w:rFonts w:eastAsia="Times New Roman"/>
          <w:snapToGrid w:val="0"/>
          <w:szCs w:val="20"/>
        </w:rPr>
        <w:t>w</w:t>
      </w:r>
      <w:r w:rsidRPr="004D0DC2">
        <w:rPr>
          <w:rFonts w:eastAsia="Times New Roman"/>
          <w:snapToGrid w:val="0"/>
          <w:szCs w:val="20"/>
        </w:rPr>
        <w:t>eb standards.</w:t>
      </w:r>
    </w:p>
    <w:p w14:paraId="11DC85EA" w14:textId="77777777" w:rsidR="00537458" w:rsidRPr="004D0DC2" w:rsidRDefault="00537458" w:rsidP="00537458">
      <w:pPr>
        <w:spacing w:before="240" w:after="240"/>
        <w:rPr>
          <w:rFonts w:eastAsia="Times New Roman"/>
          <w:snapToGrid w:val="0"/>
          <w:szCs w:val="20"/>
        </w:rPr>
      </w:pPr>
      <w:r w:rsidRPr="004D0DC2">
        <w:rPr>
          <w:rFonts w:eastAsia="Times New Roman"/>
          <w:snapToGrid w:val="0"/>
          <w:szCs w:val="20"/>
        </w:rPr>
        <w:t>The Technical Proposal must describe in detail that the successful bidder has the resources, staff, knowledge, skills, and abilities to deliver Section 508 accessible products. If needed during the contract period, the successful bidder may request to meet with the CDE Web Application Review Team (Web ART) to answer questions about proposed accessibility strategies and request Web ART to review a small sample of a deliverable to help guide the process.</w:t>
      </w:r>
    </w:p>
    <w:p w14:paraId="540A2392" w14:textId="77777777" w:rsidR="00537458" w:rsidRPr="004D0DC2" w:rsidRDefault="00537458" w:rsidP="00537458">
      <w:pPr>
        <w:spacing w:before="240" w:after="240"/>
        <w:rPr>
          <w:rFonts w:eastAsia="Times New Roman"/>
          <w:snapToGrid w:val="0"/>
          <w:szCs w:val="20"/>
        </w:rPr>
      </w:pPr>
      <w:r w:rsidRPr="004D0DC2">
        <w:rPr>
          <w:rFonts w:eastAsia="Times New Roman"/>
          <w:snapToGrid w:val="0"/>
          <w:szCs w:val="20"/>
        </w:rPr>
        <w:t>The Technical Proposal must acknowledge and ensure that unless otherwise specified, all data files must be delivered in text files using tab delimited and comma separated values (CSV) format with double quote field delimiters. The file must be encrypted using Federal Information Processing Standards (FIPS) 140-2 validation product that can be incorporated into Microsoft Access and Microsoft Structured Query Language (SQL) Server.</w:t>
      </w:r>
    </w:p>
    <w:p w14:paraId="24036F68" w14:textId="7144EF22" w:rsidR="00537458" w:rsidRPr="004D0DC2" w:rsidRDefault="00537458" w:rsidP="54EA1D9A">
      <w:pPr>
        <w:spacing w:before="240" w:after="240"/>
        <w:rPr>
          <w:rFonts w:eastAsia="Times New Roman"/>
          <w:snapToGrid w:val="0"/>
        </w:rPr>
      </w:pPr>
      <w:r w:rsidRPr="54EA1D9A">
        <w:rPr>
          <w:rFonts w:eastAsia="Times New Roman"/>
          <w:snapToGrid w:val="0"/>
        </w:rPr>
        <w:t>The Technical Proposal must specify that the CDE must approve all material and/or deliverables developed in conjunction with this contract. (See Task 1.</w:t>
      </w:r>
      <w:r w:rsidR="003F2FA9" w:rsidRPr="54EA1D9A">
        <w:rPr>
          <w:rFonts w:eastAsia="Times New Roman"/>
          <w:snapToGrid w:val="0"/>
        </w:rPr>
        <w:t>5</w:t>
      </w:r>
      <w:r w:rsidRPr="54EA1D9A">
        <w:rPr>
          <w:rFonts w:eastAsia="Times New Roman"/>
          <w:snapToGrid w:val="0"/>
        </w:rPr>
        <w:t xml:space="preserve"> </w:t>
      </w:r>
      <w:r w:rsidRPr="00996AC1">
        <w:t>–</w:t>
      </w:r>
      <w:r w:rsidRPr="54EA1D9A">
        <w:rPr>
          <w:rFonts w:eastAsia="Times New Roman"/>
          <w:snapToGrid w:val="0"/>
        </w:rPr>
        <w:t xml:space="preserve"> CDE Approval Schedule </w:t>
      </w:r>
      <w:r w:rsidR="345A4A82" w:rsidRPr="54EA1D9A">
        <w:rPr>
          <w:rFonts w:eastAsia="Times New Roman"/>
          <w:snapToGrid w:val="0"/>
        </w:rPr>
        <w:t>Requirements.)</w:t>
      </w:r>
      <w:r w:rsidRPr="54EA1D9A">
        <w:rPr>
          <w:rFonts w:eastAsia="Times New Roman"/>
          <w:snapToGrid w:val="0"/>
        </w:rPr>
        <w:t xml:space="preserve"> The Technical Proposal must acknowledge and ensure that the successful bidder </w:t>
      </w:r>
      <w:r w:rsidRPr="54EA1D9A">
        <w:rPr>
          <w:rFonts w:eastAsia="Times New Roman"/>
          <w:snapToGrid w:val="0"/>
        </w:rPr>
        <w:lastRenderedPageBreak/>
        <w:t xml:space="preserve">will not disseminate any written information, materials, or deliverables to the field, public, or any other third party without written approval by the CDE. The Technical Proposal must acknowledge and ensure that the successful bidder is responsible for allowing sufficient time for the CDE to review the materials and/or deliverables, and if necessary, for the </w:t>
      </w:r>
      <w:r w:rsidR="003F2FA9" w:rsidRPr="54EA1D9A">
        <w:rPr>
          <w:rFonts w:eastAsia="Times New Roman"/>
          <w:snapToGrid w:val="0"/>
        </w:rPr>
        <w:t>successful bidder</w:t>
      </w:r>
      <w:r w:rsidRPr="54EA1D9A">
        <w:rPr>
          <w:rFonts w:eastAsia="Times New Roman"/>
          <w:snapToGrid w:val="0"/>
        </w:rPr>
        <w:t xml:space="preserve"> to make modifications as directed by the CDE to review and sign-off on the revised submission (</w:t>
      </w:r>
      <w:r w:rsidRPr="54EA1D9A">
        <w:rPr>
          <w:rFonts w:cs="Arial"/>
          <w:color w:val="000000"/>
        </w:rPr>
        <w:t>See Task 1.</w:t>
      </w:r>
      <w:r w:rsidR="003F2FA9" w:rsidRPr="54EA1D9A">
        <w:rPr>
          <w:rFonts w:cs="Arial"/>
        </w:rPr>
        <w:t>5</w:t>
      </w:r>
      <w:r w:rsidRPr="54EA1D9A">
        <w:rPr>
          <w:rFonts w:cs="Arial"/>
          <w:color w:val="000000"/>
        </w:rPr>
        <w:t xml:space="preserve"> </w:t>
      </w:r>
      <w:r w:rsidRPr="004D0DC2">
        <w:t>– CDE Approval Schedule Requirements)</w:t>
      </w:r>
      <w:r w:rsidRPr="54EA1D9A">
        <w:rPr>
          <w:rFonts w:eastAsia="Times New Roman"/>
          <w:snapToGrid w:val="0"/>
        </w:rPr>
        <w:t>. The Technical Proposal must acknowledge and ensure that the successful bidder is responsible for any costs associated with making modifications to materials and deliverables necessary to obtain sign-off by the CDE.</w:t>
      </w:r>
    </w:p>
    <w:p w14:paraId="4C676D24" w14:textId="01D608AE" w:rsidR="00537458" w:rsidRPr="004D0DC2" w:rsidRDefault="00537458" w:rsidP="008A49B6">
      <w:pPr>
        <w:spacing w:before="240" w:after="240"/>
        <w:rPr>
          <w:rFonts w:eastAsia="Times New Roman"/>
          <w:snapToGrid w:val="0"/>
          <w:szCs w:val="20"/>
        </w:rPr>
      </w:pPr>
      <w:r w:rsidRPr="004D0DC2">
        <w:rPr>
          <w:rFonts w:eastAsia="Times New Roman"/>
          <w:snapToGrid w:val="0"/>
          <w:szCs w:val="20"/>
        </w:rPr>
        <w:t>The Technical Proposal must acknowledge and ensure that the CDE and all authorized state control agencies must have access to all internal and external reports, documents, data and working papers used by the successful bidder and potential subcontractors in the performance and administration of this contract. The Technical Proposal must acknowledge and ensure that the successful bidder shall allow the CDE to monitor all aspects of the successful bidder's performance.</w:t>
      </w:r>
    </w:p>
    <w:p w14:paraId="7173CA0D" w14:textId="77777777" w:rsidR="00363E7E" w:rsidRDefault="00363E7E">
      <w:pPr>
        <w:rPr>
          <w:b/>
          <w:snapToGrid w:val="0"/>
          <w:sz w:val="36"/>
          <w:szCs w:val="36"/>
        </w:rPr>
      </w:pPr>
      <w:r>
        <w:br w:type="page"/>
      </w:r>
    </w:p>
    <w:p w14:paraId="36D2E64E" w14:textId="1A029DFE" w:rsidR="00537458" w:rsidRPr="004D0DC2" w:rsidRDefault="00537458" w:rsidP="00F67ED5">
      <w:pPr>
        <w:pStyle w:val="Heading3"/>
        <w:rPr>
          <w:sz w:val="24"/>
        </w:rPr>
      </w:pPr>
      <w:r w:rsidRPr="004D0DC2">
        <w:lastRenderedPageBreak/>
        <w:t>TASK 3 – COMPREHENSIVE PLAN AND SCHEDULE FOR PROJECT ACTIVITIES AND DELIVERABLES</w:t>
      </w:r>
    </w:p>
    <w:p w14:paraId="53DA0B36" w14:textId="3626F58E" w:rsidR="00537458" w:rsidRPr="004D0DC2" w:rsidRDefault="00537458" w:rsidP="00537458">
      <w:pPr>
        <w:spacing w:after="240"/>
      </w:pPr>
      <w:r w:rsidRPr="004D0DC2">
        <w:t>This section of the Technical Proposal must acknowledge the bidder’s commitment to completing all the requirements specified below in Task 3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3.</w:t>
      </w:r>
    </w:p>
    <w:p w14:paraId="0FA723C7" w14:textId="1A143EF2" w:rsidR="00B120B0" w:rsidRPr="004D0DC2" w:rsidRDefault="00B120B0" w:rsidP="00537458">
      <w:pPr>
        <w:spacing w:after="240"/>
      </w:pPr>
      <w:r w:rsidRPr="004D0DC2">
        <w:t xml:space="preserve">The successful bidder must adhere to the CDE Approval Schedule Requirements as stated in </w:t>
      </w:r>
      <w:r w:rsidRPr="00996AC1">
        <w:t xml:space="preserve">Task 1.5 – </w:t>
      </w:r>
      <w:r w:rsidRPr="00996AC1">
        <w:rPr>
          <w:snapToGrid w:val="0"/>
        </w:rPr>
        <w:t xml:space="preserve">CDE Approval Schedule Requirements </w:t>
      </w:r>
      <w:r w:rsidRPr="00996AC1">
        <w:t>for generating and delivering required reports</w:t>
      </w:r>
      <w:r w:rsidRPr="004D0DC2">
        <w:t>/deliverables.</w:t>
      </w:r>
    </w:p>
    <w:p w14:paraId="6EECFE64" w14:textId="77777777" w:rsidR="00537458" w:rsidRPr="004D0DC2" w:rsidRDefault="00537458" w:rsidP="00537458">
      <w:pPr>
        <w:spacing w:after="240"/>
        <w:rPr>
          <w:rFonts w:cs="Arial"/>
          <w:szCs w:val="24"/>
        </w:rPr>
      </w:pPr>
      <w:r w:rsidRPr="004D0DC2">
        <w:rPr>
          <w:rFonts w:cs="Arial"/>
          <w:szCs w:val="24"/>
        </w:rPr>
        <w:t>The Technical Proposal must include a narrative schedule and timeline which will be used as a monitoring document to ensure timely completion of tasks as proposed by the successful bidder; the narrative schedules and timeline must include the following information:</w:t>
      </w:r>
    </w:p>
    <w:p w14:paraId="14E83220" w14:textId="77777777" w:rsidR="00537458" w:rsidRPr="004D0DC2" w:rsidRDefault="00537458" w:rsidP="00537458">
      <w:pPr>
        <w:pStyle w:val="Heading4"/>
      </w:pPr>
      <w:r w:rsidRPr="004D0DC2">
        <w:t>3.1 Narrative Schedule and Timeline</w:t>
      </w:r>
    </w:p>
    <w:p w14:paraId="2AD7A967" w14:textId="028722CA" w:rsidR="00537458" w:rsidRPr="004D0DC2" w:rsidRDefault="00537458" w:rsidP="54EA1D9A">
      <w:pPr>
        <w:tabs>
          <w:tab w:val="left" w:pos="360"/>
          <w:tab w:val="left" w:pos="720"/>
        </w:tabs>
        <w:spacing w:before="240" w:after="240"/>
        <w:rPr>
          <w:rFonts w:cs="Arial"/>
        </w:rPr>
      </w:pPr>
      <w:r w:rsidRPr="54EA1D9A">
        <w:rPr>
          <w:rFonts w:cs="Arial"/>
        </w:rPr>
        <w:t xml:space="preserve">The Technical Proposal must include a comprehensive plan to address all activities described in Section </w:t>
      </w:r>
      <w:r w:rsidR="00DC395C" w:rsidRPr="54EA1D9A">
        <w:rPr>
          <w:rFonts w:cs="Arial"/>
        </w:rPr>
        <w:t>7</w:t>
      </w:r>
      <w:r w:rsidRPr="54EA1D9A">
        <w:rPr>
          <w:rFonts w:cs="Arial"/>
        </w:rPr>
        <w:t>, Scope of Project.</w:t>
      </w:r>
    </w:p>
    <w:p w14:paraId="2E8A9B9A" w14:textId="0B17A45A" w:rsidR="00B120B0" w:rsidRPr="004D0DC2" w:rsidRDefault="00537458" w:rsidP="00537458">
      <w:pPr>
        <w:rPr>
          <w:b/>
          <w:sz w:val="36"/>
          <w:szCs w:val="36"/>
        </w:rPr>
      </w:pPr>
      <w:r w:rsidRPr="004D0DC2">
        <w:rPr>
          <w:rFonts w:cs="Arial"/>
          <w:szCs w:val="24"/>
        </w:rPr>
        <w:t xml:space="preserve">This section of the Technical Proposal must include a detailed narrative schedule and timeline that outlines, for all fiscal years and parts thereof, both by task/subtask and chronology for each activity to be performed for the entire contract term. The schedule and timeline must list all tasks, subtasks, activities, and deliverables to be performed in each fiscal year, or part thereof, as set forth in the Scope of Project in, Section </w:t>
      </w:r>
      <w:r w:rsidR="00DC395C" w:rsidRPr="004D0DC2">
        <w:rPr>
          <w:rFonts w:cs="Arial"/>
          <w:szCs w:val="24"/>
        </w:rPr>
        <w:t>7</w:t>
      </w:r>
      <w:r w:rsidRPr="004D0DC2">
        <w:rPr>
          <w:rFonts w:cs="Arial"/>
          <w:szCs w:val="24"/>
        </w:rPr>
        <w:t xml:space="preserve">. The chronological schedule and timeline must include proposed task/subtask initiation dates, completion dates, effort required, dependencies between deliverables and activities, and person(s) assigned, for each fiscal year covered under the proposed contract, or part thereof. The schedule and timeline will also serve as a monitoring document to ensure timely completion of tasks as proposed by the successful bidder. The Technical Proposal’s comprehensive plan and schedule must conform to the CDE approval schedule and must be updated and maintained throughout the term of the contract. (See Task </w:t>
      </w:r>
      <w:r w:rsidRPr="00996AC1">
        <w:rPr>
          <w:rFonts w:cs="Arial"/>
          <w:szCs w:val="24"/>
        </w:rPr>
        <w:t>1.</w:t>
      </w:r>
      <w:r w:rsidR="00363E7E">
        <w:rPr>
          <w:rFonts w:cs="Arial"/>
          <w:szCs w:val="24"/>
        </w:rPr>
        <w:t>5</w:t>
      </w:r>
      <w:r w:rsidR="00363E7E" w:rsidRPr="00996AC1">
        <w:rPr>
          <w:rFonts w:cs="Arial"/>
          <w:szCs w:val="24"/>
        </w:rPr>
        <w:t xml:space="preserve"> </w:t>
      </w:r>
      <w:r w:rsidRPr="00996AC1">
        <w:rPr>
          <w:rFonts w:cs="Arial"/>
          <w:szCs w:val="24"/>
        </w:rPr>
        <w:t xml:space="preserve">CDE Approval </w:t>
      </w:r>
      <w:r w:rsidRPr="004D0DC2">
        <w:rPr>
          <w:rFonts w:cs="Arial"/>
          <w:szCs w:val="24"/>
        </w:rPr>
        <w:t>Schedule Requirements.)</w:t>
      </w:r>
    </w:p>
    <w:p w14:paraId="172635DB" w14:textId="77777777" w:rsidR="00B120B0" w:rsidRPr="004D0DC2" w:rsidRDefault="00B120B0">
      <w:pPr>
        <w:rPr>
          <w:b/>
          <w:sz w:val="36"/>
          <w:szCs w:val="36"/>
        </w:rPr>
      </w:pPr>
      <w:r w:rsidRPr="004D0DC2">
        <w:rPr>
          <w:b/>
          <w:sz w:val="36"/>
          <w:szCs w:val="36"/>
        </w:rPr>
        <w:br w:type="page"/>
      </w:r>
    </w:p>
    <w:p w14:paraId="16802BDA" w14:textId="58243D1E" w:rsidR="00537458" w:rsidRPr="004D0DC2" w:rsidRDefault="00537458" w:rsidP="00F67ED5">
      <w:pPr>
        <w:pStyle w:val="Heading3"/>
      </w:pPr>
      <w:r w:rsidRPr="004D0DC2">
        <w:lastRenderedPageBreak/>
        <w:t xml:space="preserve">TASK 4 – </w:t>
      </w:r>
      <w:r w:rsidR="00167090" w:rsidRPr="004D0DC2">
        <w:t>PROFESSIONAL DEVELOPMENT ACTIVITIES</w:t>
      </w:r>
    </w:p>
    <w:p w14:paraId="4337C096" w14:textId="77777777" w:rsidR="005117C7" w:rsidRPr="004D0DC2" w:rsidRDefault="00537458" w:rsidP="00E43B4A">
      <w:pPr>
        <w:spacing w:after="240"/>
        <w:rPr>
          <w:rFonts w:cs="Arial"/>
          <w:szCs w:val="24"/>
        </w:rPr>
      </w:pPr>
      <w:r w:rsidRPr="004D0DC2">
        <w:rPr>
          <w:rFonts w:cs="Arial"/>
          <w:szCs w:val="24"/>
        </w:rPr>
        <w:t>This section of the Technical Proposal must acknowledge the bidder’s commitment to completing all the requirements specified below in Task 4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4.</w:t>
      </w:r>
    </w:p>
    <w:p w14:paraId="0CF5E993" w14:textId="2508B976" w:rsidR="00167090" w:rsidRPr="004D0DC2" w:rsidRDefault="005117C7" w:rsidP="00167090">
      <w:pPr>
        <w:spacing w:after="240"/>
      </w:pPr>
      <w:r w:rsidRPr="004D0DC2">
        <w:t xml:space="preserve">The successful bidder must adhere to the CDE Approval Schedule Requirements as stated in </w:t>
      </w:r>
      <w:r w:rsidRPr="00996AC1">
        <w:t xml:space="preserve">Task 1.5 – </w:t>
      </w:r>
      <w:r w:rsidRPr="00996AC1">
        <w:rPr>
          <w:snapToGrid w:val="0"/>
        </w:rPr>
        <w:t xml:space="preserve">CDE Approval </w:t>
      </w:r>
      <w:r w:rsidRPr="004D0DC2">
        <w:rPr>
          <w:snapToGrid w:val="0"/>
        </w:rPr>
        <w:t xml:space="preserve">Schedule Requirements </w:t>
      </w:r>
      <w:r w:rsidRPr="004D0DC2">
        <w:t>for generating and delivering required reports/deliverables.</w:t>
      </w:r>
    </w:p>
    <w:p w14:paraId="18DF39FF" w14:textId="7C5611CD" w:rsidR="00167090" w:rsidRPr="004D0DC2" w:rsidRDefault="00167090" w:rsidP="00167090">
      <w:pPr>
        <w:spacing w:after="240"/>
        <w:rPr>
          <w:rFonts w:cs="Arial"/>
          <w:szCs w:val="24"/>
        </w:rPr>
      </w:pPr>
      <w:r w:rsidRPr="004D0DC2">
        <w:t>Further, for all professional development activities outlined in Task 4 and in accordance with any recommendation(s) or order(s) contained in a Governor’s executive order, an advisory or order of the California Department of Public Health, or an advisory or order of a county health department with authority over the area in which this contract is to be performed or an advisory or order of a law enforcement authority, any in-person professional development activity(ies) may be cancelled or changed to a virtual professional development activity(ies) at the discretion of the CDE. Therefore, any announcement for the professional development activity(ies) must state that the event may be in-person, virtual, or both. The CDE cannot reimburse the Contractor for any cancellation fees, deposit or pre-payments under any circumstances, even if the CDE decides to cancel the professional development activity(ies).</w:t>
      </w:r>
      <w:r w:rsidRPr="004D0DC2">
        <w:rPr>
          <w:szCs w:val="24"/>
        </w:rPr>
        <w:t xml:space="preserve"> This is applicable to all professional development activities listed in Task 4 as described below.</w:t>
      </w:r>
    </w:p>
    <w:p w14:paraId="46C09F7D" w14:textId="77777777" w:rsidR="00167090" w:rsidRPr="004D0DC2" w:rsidRDefault="00167090" w:rsidP="00167090">
      <w:pPr>
        <w:spacing w:after="240"/>
      </w:pPr>
      <w:r w:rsidRPr="004D0DC2">
        <w:t>The Technical Proposal must describe and demonstrate in detail how the successful bidder’s proposed professional development trainings include the following activities:</w:t>
      </w:r>
    </w:p>
    <w:p w14:paraId="66B34C8F" w14:textId="77777777" w:rsidR="00167090" w:rsidRPr="004D0DC2" w:rsidRDefault="00167090" w:rsidP="00A37665">
      <w:pPr>
        <w:numPr>
          <w:ilvl w:val="0"/>
          <w:numId w:val="45"/>
        </w:numPr>
        <w:spacing w:after="240"/>
      </w:pPr>
      <w:r w:rsidRPr="004D0DC2">
        <w:t>Improving student performance as measured by the National Reporting System (NRS) for adult education, which includes WIOA primary indicators of performance, measures that describe adult education students and their program participation, methodologies for collecting performance data, and program reporting procedures.</w:t>
      </w:r>
    </w:p>
    <w:p w14:paraId="078CF51A" w14:textId="77777777" w:rsidR="00167090" w:rsidRPr="004D0DC2" w:rsidRDefault="00167090" w:rsidP="00A37665">
      <w:pPr>
        <w:numPr>
          <w:ilvl w:val="0"/>
          <w:numId w:val="45"/>
        </w:numPr>
        <w:spacing w:after="240"/>
      </w:pPr>
      <w:r w:rsidRPr="004D0DC2">
        <w:t>Providing data analysis determination of the effectiveness of the successful bidder’s professional development programs.</w:t>
      </w:r>
    </w:p>
    <w:p w14:paraId="45A3902E" w14:textId="77777777" w:rsidR="00167090" w:rsidRPr="004D0DC2" w:rsidRDefault="00167090" w:rsidP="00A37665">
      <w:pPr>
        <w:numPr>
          <w:ilvl w:val="0"/>
          <w:numId w:val="45"/>
        </w:numPr>
        <w:spacing w:after="240"/>
      </w:pPr>
      <w:r w:rsidRPr="004D0DC2">
        <w:t>Describing the correlation between student success, teacher implementation, and administration response to areas of professional development need and structured opportunities for professional development.</w:t>
      </w:r>
    </w:p>
    <w:p w14:paraId="2EDF1538" w14:textId="77777777" w:rsidR="00167090" w:rsidRPr="004D0DC2" w:rsidRDefault="00167090" w:rsidP="00A37665">
      <w:pPr>
        <w:numPr>
          <w:ilvl w:val="0"/>
          <w:numId w:val="45"/>
        </w:numPr>
        <w:spacing w:after="240"/>
      </w:pPr>
      <w:r w:rsidRPr="004D0DC2">
        <w:t>Mapping the correlation between actual implementation of professional development processes and structured professional development training.</w:t>
      </w:r>
    </w:p>
    <w:p w14:paraId="3F3DDD63" w14:textId="77777777" w:rsidR="00167090" w:rsidRPr="004D0DC2" w:rsidRDefault="00167090" w:rsidP="00167090">
      <w:pPr>
        <w:spacing w:after="240"/>
      </w:pPr>
      <w:r w:rsidRPr="004D0DC2">
        <w:t>The Technical Proposal must acknowledge and ensure that the successful bidder will make every effort to use the funding in a cost-effective manner to maximize professional development opportunities. (Note that the Technical Proposal must not contain any cost information. All costs should be addressed solely in the Cost Proposal.)</w:t>
      </w:r>
    </w:p>
    <w:p w14:paraId="4362E2DA" w14:textId="5ABFA724" w:rsidR="00167090" w:rsidRPr="004D0DC2" w:rsidRDefault="00167090" w:rsidP="00167090">
      <w:pPr>
        <w:spacing w:after="240"/>
        <w:rPr>
          <w:rFonts w:cs="Arial"/>
          <w:szCs w:val="24"/>
        </w:rPr>
      </w:pPr>
      <w:r w:rsidRPr="004D0DC2">
        <w:t>The Technical Proposal must include a detailed process for how the successful bidder will develop and implement professional development activities related to adult education</w:t>
      </w:r>
      <w:r w:rsidR="00C57404">
        <w:rPr>
          <w:rFonts w:cs="Arial"/>
          <w:szCs w:val="24"/>
        </w:rPr>
        <w:t>.</w:t>
      </w:r>
    </w:p>
    <w:p w14:paraId="43A58E66"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lastRenderedPageBreak/>
        <w:t>4.1 General Services to Support Professional Development</w:t>
      </w:r>
    </w:p>
    <w:p w14:paraId="4154CAA7" w14:textId="77777777" w:rsidR="00167090" w:rsidRPr="004D0DC2" w:rsidRDefault="00167090" w:rsidP="004F4F2E">
      <w:pPr>
        <w:spacing w:after="240"/>
      </w:pPr>
      <w:r w:rsidRPr="004D0DC2">
        <w:t>The Technical Proposal must describe and demonstrate in detail how the successful bidder proposes to provide the following general services to support the professional development activities:</w:t>
      </w:r>
    </w:p>
    <w:p w14:paraId="30E5D1C3"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4.1.A. Recruit Facilitators/Trainers</w:t>
      </w:r>
    </w:p>
    <w:p w14:paraId="7BAD0046" w14:textId="38558080" w:rsidR="00167090" w:rsidRPr="004D0DC2" w:rsidRDefault="00167090" w:rsidP="004F4F2E">
      <w:pPr>
        <w:spacing w:after="240"/>
        <w:ind w:left="720"/>
      </w:pPr>
      <w:r w:rsidRPr="004D0DC2">
        <w:t>Beginning in the first fiscal year (202</w:t>
      </w:r>
      <w:r w:rsidR="004D5A99" w:rsidRPr="004D0DC2">
        <w:t>6</w:t>
      </w:r>
      <w:r w:rsidRPr="004D0DC2">
        <w:t>–2</w:t>
      </w:r>
      <w:r w:rsidR="004D5A99" w:rsidRPr="004D0DC2">
        <w:t>7</w:t>
      </w:r>
      <w:r w:rsidRPr="004D0DC2">
        <w:t>), the successful bidder will recruit and retain at least 15 facilitators or trainers who are subject area experts for professional development trainings by October 1st. Subject area experts are adult education professionals in California and other states who have experience in and knowledge of a variety of educational topics, including, but not limited to: ELA, ABE, ASE, and IELCE programs as well as school improvement models such as professional learning communities and lesson study. All trainers and facilitators must be pre-approved by the CDE Contract Monitor.</w:t>
      </w:r>
    </w:p>
    <w:p w14:paraId="447211C4"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4.1.B. Update Existing Modules</w:t>
      </w:r>
    </w:p>
    <w:p w14:paraId="67206B5C" w14:textId="523B9A60" w:rsidR="00167090" w:rsidRPr="004D0DC2" w:rsidRDefault="00167090" w:rsidP="00167090">
      <w:pPr>
        <w:spacing w:after="240"/>
        <w:ind w:left="720"/>
      </w:pPr>
      <w:r w:rsidRPr="004D0DC2">
        <w:t xml:space="preserve">Consult with the CDE to prioritize existing training modules that need to be updated. At least four modules will be updated each fiscal year. The CDE through its current contractor has developed many training modules and they can be viewed on the </w:t>
      </w:r>
      <w:r w:rsidR="00C75695">
        <w:t>CALPRO</w:t>
      </w:r>
      <w:r w:rsidR="00C75695" w:rsidRPr="004D0DC2">
        <w:t xml:space="preserve"> </w:t>
      </w:r>
      <w:r w:rsidRPr="004D0DC2">
        <w:t xml:space="preserve">website at </w:t>
      </w:r>
      <w:hyperlink r:id="rId35" w:tooltip="California Adult Literacy Professional Development Project web page " w:history="1">
        <w:r w:rsidRPr="004D0DC2">
          <w:rPr>
            <w:color w:val="0000FF"/>
            <w:u w:val="single"/>
          </w:rPr>
          <w:t>https://calpro-online.org/</w:t>
        </w:r>
      </w:hyperlink>
      <w:r w:rsidRPr="004D0DC2">
        <w:t>. With the CDE’s approval, identify and combine any duplicative versions of existing training guides, handbooks, or other professional development activities.</w:t>
      </w:r>
    </w:p>
    <w:p w14:paraId="61C39C7C" w14:textId="77777777" w:rsidR="00167090" w:rsidRPr="004D0DC2" w:rsidRDefault="00167090" w:rsidP="00167090">
      <w:pPr>
        <w:keepNext/>
        <w:keepLines/>
        <w:spacing w:before="40" w:after="240"/>
        <w:ind w:left="720"/>
        <w:outlineLvl w:val="4"/>
        <w:rPr>
          <w:rFonts w:eastAsia="Times New Roman" w:cs="Arial"/>
          <w:sz w:val="28"/>
        </w:rPr>
      </w:pPr>
      <w:r w:rsidRPr="004D0DC2">
        <w:rPr>
          <w:rFonts w:eastAsiaTheme="majorEastAsia" w:cstheme="majorBidi"/>
          <w:sz w:val="28"/>
        </w:rPr>
        <w:t xml:space="preserve">4.1.C. Develop and Maintain a </w:t>
      </w:r>
      <w:r w:rsidRPr="004D0DC2">
        <w:rPr>
          <w:rFonts w:eastAsia="Times New Roman" w:cs="Arial"/>
          <w:sz w:val="28"/>
        </w:rPr>
        <w:t>Comprehensive Website</w:t>
      </w:r>
    </w:p>
    <w:p w14:paraId="32C31036" w14:textId="1CF3DE61" w:rsidR="00167090" w:rsidRPr="004D0DC2" w:rsidRDefault="00167090" w:rsidP="004F4F2E">
      <w:pPr>
        <w:spacing w:after="240"/>
        <w:ind w:left="720"/>
      </w:pPr>
      <w:r w:rsidRPr="004D0DC2">
        <w:t>C</w:t>
      </w:r>
      <w:r w:rsidRPr="004D0DC2">
        <w:rPr>
          <w:rFonts w:eastAsia="Times New Roman" w:cs="Arial"/>
          <w:szCs w:val="24"/>
        </w:rPr>
        <w:t>reate, host, and maintain a comprehensive website for the CDE adult education professional development project. At minimum the web pages will include instructional modules and administrative resources relevant to the adult education programs, such as ELA, ABE, ASE, and IET. The web pages will also include online archive of professional development materials. The web pages and the archived materials must adhere to the CDE information technology requirements as stated in RFP Section 10.1 and 10.6. All documents produced for the CDE adult education program or provided to end users or CDE staff must also adhere to the RFP, including but not limited to, RFP Sections 10.1 and 10.6.</w:t>
      </w:r>
    </w:p>
    <w:p w14:paraId="0051C5E2"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4.1.D. Online Registration System</w:t>
      </w:r>
    </w:p>
    <w:p w14:paraId="7B5E3A49" w14:textId="52A7028F" w:rsidR="00167090" w:rsidRPr="004D0DC2" w:rsidRDefault="00167090" w:rsidP="004F4F2E">
      <w:pPr>
        <w:spacing w:after="240"/>
        <w:ind w:left="720"/>
      </w:pPr>
      <w:r w:rsidRPr="004D0DC2">
        <w:t>D</w:t>
      </w:r>
      <w:r w:rsidRPr="004D0DC2">
        <w:rPr>
          <w:rFonts w:eastAsia="Times New Roman" w:cs="Arial"/>
          <w:szCs w:val="24"/>
        </w:rPr>
        <w:t>evelop and maintain a professional development online registration system and keep a record of professional development trainers and participants. Provide a detailed description of the online course delivery system and a detailed description of how the successful bidder supports a regional structure for delivery of professional development services through regional professional development trainings. A regional area is defined as a cluster of counties in a certain geographical area such as central valley, bay area, and greater San Diego area. The online registration system must adhere to data privacy and confidential as described in RFP Section 10.2 data management requirements and must also comply with RFP Sections 10.1 and 10.6.</w:t>
      </w:r>
    </w:p>
    <w:p w14:paraId="68EEF53C"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lastRenderedPageBreak/>
        <w:t>4.1.E. Participant Evaluations/Reflections</w:t>
      </w:r>
    </w:p>
    <w:p w14:paraId="4A07B0AE" w14:textId="6C1A1830" w:rsidR="00167090" w:rsidRPr="004D0DC2" w:rsidRDefault="00167090" w:rsidP="004F4F2E">
      <w:pPr>
        <w:spacing w:after="240"/>
        <w:ind w:left="720"/>
      </w:pPr>
      <w:r w:rsidRPr="004D0DC2">
        <w:t>Obtain feedback from participants, at the last session of each professional development training, regarding the effectiveness of the training for application in the classroom or school. Results of the participant evaluations will be analyzed, synthesized, and reported in the monthly report to the CDE for the respective programs completed.</w:t>
      </w:r>
    </w:p>
    <w:p w14:paraId="2411D69C"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4.1.F. Follow Up Surveys</w:t>
      </w:r>
    </w:p>
    <w:p w14:paraId="5B62D884" w14:textId="77777777" w:rsidR="00167090" w:rsidRPr="004D0DC2" w:rsidRDefault="00167090" w:rsidP="00167090">
      <w:pPr>
        <w:spacing w:after="240"/>
        <w:ind w:left="720"/>
      </w:pPr>
      <w:r w:rsidRPr="004D0DC2">
        <w:t>Develop and conduct follow up surveys to participants encouraging them to share their reflections on the impact of the professional development to their instructional leadership and practice. The survey instruments must be reviewed and approved by the CDE Contract Monitor prior to being administered. For administrators, how has participating in the leadership institute, administrator webinars, or other offerings enhanced their leadership and management skills to better serve their schools or programs. For teachers, how has participating in professional development opportunities enhanced their instructional practice and improved instruction in the classroom. These follow up surveys will be conducted at least three months after the professional development activities are concluded. The results of the participant feedbacks and follow up surveys will be analyzed, synthesized, and presented in the annual report.</w:t>
      </w:r>
    </w:p>
    <w:p w14:paraId="7A19227B"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4.1.G. Relevant Adult Education Research</w:t>
      </w:r>
    </w:p>
    <w:p w14:paraId="314CC36B" w14:textId="77777777" w:rsidR="00167090" w:rsidRPr="004D0DC2" w:rsidRDefault="00167090" w:rsidP="00167090">
      <w:pPr>
        <w:spacing w:after="240"/>
        <w:ind w:left="720"/>
      </w:pPr>
      <w:r w:rsidRPr="004D0DC2">
        <w:t>Identify and disseminate to local adult education providers relevant, current adult education research, particularly research highlighting effective instructional practices; maintain a web page on current research from state and national adult education resources. The successful bidder must identify and disseminate 12 of these research publications to local agencies each fiscal year.</w:t>
      </w:r>
    </w:p>
    <w:p w14:paraId="68F1A7BA"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4.1.H. Quality Assurance</w:t>
      </w:r>
    </w:p>
    <w:p w14:paraId="6C817503" w14:textId="401EED63" w:rsidR="00167090" w:rsidRPr="004D0DC2" w:rsidRDefault="00167090" w:rsidP="004F4F2E">
      <w:pPr>
        <w:spacing w:after="240"/>
        <w:ind w:left="720"/>
      </w:pPr>
      <w:r w:rsidRPr="004D0DC2">
        <w:t>Describe how the successful bidder will ensure high quality standards and assurance in all professional development products and services created for the CDE.</w:t>
      </w:r>
    </w:p>
    <w:p w14:paraId="3D72DB7E"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t>4.2 Research to Practice Brief</w:t>
      </w:r>
    </w:p>
    <w:p w14:paraId="7A5B3DB9" w14:textId="77777777" w:rsidR="00167090" w:rsidRPr="004D0DC2" w:rsidRDefault="00167090" w:rsidP="00167090">
      <w:pPr>
        <w:spacing w:after="240"/>
      </w:pPr>
      <w:r w:rsidRPr="004D0DC2">
        <w:t>The Technical Proposal must describe and demonstrate in detail how the successful bidder proposes to design, conduct, and publish one “research to practice” brief on an emerging adult education topic with successful program examples from California adult education providers per fiscal year and must include the following:</w:t>
      </w:r>
    </w:p>
    <w:p w14:paraId="195BD0F4" w14:textId="77777777" w:rsidR="00167090" w:rsidRPr="004D0DC2" w:rsidRDefault="00167090" w:rsidP="00A37665">
      <w:pPr>
        <w:numPr>
          <w:ilvl w:val="0"/>
          <w:numId w:val="48"/>
        </w:numPr>
        <w:spacing w:after="240"/>
      </w:pPr>
      <w:r w:rsidRPr="004D0DC2">
        <w:t>Ensure that the research aspect consists of a topical search of professionally published journals, books, and publications; a synthesis of the materials gathered is conducted, and written in a scholarly manner. The practice perspective will consist of short articles written by California practitioners. This product will be designed for optimal readability by increasing the use of images, infographics, and charts (where appropriate).</w:t>
      </w:r>
    </w:p>
    <w:p w14:paraId="726BE619" w14:textId="77777777" w:rsidR="00167090" w:rsidRPr="004D0DC2" w:rsidRDefault="00167090" w:rsidP="00A37665">
      <w:pPr>
        <w:numPr>
          <w:ilvl w:val="0"/>
          <w:numId w:val="48"/>
        </w:numPr>
        <w:spacing w:after="240"/>
      </w:pPr>
      <w:r w:rsidRPr="004D0DC2">
        <w:lastRenderedPageBreak/>
        <w:t>Ensure that the publication will include web-based format (e.g., blog, adult education publication hub) with the ability to connect to social media (Twitter, etc.) to increase access and distribution.</w:t>
      </w:r>
    </w:p>
    <w:p w14:paraId="30673589" w14:textId="20A2614C" w:rsidR="00167090" w:rsidRPr="004D0DC2" w:rsidRDefault="00167090" w:rsidP="00A37665">
      <w:pPr>
        <w:numPr>
          <w:ilvl w:val="0"/>
          <w:numId w:val="48"/>
        </w:numPr>
        <w:spacing w:after="240"/>
      </w:pPr>
      <w:r w:rsidRPr="004D0DC2">
        <w:t xml:space="preserve">The Technical Proposal must describe in detail how the successful bidder will </w:t>
      </w:r>
      <w:r w:rsidR="0031794A">
        <w:t>promote the publication</w:t>
      </w:r>
      <w:r w:rsidRPr="004D0DC2">
        <w:t xml:space="preserve"> in statewide and local conferences, workshops, and convenings.</w:t>
      </w:r>
    </w:p>
    <w:p w14:paraId="027D8457" w14:textId="77777777" w:rsidR="00167090" w:rsidRPr="004D0DC2" w:rsidRDefault="00167090" w:rsidP="00A37665">
      <w:pPr>
        <w:numPr>
          <w:ilvl w:val="0"/>
          <w:numId w:val="48"/>
        </w:numPr>
        <w:spacing w:after="240"/>
      </w:pPr>
      <w:r w:rsidRPr="004D0DC2">
        <w:t>Provide that the final draft of this product meets the CDE standards described in Task 2.3. This product will be subject to CDE review and input in accordance with Task 1.5.</w:t>
      </w:r>
    </w:p>
    <w:p w14:paraId="244AC098"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t>4.3 Continuous Improvement Plan</w:t>
      </w:r>
    </w:p>
    <w:p w14:paraId="62CB4988" w14:textId="77777777" w:rsidR="00167090" w:rsidRPr="004D0DC2" w:rsidRDefault="00167090" w:rsidP="00167090">
      <w:pPr>
        <w:spacing w:after="240"/>
      </w:pPr>
      <w:r w:rsidRPr="004D0DC2">
        <w:t>The Technical Proposal must describe and demonstrate in detail how the successful bidder proposes to provide revision of the annual Continuous Improvement Plan (CIP), including guidance, review and approval as indicated below:</w:t>
      </w:r>
    </w:p>
    <w:p w14:paraId="2BD0CDBC" w14:textId="77777777" w:rsidR="00167090" w:rsidRPr="004D0DC2" w:rsidRDefault="00167090" w:rsidP="004F4F2E">
      <w:pPr>
        <w:numPr>
          <w:ilvl w:val="0"/>
          <w:numId w:val="46"/>
        </w:numPr>
        <w:spacing w:after="240"/>
        <w:ind w:left="720"/>
      </w:pPr>
      <w:r w:rsidRPr="004D0DC2">
        <w:t>Collaborate with the CDE and other state leadership projects (SLP) in supporting local agencies completing their annual CIP, which incorporates the Professional Development Plan, Technology and Distance Learning Plan, and IELCE Plan. The successful bidder will annually revise the CIP in collaboration with the CDE and other SLP. The plans are due to the CDE on or before April 30 for each fiscal year via an online portal developed by the successful bidder or another SLP for this purpose.</w:t>
      </w:r>
    </w:p>
    <w:p w14:paraId="04716B49" w14:textId="77777777" w:rsidR="00167090" w:rsidRPr="004D0DC2" w:rsidRDefault="00167090" w:rsidP="004F4F2E">
      <w:pPr>
        <w:numPr>
          <w:ilvl w:val="0"/>
          <w:numId w:val="46"/>
        </w:numPr>
        <w:spacing w:after="240"/>
        <w:ind w:left="720"/>
      </w:pPr>
      <w:r w:rsidRPr="004D0DC2">
        <w:t>Revise the criteria and guidelines for the review and approval process of the annual CIP. Revised criteria and guidelines require the CDE’s review and approval before implementation.</w:t>
      </w:r>
    </w:p>
    <w:p w14:paraId="0E2D75A9" w14:textId="6D23C4DC" w:rsidR="00167090" w:rsidRPr="004D0DC2" w:rsidRDefault="00167090" w:rsidP="004F4F2E">
      <w:pPr>
        <w:numPr>
          <w:ilvl w:val="0"/>
          <w:numId w:val="46"/>
        </w:numPr>
        <w:spacing w:after="240"/>
        <w:ind w:left="720"/>
      </w:pPr>
      <w:r w:rsidRPr="004D0DC2">
        <w:t xml:space="preserve">Review and approve the annual CIP by July 31 each fiscal year. This includes recruiting at least 10 experienced adult educators to be reviewers and provide </w:t>
      </w:r>
      <w:r w:rsidR="00DB2B3F">
        <w:t xml:space="preserve">an </w:t>
      </w:r>
      <w:r w:rsidRPr="004D0DC2">
        <w:t xml:space="preserve">annual </w:t>
      </w:r>
      <w:r w:rsidR="00F374CE">
        <w:t xml:space="preserve">virtual </w:t>
      </w:r>
      <w:r w:rsidRPr="004D0DC2">
        <w:t>training</w:t>
      </w:r>
      <w:r w:rsidR="008434B5">
        <w:t>, followed by</w:t>
      </w:r>
      <w:r w:rsidR="00616CD3">
        <w:t xml:space="preserve"> </w:t>
      </w:r>
      <w:r w:rsidRPr="004D0DC2">
        <w:t>one-on-one coaching as needed to complete the reviews.</w:t>
      </w:r>
    </w:p>
    <w:p w14:paraId="01079955"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t>4.4 Professional Development Trainings</w:t>
      </w:r>
    </w:p>
    <w:p w14:paraId="1B92098E" w14:textId="77777777" w:rsidR="00167090" w:rsidRPr="004D0DC2" w:rsidRDefault="00167090" w:rsidP="00167090">
      <w:pPr>
        <w:spacing w:after="240"/>
      </w:pPr>
      <w:r w:rsidRPr="004D0DC2">
        <w:t>The Technical Proposal must describe and demonstrate in detail how the successful bidder will conduct professional development trainings in a hybrid model where participants meet in-person and virtually using a reliable online platform. Unless otherwise approved by the CDE, all trainings must be equally accessible by educators in Northern, Central, and Southern California. A blended learning model to include some online instructional activities could be required to facilitate optimal learning.</w:t>
      </w:r>
    </w:p>
    <w:p w14:paraId="4C853E7D"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4.4.A. Communities of Practice</w:t>
      </w:r>
    </w:p>
    <w:p w14:paraId="2EBB25B4" w14:textId="77777777" w:rsidR="00167090" w:rsidRPr="004D0DC2" w:rsidRDefault="00167090" w:rsidP="00167090">
      <w:pPr>
        <w:spacing w:after="240"/>
        <w:ind w:left="720"/>
      </w:pPr>
      <w:r w:rsidRPr="004D0DC2">
        <w:t>The Technical Proposal must describe how the successful bidder will provide a minimum of 15 Communities of Practice (CoP) trainings per year. The Technical Proposal must describe and demonstrate in detail how the successful bidder will ensure that each session will have sufficient intensity and duration to be effective.</w:t>
      </w:r>
    </w:p>
    <w:p w14:paraId="5CA235EB" w14:textId="77777777" w:rsidR="00167090" w:rsidRPr="004D0DC2" w:rsidRDefault="00167090" w:rsidP="00167090">
      <w:pPr>
        <w:spacing w:after="240"/>
        <w:ind w:left="720"/>
      </w:pPr>
      <w:r w:rsidRPr="004D0DC2">
        <w:t xml:space="preserve">The Technical Proposal must acknowledge and ensure that all trainings will be conducted in four sessions, each session should be three to four hours in length, for a total of 12 hours in length per training. The Technical Proposal must acknowledge and ensure that </w:t>
      </w:r>
      <w:r w:rsidRPr="004D0DC2">
        <w:lastRenderedPageBreak/>
        <w:t>the first session of each training, unless otherwise approved by CDE, must be conducted in person. The other sessions may be conducted online or via a webinar. The Technical Proposal must acknowledge and ensure when appropriate, the successful bidder will provide all participants the required materials for background reading before each training session.</w:t>
      </w:r>
    </w:p>
    <w:p w14:paraId="55FB55CE" w14:textId="77777777" w:rsidR="00167090" w:rsidRPr="004D0DC2" w:rsidRDefault="00167090" w:rsidP="00167090">
      <w:pPr>
        <w:spacing w:after="240"/>
        <w:ind w:left="720"/>
      </w:pPr>
      <w:r w:rsidRPr="004D0DC2">
        <w:t>The Technical Proposal must acknowledge and ensure that the costs for all professional development training, including travel of participants (excluding CDE staff), are to be provided by the successful bidder. Honoraria and substitute costs will not be reimbursed by the CDE for this task.</w:t>
      </w:r>
    </w:p>
    <w:p w14:paraId="2617AD15" w14:textId="77777777" w:rsidR="00167090" w:rsidRPr="004D0DC2" w:rsidRDefault="00167090" w:rsidP="00167090">
      <w:pPr>
        <w:spacing w:after="240"/>
        <w:ind w:left="720"/>
      </w:pPr>
      <w:r w:rsidRPr="004D0DC2">
        <w:t>The following are some of the topics for the CoP trainings:</w:t>
      </w:r>
    </w:p>
    <w:p w14:paraId="7557D205" w14:textId="77777777" w:rsidR="00167090" w:rsidRPr="004D0DC2" w:rsidRDefault="00167090" w:rsidP="00A37665">
      <w:pPr>
        <w:numPr>
          <w:ilvl w:val="0"/>
          <w:numId w:val="49"/>
        </w:numPr>
        <w:spacing w:after="240"/>
        <w:ind w:left="1440"/>
      </w:pPr>
      <w:r w:rsidRPr="004D0DC2">
        <w:t>College and Career Readiness Standards (CCRS) and English Language Proficiency Standards for adult education,</w:t>
      </w:r>
    </w:p>
    <w:p w14:paraId="45211063" w14:textId="77777777" w:rsidR="00167090" w:rsidRPr="004D0DC2" w:rsidRDefault="00167090" w:rsidP="00A37665">
      <w:pPr>
        <w:numPr>
          <w:ilvl w:val="0"/>
          <w:numId w:val="49"/>
        </w:numPr>
        <w:spacing w:after="240"/>
        <w:ind w:left="1440"/>
      </w:pPr>
      <w:r w:rsidRPr="004D0DC2">
        <w:t>Math instructional strategies,</w:t>
      </w:r>
    </w:p>
    <w:p w14:paraId="207E887F" w14:textId="77777777" w:rsidR="00167090" w:rsidRPr="004D0DC2" w:rsidRDefault="00167090" w:rsidP="00A37665">
      <w:pPr>
        <w:numPr>
          <w:ilvl w:val="0"/>
          <w:numId w:val="49"/>
        </w:numPr>
        <w:spacing w:after="240"/>
        <w:ind w:left="1440"/>
      </w:pPr>
      <w:r w:rsidRPr="004D0DC2">
        <w:t>Evidenced-based reading instruction for ELA and ABE students,</w:t>
      </w:r>
    </w:p>
    <w:p w14:paraId="31474482" w14:textId="77777777" w:rsidR="00167090" w:rsidRPr="004D0DC2" w:rsidRDefault="00167090" w:rsidP="00A37665">
      <w:pPr>
        <w:numPr>
          <w:ilvl w:val="0"/>
          <w:numId w:val="49"/>
        </w:numPr>
        <w:spacing w:after="240"/>
        <w:ind w:left="1440"/>
      </w:pPr>
      <w:r w:rsidRPr="004D0DC2">
        <w:t>Optimizing ELA instructional planning: management, monitoring, and reflection,</w:t>
      </w:r>
    </w:p>
    <w:p w14:paraId="161BF6F0" w14:textId="77777777" w:rsidR="00167090" w:rsidRPr="004D0DC2" w:rsidRDefault="00167090" w:rsidP="00A37665">
      <w:pPr>
        <w:numPr>
          <w:ilvl w:val="0"/>
          <w:numId w:val="49"/>
        </w:numPr>
        <w:spacing w:after="240"/>
        <w:ind w:left="1440"/>
      </w:pPr>
      <w:r w:rsidRPr="004D0DC2">
        <w:t>Effective teaching for adult educators,</w:t>
      </w:r>
    </w:p>
    <w:p w14:paraId="49DD0225" w14:textId="77777777" w:rsidR="00167090" w:rsidRPr="004D0DC2" w:rsidRDefault="00167090" w:rsidP="00A37665">
      <w:pPr>
        <w:numPr>
          <w:ilvl w:val="0"/>
          <w:numId w:val="49"/>
        </w:numPr>
        <w:spacing w:after="240"/>
        <w:ind w:left="1440"/>
      </w:pPr>
      <w:r w:rsidRPr="004D0DC2">
        <w:t>Accelerating learning to facilitate career pathways,</w:t>
      </w:r>
    </w:p>
    <w:p w14:paraId="3EA81EAE" w14:textId="77777777" w:rsidR="00167090" w:rsidRPr="004D0DC2" w:rsidRDefault="00167090" w:rsidP="00A37665">
      <w:pPr>
        <w:numPr>
          <w:ilvl w:val="0"/>
          <w:numId w:val="49"/>
        </w:numPr>
        <w:spacing w:after="240"/>
        <w:ind w:left="1440"/>
      </w:pPr>
      <w:r w:rsidRPr="004D0DC2">
        <w:t>Accommodation and learning strategies for students with disabilities,</w:t>
      </w:r>
    </w:p>
    <w:p w14:paraId="52ADDFDD" w14:textId="77777777" w:rsidR="00167090" w:rsidRPr="004D0DC2" w:rsidRDefault="00167090" w:rsidP="00A37665">
      <w:pPr>
        <w:numPr>
          <w:ilvl w:val="0"/>
          <w:numId w:val="49"/>
        </w:numPr>
        <w:spacing w:after="240"/>
        <w:ind w:left="1440"/>
      </w:pPr>
      <w:r w:rsidRPr="004D0DC2">
        <w:t>Persistence and motivation,</w:t>
      </w:r>
    </w:p>
    <w:p w14:paraId="7371F547" w14:textId="77777777" w:rsidR="00167090" w:rsidRPr="004D0DC2" w:rsidRDefault="00167090" w:rsidP="00A37665">
      <w:pPr>
        <w:numPr>
          <w:ilvl w:val="0"/>
          <w:numId w:val="49"/>
        </w:numPr>
        <w:spacing w:after="240"/>
        <w:ind w:left="1440"/>
      </w:pPr>
      <w:r w:rsidRPr="004D0DC2">
        <w:t>Postsecondary transitions,</w:t>
      </w:r>
    </w:p>
    <w:p w14:paraId="75DB9662" w14:textId="77777777" w:rsidR="00167090" w:rsidRPr="004D0DC2" w:rsidRDefault="00167090" w:rsidP="00A37665">
      <w:pPr>
        <w:numPr>
          <w:ilvl w:val="0"/>
          <w:numId w:val="49"/>
        </w:numPr>
        <w:spacing w:after="240"/>
        <w:ind w:left="1440"/>
      </w:pPr>
      <w:r w:rsidRPr="004D0DC2">
        <w:t>Integrated and contextualized workforce skills for the ELA classroom,</w:t>
      </w:r>
    </w:p>
    <w:p w14:paraId="04251588" w14:textId="77777777" w:rsidR="00167090" w:rsidRPr="004D0DC2" w:rsidRDefault="00167090" w:rsidP="00A37665">
      <w:pPr>
        <w:numPr>
          <w:ilvl w:val="0"/>
          <w:numId w:val="49"/>
        </w:numPr>
        <w:spacing w:after="240"/>
        <w:ind w:left="1440"/>
      </w:pPr>
      <w:r w:rsidRPr="004D0DC2">
        <w:t>Managing the ELA multilevel classroom,</w:t>
      </w:r>
    </w:p>
    <w:p w14:paraId="1DB7B37D" w14:textId="77777777" w:rsidR="00167090" w:rsidRPr="004D0DC2" w:rsidRDefault="00167090" w:rsidP="00A37665">
      <w:pPr>
        <w:numPr>
          <w:ilvl w:val="0"/>
          <w:numId w:val="49"/>
        </w:numPr>
        <w:spacing w:after="240"/>
        <w:ind w:left="1440"/>
      </w:pPr>
      <w:r w:rsidRPr="004D0DC2">
        <w:t>IET best practices,</w:t>
      </w:r>
    </w:p>
    <w:p w14:paraId="2B6D74EA" w14:textId="77777777" w:rsidR="00167090" w:rsidRPr="004D0DC2" w:rsidRDefault="00167090" w:rsidP="00A37665">
      <w:pPr>
        <w:numPr>
          <w:ilvl w:val="0"/>
          <w:numId w:val="49"/>
        </w:numPr>
        <w:spacing w:after="240"/>
        <w:ind w:left="1440"/>
      </w:pPr>
      <w:r w:rsidRPr="004D0DC2">
        <w:t>Equity training,</w:t>
      </w:r>
    </w:p>
    <w:p w14:paraId="212AF8D2" w14:textId="77777777" w:rsidR="00167090" w:rsidRPr="004D0DC2" w:rsidRDefault="00167090" w:rsidP="00A37665">
      <w:pPr>
        <w:numPr>
          <w:ilvl w:val="0"/>
          <w:numId w:val="49"/>
        </w:numPr>
        <w:spacing w:after="240"/>
        <w:ind w:left="1440"/>
      </w:pPr>
      <w:r w:rsidRPr="004D0DC2">
        <w:t>Racial equity training, and</w:t>
      </w:r>
    </w:p>
    <w:p w14:paraId="08985288" w14:textId="77777777" w:rsidR="00167090" w:rsidRPr="004D0DC2" w:rsidRDefault="00167090" w:rsidP="00A37665">
      <w:pPr>
        <w:numPr>
          <w:ilvl w:val="0"/>
          <w:numId w:val="49"/>
        </w:numPr>
        <w:spacing w:after="240"/>
        <w:ind w:left="1440"/>
      </w:pPr>
      <w:r w:rsidRPr="004D0DC2">
        <w:t>Teaching Skills That Matter (TSTM) and EL Civics Education.</w:t>
      </w:r>
    </w:p>
    <w:p w14:paraId="56A2CE66"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4.4.B. Professional Learning Communities</w:t>
      </w:r>
    </w:p>
    <w:p w14:paraId="3ED4F23A" w14:textId="6E0E7C4D" w:rsidR="00167090" w:rsidRPr="004D0DC2" w:rsidRDefault="00167090" w:rsidP="00167090">
      <w:pPr>
        <w:spacing w:after="240"/>
        <w:ind w:left="720"/>
      </w:pPr>
      <w:r>
        <w:t xml:space="preserve">The Technical Proposal must describe and demonstrate in detail how the successful bidder will offer trainings on how to create a school culture shift through developing the Professional Learning Communities (PLC). PLC are established in a school to develop a learning community where the school is focused on continuous learning and school improvement. School administrators and teachers meet on a regular basis to analyze </w:t>
      </w:r>
      <w:r>
        <w:lastRenderedPageBreak/>
        <w:t>student performance data and strategize on how best to improve instruction and student learning. The Technical Proposal must describe in detail how the trainings include professional development plans, as well as upgrade administrative and teaching strategies. These trainings must also include using student performance data to inform instruction and maximize student achievement. The Technical Proposal must describe and demonstrate in detail how the successful bidder ensures that each session will have sufficient intensity and duration to be effective. One PLC must be offered per fiscal year for up to 25 participants, which includes at least five</w:t>
      </w:r>
      <w:r w:rsidR="7E4AF34A">
        <w:t xml:space="preserve"> </w:t>
      </w:r>
      <w:r>
        <w:t xml:space="preserve">days and minimum of six hours per day. Successful bidder must advertise and recruit schools to send teams of two-three members to participate in the trainings, including an administrator and </w:t>
      </w:r>
      <w:r w:rsidR="00533BB3">
        <w:t>one-</w:t>
      </w:r>
      <w:r>
        <w:t>two teachers.</w:t>
      </w:r>
    </w:p>
    <w:p w14:paraId="0A5D6660" w14:textId="34C1E511" w:rsidR="00167090" w:rsidRPr="004D0DC2" w:rsidRDefault="00167090" w:rsidP="00167090">
      <w:pPr>
        <w:spacing w:after="240"/>
        <w:ind w:left="720"/>
      </w:pPr>
      <w:r w:rsidRPr="004D0DC2">
        <w:t xml:space="preserve">The Technical Proposal must describe and demonstrate in detail how the program will include a coaching component to the PLC participants and local agencies to ensure successful implementation. The Technical Proposal must describe and demonstrate how the successful bidder will recruit at least five coaches who are successful administrators, and how they will be trained to </w:t>
      </w:r>
      <w:r w:rsidRPr="00DB2B3F">
        <w:t xml:space="preserve">hold </w:t>
      </w:r>
      <w:r w:rsidR="00533BB3" w:rsidRPr="00227FE2">
        <w:t>virtual</w:t>
      </w:r>
      <w:r w:rsidR="00533BB3" w:rsidRPr="00DB2B3F">
        <w:t xml:space="preserve"> </w:t>
      </w:r>
      <w:r w:rsidRPr="00DB2B3F">
        <w:t>coaching</w:t>
      </w:r>
      <w:r w:rsidRPr="004D0DC2">
        <w:t xml:space="preserve"> meetings with PLC leaders, at least on a quarterly basis during the PLC Institute year and the following year.</w:t>
      </w:r>
    </w:p>
    <w:p w14:paraId="3C2D3968" w14:textId="77777777" w:rsidR="00167090" w:rsidRPr="004D0DC2" w:rsidRDefault="00167090" w:rsidP="00167090">
      <w:pPr>
        <w:spacing w:after="240"/>
        <w:ind w:left="720"/>
      </w:pPr>
      <w:r w:rsidRPr="004D0DC2">
        <w:t>The Technical Proposal must describe and demonstrate in detail how the program will incorporate Lesson Study into the overall PLC Institute. Lesson Study is a teacher-driven instructional improvement strategy.</w:t>
      </w:r>
    </w:p>
    <w:p w14:paraId="2E001E07" w14:textId="77777777" w:rsidR="00167090" w:rsidRPr="004D0DC2" w:rsidRDefault="00167090" w:rsidP="00167090">
      <w:pPr>
        <w:spacing w:after="240"/>
        <w:ind w:left="720"/>
      </w:pPr>
      <w:r w:rsidRPr="004D0DC2">
        <w:t>The Technical Proposal must acknowledge and ensure that the costs for all professional development training, including travel of participants (excluding CDE staff), are to be provided by the successful bidder. Honoraria and substitute costs will not be reimbursed by the CDE for this task.</w:t>
      </w:r>
    </w:p>
    <w:p w14:paraId="558CC4D0"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4.4.C. Regional Trainings and Conference Presentations</w:t>
      </w:r>
    </w:p>
    <w:p w14:paraId="14674A57" w14:textId="20CDFEB9" w:rsidR="00167090" w:rsidRPr="004D0DC2" w:rsidRDefault="00167090" w:rsidP="00167090">
      <w:pPr>
        <w:spacing w:after="240"/>
        <w:ind w:left="720"/>
      </w:pPr>
      <w:r w:rsidRPr="004D0DC2">
        <w:t>The Technical Proposal must describe and demonstrate in detail how the successful bidder will provide at least six regional trainings as well as at least four conference presentations per</w:t>
      </w:r>
      <w:r w:rsidR="00533BB3">
        <w:t xml:space="preserve"> fiscal</w:t>
      </w:r>
      <w:r w:rsidRPr="004D0DC2">
        <w:t xml:space="preserve"> year. Each regional training will be at least three hours in length and each conference presentation will be 45–90 minutes. The successful bidder must describe how to use the following professional development topics to implement exemplary instructional strategies, including, but not limited to:</w:t>
      </w:r>
    </w:p>
    <w:p w14:paraId="599B98DC" w14:textId="77777777" w:rsidR="00167090" w:rsidRPr="004D0DC2" w:rsidRDefault="00167090" w:rsidP="00A37665">
      <w:pPr>
        <w:numPr>
          <w:ilvl w:val="0"/>
          <w:numId w:val="50"/>
        </w:numPr>
        <w:spacing w:after="240"/>
        <w:ind w:left="1440"/>
      </w:pPr>
      <w:r w:rsidRPr="004D0DC2">
        <w:t>Student goal setting and transitions,</w:t>
      </w:r>
    </w:p>
    <w:p w14:paraId="41442509" w14:textId="77777777" w:rsidR="00167090" w:rsidRPr="004D0DC2" w:rsidRDefault="00167090" w:rsidP="00A37665">
      <w:pPr>
        <w:numPr>
          <w:ilvl w:val="0"/>
          <w:numId w:val="50"/>
        </w:numPr>
        <w:spacing w:after="240"/>
        <w:ind w:left="1440"/>
      </w:pPr>
      <w:r w:rsidRPr="004D0DC2">
        <w:t>Basic literacy and numeracy,</w:t>
      </w:r>
    </w:p>
    <w:p w14:paraId="6E4DA06F" w14:textId="77777777" w:rsidR="00167090" w:rsidRPr="004D0DC2" w:rsidRDefault="00167090" w:rsidP="00A37665">
      <w:pPr>
        <w:numPr>
          <w:ilvl w:val="0"/>
          <w:numId w:val="50"/>
        </w:numPr>
        <w:spacing w:after="240"/>
        <w:ind w:left="1440"/>
      </w:pPr>
      <w:r w:rsidRPr="004D0DC2">
        <w:t>Contextualized workforce literacy skills,</w:t>
      </w:r>
    </w:p>
    <w:p w14:paraId="3310BE2F" w14:textId="77777777" w:rsidR="00167090" w:rsidRPr="004D0DC2" w:rsidRDefault="00167090" w:rsidP="00A37665">
      <w:pPr>
        <w:numPr>
          <w:ilvl w:val="0"/>
          <w:numId w:val="50"/>
        </w:numPr>
        <w:spacing w:after="240"/>
        <w:ind w:left="1440"/>
      </w:pPr>
      <w:r w:rsidRPr="004D0DC2">
        <w:t>Mentoring or peer coaching,</w:t>
      </w:r>
    </w:p>
    <w:p w14:paraId="245CCE4B" w14:textId="77777777" w:rsidR="00167090" w:rsidRPr="004D0DC2" w:rsidRDefault="00167090" w:rsidP="00A37665">
      <w:pPr>
        <w:numPr>
          <w:ilvl w:val="0"/>
          <w:numId w:val="50"/>
        </w:numPr>
        <w:spacing w:after="240"/>
        <w:ind w:left="1440"/>
      </w:pPr>
      <w:r w:rsidRPr="004D0DC2">
        <w:t>Evidenced based reading instruction,</w:t>
      </w:r>
    </w:p>
    <w:p w14:paraId="1762D616" w14:textId="77777777" w:rsidR="00167090" w:rsidRPr="004D0DC2" w:rsidRDefault="00167090" w:rsidP="00A37665">
      <w:pPr>
        <w:numPr>
          <w:ilvl w:val="0"/>
          <w:numId w:val="50"/>
        </w:numPr>
        <w:spacing w:after="240"/>
        <w:ind w:left="1440"/>
      </w:pPr>
      <w:r w:rsidRPr="004D0DC2">
        <w:t>IELCE and IET,</w:t>
      </w:r>
    </w:p>
    <w:p w14:paraId="45BBBE5E" w14:textId="77777777" w:rsidR="00167090" w:rsidRPr="004D0DC2" w:rsidRDefault="00167090" w:rsidP="00A37665">
      <w:pPr>
        <w:numPr>
          <w:ilvl w:val="0"/>
          <w:numId w:val="50"/>
        </w:numPr>
        <w:spacing w:after="240"/>
        <w:ind w:left="1440"/>
      </w:pPr>
      <w:r w:rsidRPr="004D0DC2">
        <w:t>Managing the ELA multilevel Classroom,</w:t>
      </w:r>
    </w:p>
    <w:p w14:paraId="4E82F4B7" w14:textId="77777777" w:rsidR="00167090" w:rsidRPr="004D0DC2" w:rsidRDefault="00167090" w:rsidP="00A37665">
      <w:pPr>
        <w:numPr>
          <w:ilvl w:val="0"/>
          <w:numId w:val="50"/>
        </w:numPr>
        <w:spacing w:after="240"/>
        <w:ind w:left="1440"/>
      </w:pPr>
      <w:r w:rsidRPr="004D0DC2">
        <w:lastRenderedPageBreak/>
        <w:t>Integrating common core state standards and CCRS into curriculum, including the federal English language standards for adult education,</w:t>
      </w:r>
    </w:p>
    <w:p w14:paraId="10F2DEC9" w14:textId="77777777" w:rsidR="00167090" w:rsidRPr="004D0DC2" w:rsidRDefault="00167090" w:rsidP="00A37665">
      <w:pPr>
        <w:numPr>
          <w:ilvl w:val="0"/>
          <w:numId w:val="50"/>
        </w:numPr>
        <w:spacing w:after="240"/>
        <w:ind w:left="1440"/>
      </w:pPr>
      <w:r w:rsidRPr="004D0DC2">
        <w:t>Immigrant integration and resources,</w:t>
      </w:r>
    </w:p>
    <w:p w14:paraId="50597160" w14:textId="77777777" w:rsidR="00167090" w:rsidRPr="004D0DC2" w:rsidRDefault="00167090" w:rsidP="00A37665">
      <w:pPr>
        <w:numPr>
          <w:ilvl w:val="0"/>
          <w:numId w:val="50"/>
        </w:numPr>
        <w:spacing w:after="240"/>
        <w:ind w:left="1440"/>
      </w:pPr>
      <w:r w:rsidRPr="004D0DC2">
        <w:t>Effective teaching and accelerated learning,</w:t>
      </w:r>
    </w:p>
    <w:p w14:paraId="125F5E19" w14:textId="77777777" w:rsidR="00167090" w:rsidRPr="004D0DC2" w:rsidRDefault="00167090" w:rsidP="00A37665">
      <w:pPr>
        <w:numPr>
          <w:ilvl w:val="0"/>
          <w:numId w:val="50"/>
        </w:numPr>
        <w:spacing w:after="240"/>
        <w:ind w:left="1440"/>
      </w:pPr>
      <w:r w:rsidRPr="004D0DC2">
        <w:t>Postsecondary transitions,</w:t>
      </w:r>
    </w:p>
    <w:p w14:paraId="6FA99FF9" w14:textId="77777777" w:rsidR="00167090" w:rsidRPr="004D0DC2" w:rsidRDefault="00167090" w:rsidP="00A37665">
      <w:pPr>
        <w:numPr>
          <w:ilvl w:val="0"/>
          <w:numId w:val="50"/>
        </w:numPr>
        <w:spacing w:after="240"/>
        <w:ind w:left="1440"/>
      </w:pPr>
      <w:r w:rsidRPr="004D0DC2">
        <w:t>IET opportunities,</w:t>
      </w:r>
    </w:p>
    <w:p w14:paraId="596B0AD1" w14:textId="77777777" w:rsidR="00167090" w:rsidRPr="004D0DC2" w:rsidRDefault="00167090" w:rsidP="00A37665">
      <w:pPr>
        <w:numPr>
          <w:ilvl w:val="0"/>
          <w:numId w:val="50"/>
        </w:numPr>
        <w:spacing w:after="240"/>
        <w:ind w:left="1440"/>
      </w:pPr>
      <w:r w:rsidRPr="004D0DC2">
        <w:t>Effective professional development opportunities,</w:t>
      </w:r>
    </w:p>
    <w:p w14:paraId="7A8ADB66" w14:textId="77777777" w:rsidR="00167090" w:rsidRPr="004D0DC2" w:rsidRDefault="00167090" w:rsidP="00A37665">
      <w:pPr>
        <w:numPr>
          <w:ilvl w:val="0"/>
          <w:numId w:val="50"/>
        </w:numPr>
        <w:spacing w:after="240"/>
        <w:ind w:left="1440"/>
      </w:pPr>
      <w:r w:rsidRPr="004D0DC2">
        <w:t>TSTM, and</w:t>
      </w:r>
    </w:p>
    <w:p w14:paraId="3C0FD257" w14:textId="77777777" w:rsidR="00167090" w:rsidRPr="004D0DC2" w:rsidRDefault="00167090" w:rsidP="00A37665">
      <w:pPr>
        <w:numPr>
          <w:ilvl w:val="0"/>
          <w:numId w:val="50"/>
        </w:numPr>
        <w:spacing w:after="240"/>
        <w:ind w:left="1440"/>
      </w:pPr>
      <w:r w:rsidRPr="004D0DC2">
        <w:t>Lesson Study.</w:t>
      </w:r>
    </w:p>
    <w:p w14:paraId="460517DD" w14:textId="77777777" w:rsidR="00167090" w:rsidRPr="004D0DC2" w:rsidRDefault="00167090" w:rsidP="00167090">
      <w:pPr>
        <w:spacing w:after="240"/>
        <w:ind w:left="720"/>
      </w:pPr>
      <w:r w:rsidRPr="004D0DC2">
        <w:t>The Technical Proposal must describe and demonstrate in detail how the successful bidder will ensure that each session will have sufficient intensity and duration to be effective.</w:t>
      </w:r>
    </w:p>
    <w:p w14:paraId="4C716555" w14:textId="77777777" w:rsidR="00167090" w:rsidRPr="004D0DC2" w:rsidRDefault="00167090" w:rsidP="00167090">
      <w:pPr>
        <w:spacing w:after="160" w:line="259" w:lineRule="auto"/>
        <w:ind w:left="720" w:right="4"/>
        <w:rPr>
          <w:rFonts w:cs="Arial"/>
          <w:szCs w:val="24"/>
        </w:rPr>
      </w:pPr>
      <w:r w:rsidRPr="004D0DC2">
        <w:rPr>
          <w:rFonts w:cs="Arial"/>
          <w:szCs w:val="24"/>
        </w:rPr>
        <w:t>The Technical Proposal must acknowledge and ensure that the costs for all professional development trainings, including travel of participants (excluding CDE staff), are to be provided by the successful bidder. Honoraria and substitute costs will not be reimbursed by the CDE for this task.</w:t>
      </w:r>
    </w:p>
    <w:p w14:paraId="354944DF"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4.4.D. Training of Trainers Institute</w:t>
      </w:r>
    </w:p>
    <w:p w14:paraId="56E3F46E" w14:textId="7A72AD2E" w:rsidR="00167090" w:rsidRPr="004D0DC2" w:rsidRDefault="00167090" w:rsidP="00167090">
      <w:pPr>
        <w:spacing w:after="240"/>
        <w:ind w:left="720"/>
      </w:pPr>
      <w:r>
        <w:t>The Technical Proposal must describe and demonstrate in detail how the successful bidder will design and conduct a Training-of-Trainers (ToT) Institute for the newly developed adult education curriculum module. Each ToT offered must be held in Sacramento, California for at least one</w:t>
      </w:r>
      <w:r w:rsidR="00887203">
        <w:t xml:space="preserve"> </w:t>
      </w:r>
      <w:r>
        <w:t>day. The Technical Proposal must describe and demonstrate in detail how the successful bidder will advertise and recruit at least 15 adult education professionals to participate in the annual ToT. The Technical Proposal must acknowledge and ensure that the successful bidder will obtain prior approval for all ToT Institute participants being considered each year. ToT professionals must agree to be trainers for the newly developed module in their local regional areas.</w:t>
      </w:r>
    </w:p>
    <w:p w14:paraId="0224FC80" w14:textId="77777777" w:rsidR="00167090" w:rsidRPr="004D0DC2" w:rsidRDefault="00167090" w:rsidP="00B47EFA">
      <w:pPr>
        <w:spacing w:after="160" w:line="259" w:lineRule="auto"/>
        <w:ind w:left="720" w:right="4"/>
        <w:rPr>
          <w:rFonts w:cs="Arial"/>
          <w:szCs w:val="24"/>
        </w:rPr>
      </w:pPr>
      <w:r w:rsidRPr="004D0DC2">
        <w:rPr>
          <w:rFonts w:cs="Arial"/>
          <w:szCs w:val="24"/>
        </w:rPr>
        <w:t>The Technical Proposal must acknowledge and ensure that the costs for all professional development trainings, including travel of participants (excluding CDE staff), are to be provided by the successful bidder. Honoraria and substitute costs will not be reimbursed by the CDE for this task.</w:t>
      </w:r>
    </w:p>
    <w:p w14:paraId="5FF77A7D"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t>4.5 Web-based Professional Development</w:t>
      </w:r>
    </w:p>
    <w:p w14:paraId="3422EBE6" w14:textId="303CFAA1" w:rsidR="00167090" w:rsidRPr="004D0DC2" w:rsidRDefault="00167090" w:rsidP="00167090">
      <w:pPr>
        <w:spacing w:after="240"/>
      </w:pPr>
      <w:r w:rsidRPr="004D0DC2">
        <w:t>Web-based professional development is an online alternative learning opportunity designed for educators who prefer online trainings. Unless otherwise specified, the successful bidder must offer the following deliverables annually beginning in fiscal year 202</w:t>
      </w:r>
      <w:r w:rsidR="004D5A99" w:rsidRPr="004D0DC2">
        <w:t>6</w:t>
      </w:r>
      <w:r w:rsidRPr="004D0DC2">
        <w:t>–2</w:t>
      </w:r>
      <w:r w:rsidR="004D5A99" w:rsidRPr="004D0DC2">
        <w:t>7</w:t>
      </w:r>
      <w:r w:rsidRPr="004D0DC2">
        <w:t>. The Technical Proposal must describe and demonstrate in detail how the successful bidder will provide the following required web-based professional development services:</w:t>
      </w:r>
    </w:p>
    <w:p w14:paraId="3AC0A2E8"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lastRenderedPageBreak/>
        <w:t>4.5.A. Individualized Assessment Tools for Teachers and Administrators</w:t>
      </w:r>
    </w:p>
    <w:p w14:paraId="0B367BA5" w14:textId="1FC29613" w:rsidR="00167090" w:rsidRPr="000F5197" w:rsidRDefault="00167090" w:rsidP="00167090">
      <w:pPr>
        <w:spacing w:after="240"/>
        <w:ind w:left="720"/>
      </w:pPr>
      <w:r w:rsidRPr="004D0DC2">
        <w:t xml:space="preserve">The Technical Proposal must describe and demonstrate in detail how the successful bidder will update and maintain the online research-based individualized assessment for teachers and administrators used to evaluate their own learning needs (currently located at the CDE’s California Adult Literacy Professional Development Project Instructor Competencies Self-Assessment and Individual Professional Development Plan web pages at </w:t>
      </w:r>
      <w:hyperlink r:id="rId36" w:tooltip="Adult Education Teacher Competencies Self-Assessment at CALPRO" w:history="1">
        <w:r w:rsidR="00FC49E2">
          <w:rPr>
            <w:rStyle w:val="Hyperlink"/>
          </w:rPr>
          <w:t>https://calpro-online.org/resource/adult-education-teacher-competencies-self-assessment</w:t>
        </w:r>
      </w:hyperlink>
      <w:r w:rsidR="00701C66">
        <w:t xml:space="preserve"> </w:t>
      </w:r>
      <w:r w:rsidRPr="00AE39BA">
        <w:t xml:space="preserve">and </w:t>
      </w:r>
      <w:hyperlink r:id="rId37" w:tooltip="Management Competencies Assessment Instrument at CALPRO" w:history="1">
        <w:r w:rsidR="00FC49E2">
          <w:rPr>
            <w:rStyle w:val="Hyperlink"/>
          </w:rPr>
          <w:t>https://calpro-online.org/resource/management-competencies-assessment-instrument</w:t>
        </w:r>
      </w:hyperlink>
      <w:r w:rsidRPr="00AE39BA">
        <w:t>. As part of the annual plan, the successful bidder will, in consultation with the CDE,</w:t>
      </w:r>
      <w:r w:rsidRPr="004D0DC2">
        <w:t xml:space="preserve"> detail what aspects of the assessment </w:t>
      </w:r>
      <w:r w:rsidRPr="000F5197">
        <w:t>tools will be updated or further developed each year.</w:t>
      </w:r>
    </w:p>
    <w:p w14:paraId="443228DB" w14:textId="0C8C3C8A" w:rsidR="00167090" w:rsidRPr="000F5197" w:rsidRDefault="00167090" w:rsidP="00167090">
      <w:pPr>
        <w:spacing w:after="240"/>
        <w:ind w:left="720"/>
      </w:pPr>
      <w:r w:rsidRPr="000F5197">
        <w:t>The Technical Proposal must acknowledge and ensure that the successful bidder will provide the CDE a list of updates annually in the annual report to be submitted by the first Friday of August each year</w:t>
      </w:r>
      <w:r w:rsidR="00AA3808" w:rsidRPr="000F5197">
        <w:t xml:space="preserve"> (task 2.2)</w:t>
      </w:r>
      <w:r w:rsidRPr="000F5197">
        <w:t>. The Technical Proposal must acknowledge and ensure that the successful bidder will obtain prior CDE approval before posting any updates.</w:t>
      </w:r>
    </w:p>
    <w:p w14:paraId="53563113" w14:textId="77777777" w:rsidR="00167090" w:rsidRPr="000F5197" w:rsidRDefault="00167090" w:rsidP="00167090">
      <w:pPr>
        <w:keepNext/>
        <w:keepLines/>
        <w:spacing w:before="40" w:after="240"/>
        <w:ind w:left="720"/>
        <w:outlineLvl w:val="4"/>
        <w:rPr>
          <w:rFonts w:eastAsiaTheme="majorEastAsia" w:cstheme="majorBidi"/>
          <w:sz w:val="28"/>
        </w:rPr>
      </w:pPr>
      <w:r w:rsidRPr="000F5197">
        <w:rPr>
          <w:rFonts w:eastAsiaTheme="majorEastAsia" w:cstheme="majorBidi"/>
          <w:sz w:val="28"/>
        </w:rPr>
        <w:t>4.5.B. New Professional Development Video</w:t>
      </w:r>
    </w:p>
    <w:p w14:paraId="2CA585BD" w14:textId="575AB49D" w:rsidR="00167090" w:rsidRPr="004D0DC2" w:rsidRDefault="00167090" w:rsidP="00167090">
      <w:pPr>
        <w:spacing w:after="240"/>
        <w:ind w:left="720"/>
      </w:pPr>
      <w:r w:rsidRPr="000F5197">
        <w:t xml:space="preserve">The Technical Proposal must describe and demonstrate in detail how the successful bidder will expand the use of alternative delivery systems to provide local adult education literacy providers with easier access to trainings. The Technical Proposal must describe and demonstrate in detail how the successful bidder will coordinate, with the other two SLPs, Outreach and Technical Assistance Network (OTAN), and </w:t>
      </w:r>
      <w:r w:rsidR="00701C66" w:rsidRPr="000F5197">
        <w:t>the Adult Education Accountability and Assessment Contractor</w:t>
      </w:r>
      <w:r w:rsidRPr="000F5197">
        <w:t>, and with CDE approval, record</w:t>
      </w:r>
      <w:r w:rsidRPr="000F5197">
        <w:rPr>
          <w:strike/>
        </w:rPr>
        <w:t xml:space="preserve">, </w:t>
      </w:r>
      <w:r w:rsidRPr="000F5197">
        <w:t>and produce</w:t>
      </w:r>
      <w:r w:rsidRPr="000F5197">
        <w:rPr>
          <w:strike/>
        </w:rPr>
        <w:t xml:space="preserve"> </w:t>
      </w:r>
      <w:r w:rsidR="000F5197" w:rsidRPr="000F5197">
        <w:t xml:space="preserve">one new </w:t>
      </w:r>
      <w:r w:rsidRPr="000F5197">
        <w:t>vide</w:t>
      </w:r>
      <w:r w:rsidR="00E73E54" w:rsidRPr="000F5197">
        <w:t>o</w:t>
      </w:r>
      <w:r w:rsidRPr="000F5197">
        <w:t xml:space="preserve"> of the training programs</w:t>
      </w:r>
      <w:r w:rsidR="00E73E54" w:rsidRPr="000F5197">
        <w:t xml:space="preserve"> and best practices for posting in online video library</w:t>
      </w:r>
      <w:r w:rsidRPr="000F5197">
        <w:t xml:space="preserve"> as indicated in Task </w:t>
      </w:r>
      <w:r w:rsidR="00701C66" w:rsidRPr="000F5197">
        <w:t>4</w:t>
      </w:r>
      <w:r w:rsidRPr="000F5197">
        <w:t xml:space="preserve">.4. The video must capture each segment of the entire program and must be completed by June </w:t>
      </w:r>
      <w:r w:rsidR="00A31CDD" w:rsidRPr="000F5197">
        <w:t>2027</w:t>
      </w:r>
      <w:r w:rsidR="00E73E54" w:rsidRPr="000F5197">
        <w:t>.</w:t>
      </w:r>
      <w:r w:rsidRPr="000F5197">
        <w:t xml:space="preserve"> The narrated video will be at least 45 minutes in length. This deliverable includes editing and captioning. The Technical Proposal must acknowledge and ensure that the recorded video online library must meet the CDE’s Web Accessibility Standards found on the CDE Web Standards</w:t>
      </w:r>
      <w:r w:rsidRPr="004D0DC2">
        <w:t xml:space="preserve"> web page at </w:t>
      </w:r>
      <w:hyperlink r:id="rId38" w:tooltip="CDE Accessibility Web Standards" w:history="1">
        <w:r w:rsidRPr="004D0DC2">
          <w:rPr>
            <w:color w:val="0000FF"/>
            <w:u w:val="single"/>
          </w:rPr>
          <w:t>https://www.cde.ca.gov/re/di/ws/webaccessstds.asp</w:t>
        </w:r>
      </w:hyperlink>
      <w:r w:rsidRPr="004D0DC2">
        <w:t>.</w:t>
      </w:r>
    </w:p>
    <w:p w14:paraId="65086359"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4.5.C. Leverage Existing Online Resources</w:t>
      </w:r>
    </w:p>
    <w:p w14:paraId="0DD8364F" w14:textId="7154E3E3" w:rsidR="00167090" w:rsidRPr="004D0DC2" w:rsidRDefault="00167090" w:rsidP="00167090">
      <w:pPr>
        <w:spacing w:after="240"/>
        <w:ind w:left="720"/>
      </w:pPr>
      <w:r w:rsidRPr="004D0DC2">
        <w:t xml:space="preserve">The Technical Proposal must describe and demonstrate in detail how the successful bidder will use other existing online resources available to supplement and leverage what is provided through this contract. The other existing online resources are from the CDE, SLPs, or Literacy Information and Communication System (LINCS), Office of Career, Technical, and Adult Education, and other reputable institutions. The Technical Proposal must describe in detail how the successful bidder will identify at least two resources per fiscal year to share with local agencies via email lists to California teachers and administrators; obtain CDE approval; post it on the web page </w:t>
      </w:r>
      <w:r w:rsidR="00701C66">
        <w:t>developed in Task 4.1.C</w:t>
      </w:r>
      <w:r w:rsidRPr="004D0DC2">
        <w:t>; and disseminate to the local adult education providers via email lists and local and statewide conferences.</w:t>
      </w:r>
    </w:p>
    <w:p w14:paraId="3AA83A88"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lastRenderedPageBreak/>
        <w:t>4.5.D. Online Courses</w:t>
      </w:r>
    </w:p>
    <w:p w14:paraId="62DA5855" w14:textId="77777777" w:rsidR="00167090" w:rsidRPr="004D0DC2" w:rsidRDefault="00167090" w:rsidP="00167090">
      <w:pPr>
        <w:spacing w:after="240"/>
        <w:ind w:left="720"/>
      </w:pPr>
      <w:r w:rsidRPr="004D0DC2">
        <w:t>The Technical Proposal must describe and demonstrate in detail how the successful bidder will develop, organize, and lead online professional development courses, webinars, and forums based on the CDE’s current and emerging priorities. This includes how the successful bidder will:</w:t>
      </w:r>
    </w:p>
    <w:p w14:paraId="6D7BA86A" w14:textId="77777777" w:rsidR="00167090" w:rsidRPr="004D0DC2" w:rsidRDefault="00167090" w:rsidP="00A37665">
      <w:pPr>
        <w:numPr>
          <w:ilvl w:val="0"/>
          <w:numId w:val="51"/>
        </w:numPr>
        <w:spacing w:after="240"/>
        <w:ind w:left="1440"/>
      </w:pPr>
      <w:r w:rsidRPr="004D0DC2">
        <w:t>Develop and implement, at a minimum, 16 facilitated online courses per fiscal year, using the established or newly developed online offerings.</w:t>
      </w:r>
    </w:p>
    <w:p w14:paraId="3BF8EE28" w14:textId="77777777" w:rsidR="00167090" w:rsidRPr="004D0DC2" w:rsidRDefault="00167090" w:rsidP="00A37665">
      <w:pPr>
        <w:numPr>
          <w:ilvl w:val="0"/>
          <w:numId w:val="51"/>
        </w:numPr>
        <w:spacing w:after="240"/>
        <w:ind w:left="1440"/>
      </w:pPr>
      <w:r w:rsidRPr="004D0DC2">
        <w:t>Develop and implement at least one new online course per fiscal year.</w:t>
      </w:r>
    </w:p>
    <w:p w14:paraId="57D553EA" w14:textId="77777777" w:rsidR="00167090" w:rsidRPr="004D0DC2" w:rsidRDefault="00167090" w:rsidP="00A37665">
      <w:pPr>
        <w:numPr>
          <w:ilvl w:val="0"/>
          <w:numId w:val="51"/>
        </w:numPr>
        <w:spacing w:after="240"/>
        <w:ind w:left="1440"/>
      </w:pPr>
      <w:r w:rsidRPr="004D0DC2">
        <w:t>Offer at least six updated asynchronous online courses per fiscal year.</w:t>
      </w:r>
    </w:p>
    <w:p w14:paraId="2E011A9D" w14:textId="77777777" w:rsidR="00167090" w:rsidRPr="004D0DC2" w:rsidRDefault="00167090" w:rsidP="00A37665">
      <w:pPr>
        <w:numPr>
          <w:ilvl w:val="0"/>
          <w:numId w:val="51"/>
        </w:numPr>
        <w:spacing w:after="240"/>
        <w:ind w:left="1440"/>
      </w:pPr>
      <w:r w:rsidRPr="004D0DC2">
        <w:t>Offer a minimum of six webinars per fiscal year, at least three of which must be new.</w:t>
      </w:r>
    </w:p>
    <w:p w14:paraId="7B66D45F" w14:textId="77777777" w:rsidR="00167090" w:rsidRPr="004D0DC2" w:rsidRDefault="00167090" w:rsidP="00167090">
      <w:pPr>
        <w:spacing w:after="240"/>
        <w:ind w:left="720"/>
      </w:pPr>
      <w:r w:rsidRPr="004D0DC2">
        <w:t>The Technical Proposal must acknowledge and ensure that the successful bidder will provide the courses and topics of the above offerings per each fiscal year to the CDE for review and prior approval. The following are many of the course titles and topics that the successful bidder may include in the Technical Proposal for this subtask: Enhancing learner persistence, mastering the English language proficiency standards, managing the multilevel ELA class, CCRS for English language arts, effective teaching for adult educators, accelerated learning to facilitate career pathways, contextualized instruction, understanding the adult learner, optimizing ELA instructional planning, integrated education and training, evidence-based reading and writing instruction in the ELA and ABE classrooms, mastering the English language proficiency standards, designing programs for adults with learning disabilities, effective instructional strategies, effective teaching for adult educators, managing the multilevel ELA class, immigrant integration and resources, professional development plans, and IET best practices.</w:t>
      </w:r>
    </w:p>
    <w:p w14:paraId="32EE2A76"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t>4.6 Administrative Leadership Professional Development Activities</w:t>
      </w:r>
    </w:p>
    <w:p w14:paraId="75DFC4B6" w14:textId="77777777" w:rsidR="00167090" w:rsidRPr="004D0DC2" w:rsidRDefault="00167090" w:rsidP="00167090">
      <w:pPr>
        <w:spacing w:after="240"/>
      </w:pPr>
      <w:r w:rsidRPr="004D0DC2">
        <w:t>The Technical Proposal must describe and demonstrate in detail how the successful bidder will provide the specific required administrative leadership professional development activities, including, the following:</w:t>
      </w:r>
    </w:p>
    <w:p w14:paraId="248A5DC6"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4.6.A. Annual Leadership Institute</w:t>
      </w:r>
    </w:p>
    <w:p w14:paraId="014548A9" w14:textId="79D6A374" w:rsidR="00167090" w:rsidRPr="004D0DC2" w:rsidRDefault="00167090" w:rsidP="004F4F2E">
      <w:pPr>
        <w:spacing w:after="240"/>
        <w:ind w:left="720"/>
      </w:pPr>
      <w:r w:rsidRPr="004D0DC2">
        <w:t xml:space="preserve">The Technical Proposal must describe and demonstrate in detail how the successful bidder will update, redesign, and conduct the Adult Education Leadership Institute (LI) for administrators </w:t>
      </w:r>
      <w:r w:rsidR="001733A7">
        <w:t>each fiscal year</w:t>
      </w:r>
      <w:r w:rsidRPr="004D0DC2">
        <w:t xml:space="preserve">. The Technical Proposal must acknowledge and ensure that the LI must include an initial, two-day training in Sacramento, California; a second and third two-day training (at a minimum) in Southern California and Northern California, respectively. These trainings will be in-person unless otherwise directed by the CDE; however, there will be subsequent multiple online group discussions among the participating administrators. The Technical Proposal must acknowledge and ensure that the successful bidder will obtain prior CDE approval on all aspects </w:t>
      </w:r>
      <w:r w:rsidR="001733A7">
        <w:t xml:space="preserve">and logistics </w:t>
      </w:r>
      <w:r w:rsidRPr="004D0DC2">
        <w:t>of the LI.</w:t>
      </w:r>
    </w:p>
    <w:p w14:paraId="5A0125E1" w14:textId="77777777" w:rsidR="00167090" w:rsidRPr="004D0DC2" w:rsidRDefault="00167090" w:rsidP="00167090">
      <w:pPr>
        <w:spacing w:after="240"/>
        <w:ind w:left="720"/>
      </w:pPr>
      <w:r w:rsidRPr="004D0DC2">
        <w:lastRenderedPageBreak/>
        <w:t>The Technical Proposal must describe and demonstrate in detail how the successful bidder will publish and disseminate the LI online application to local agencies. The Technical Proposal must ensure that LI participants are as reflective of all the local agency types as possible, which includes adult schools, community colleges, CBOs, correctional institutions, and public libraries. The Technical Proposal must describe and demonstrate in detail how the successful bidder will design the training content and format, determine the number of qualified facilitators needed, and monitor participant attendance.</w:t>
      </w:r>
    </w:p>
    <w:p w14:paraId="79170233" w14:textId="77777777" w:rsidR="00167090" w:rsidRPr="004D0DC2" w:rsidRDefault="00167090" w:rsidP="00167090">
      <w:pPr>
        <w:spacing w:after="240"/>
        <w:ind w:left="720"/>
      </w:pPr>
      <w:r w:rsidRPr="004D0DC2">
        <w:t>The Technical Proposal must acknowledge and ensure that the successful bidder will submit the list of qualified facilitators to the CDE for review and approval. In addition, the Technical Proposal must describe and demonstrate in detail how the successful bidder will evaluate the applicability of sessions and quality of presenters based on feedback from the LI participants and create a report for the CDE with the synthesized data. The Technical Proposal must describe and demonstrate in detail how the successful bidder will annually update the existing LI.</w:t>
      </w:r>
    </w:p>
    <w:p w14:paraId="02BC658D" w14:textId="77777777" w:rsidR="00167090" w:rsidRPr="004D0DC2" w:rsidRDefault="00167090" w:rsidP="00167090">
      <w:pPr>
        <w:spacing w:after="240"/>
        <w:ind w:left="720"/>
      </w:pPr>
      <w:r w:rsidRPr="004D0DC2">
        <w:t>Some of the topics for this annual institute may include, but are not limited to: consortium best practices, administrative skill set and management competencies self-assessments, leaders versus managers, partnerships (specifically partnership between Title I and II providers), public relations, human resources management, succession planning, and wraparound services.</w:t>
      </w:r>
    </w:p>
    <w:p w14:paraId="109091FD" w14:textId="0856CC83" w:rsidR="00167090" w:rsidRPr="004D0DC2" w:rsidRDefault="00167090" w:rsidP="00167090">
      <w:pPr>
        <w:spacing w:after="240"/>
        <w:ind w:left="720"/>
      </w:pPr>
      <w:r w:rsidRPr="004D0DC2">
        <w:t xml:space="preserve">The Technical Proposal must ensure that the successful bidder will develop a coaching component to support </w:t>
      </w:r>
      <w:r w:rsidRPr="000F5197">
        <w:t xml:space="preserve">aspiring and new administrators to be successful in achieving their goals. This must include at least one coaching meeting </w:t>
      </w:r>
      <w:r w:rsidR="00F173D5" w:rsidRPr="000F5197">
        <w:t>per quarter to</w:t>
      </w:r>
      <w:r w:rsidRPr="000F5197">
        <w:t xml:space="preserve"> discuss topics of relevance to the participants. </w:t>
      </w:r>
      <w:r w:rsidR="003264F9" w:rsidRPr="000F5197">
        <w:t xml:space="preserve">The meetings may be in person, virtual, or both. </w:t>
      </w:r>
      <w:r w:rsidRPr="000F5197">
        <w:t xml:space="preserve">Coaches will be successful adult education administrators who will be trained to mentor these new </w:t>
      </w:r>
      <w:r w:rsidRPr="004D0DC2">
        <w:t>and aspiring administrators. This coaching component will be offered to the participants for a period of one year following the LI completion.</w:t>
      </w:r>
    </w:p>
    <w:p w14:paraId="6EAB9A7C" w14:textId="5A757755" w:rsidR="00167090" w:rsidRPr="004D0DC2" w:rsidRDefault="00167090" w:rsidP="004F4F2E">
      <w:pPr>
        <w:spacing w:after="160" w:line="259" w:lineRule="auto"/>
        <w:ind w:left="720" w:right="4"/>
      </w:pPr>
      <w:r w:rsidRPr="004D0DC2">
        <w:rPr>
          <w:rFonts w:cs="Arial"/>
          <w:szCs w:val="24"/>
        </w:rPr>
        <w:t>The Technical Proposal must acknowledge and ensure that the costs for all professional development training, including travel of participants (excluding CDE staff), are to be provided by the successful bidder. Honoraria and substitute costs will not be reimbursed by the CDE for this task.</w:t>
      </w:r>
      <w:r w:rsidR="00F173D5">
        <w:t xml:space="preserve"> </w:t>
      </w:r>
    </w:p>
    <w:p w14:paraId="485289A6"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4.6.B. Quarterly Online Administrator Forums</w:t>
      </w:r>
    </w:p>
    <w:p w14:paraId="21776FDC" w14:textId="39D511BF" w:rsidR="00167090" w:rsidRPr="004D0DC2" w:rsidRDefault="00167090" w:rsidP="00167090">
      <w:pPr>
        <w:ind w:left="720"/>
      </w:pPr>
      <w:r w:rsidRPr="004D0DC2">
        <w:t xml:space="preserve">The Technical Proposal must describe and demonstrate in detail how the successful bidder will organize and lead quarterly online administrator forums or online group discussions on topics such as strategic collaborations for funding; public relations and marketing; college and career counseling; contextualized instruction, student success, immigrant integration, partnership with WIOA, Title I providers, consortium best practices, and strategies for successful schools. The Technical Proposal must ensure that the successful bidder will provide topics to the CDE annually for review and approval as part of the annual </w:t>
      </w:r>
      <w:r w:rsidR="001733A7">
        <w:t xml:space="preserve">planning </w:t>
      </w:r>
      <w:r w:rsidRPr="004D0DC2">
        <w:t xml:space="preserve">meeting </w:t>
      </w:r>
      <w:r w:rsidR="001733A7">
        <w:t>in Task 1.2</w:t>
      </w:r>
      <w:r w:rsidRPr="004D0DC2">
        <w:t xml:space="preserve">. The Technical Proposal must describe in detail how the successful bidder will consult with the PAB members and field administrators in soliciting topics and subject matter experts to present at least four of these administrator forums each </w:t>
      </w:r>
      <w:r w:rsidR="001733A7">
        <w:t xml:space="preserve">fiscal </w:t>
      </w:r>
      <w:r w:rsidRPr="004D0DC2">
        <w:t>year.</w:t>
      </w:r>
    </w:p>
    <w:p w14:paraId="7E0B1A7E" w14:textId="77777777" w:rsidR="00167090" w:rsidRPr="004D0DC2" w:rsidRDefault="00167090" w:rsidP="00167090">
      <w:pPr>
        <w:ind w:left="720"/>
      </w:pPr>
    </w:p>
    <w:p w14:paraId="0B04503C"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lastRenderedPageBreak/>
        <w:t>4.6.C. Support Annual Orientation for New Administrators</w:t>
      </w:r>
    </w:p>
    <w:p w14:paraId="2E023F80" w14:textId="55F67E52" w:rsidR="00167090" w:rsidRPr="004D0DC2" w:rsidRDefault="00167090" w:rsidP="004F4F2E">
      <w:pPr>
        <w:spacing w:after="240"/>
        <w:ind w:left="720"/>
      </w:pPr>
      <w:r w:rsidRPr="004D0DC2">
        <w:t>The Technical Proposal must describe and demonstrate in detail how the successful bidder will provide support to the CDE’s Annual Orientation for New Administrators by providing the following support, including, but not limited to: Online registration, communication to local providers, printing name tags, creating sign in sheets, and staff the orientation. The Technical Proposal must describe in detail how the successful bidder will also prepare and present at the orientation on professional development offerings available to the local agencies, with prior approval from the CDE. This orientation is at least one full-day of training to be held in person in Sacramento or in an online format over several days in September or October of each calendar year, annually beginning in 202</w:t>
      </w:r>
      <w:r w:rsidR="004D5A99" w:rsidRPr="004D0DC2">
        <w:t>6</w:t>
      </w:r>
      <w:r w:rsidRPr="004D0DC2">
        <w:t xml:space="preserve">, except for the final partial </w:t>
      </w:r>
      <w:r w:rsidR="001733A7">
        <w:t>fiscal</w:t>
      </w:r>
      <w:r w:rsidR="001733A7" w:rsidRPr="004D0DC2">
        <w:t xml:space="preserve"> </w:t>
      </w:r>
      <w:r w:rsidRPr="004D0DC2">
        <w:t>year.</w:t>
      </w:r>
    </w:p>
    <w:p w14:paraId="274AEF3D" w14:textId="77777777" w:rsidR="00167090" w:rsidRPr="004D0DC2" w:rsidRDefault="00167090" w:rsidP="00167090">
      <w:pPr>
        <w:keepNext/>
        <w:keepLines/>
        <w:spacing w:before="40" w:after="240"/>
        <w:outlineLvl w:val="3"/>
        <w:rPr>
          <w:rFonts w:eastAsiaTheme="majorEastAsia" w:cstheme="majorBidi"/>
          <w:iCs/>
          <w:sz w:val="28"/>
          <w:szCs w:val="28"/>
        </w:rPr>
      </w:pPr>
      <w:r w:rsidRPr="004D0DC2">
        <w:rPr>
          <w:rFonts w:eastAsiaTheme="majorEastAsia" w:cstheme="majorBidi"/>
          <w:iCs/>
          <w:sz w:val="28"/>
          <w:szCs w:val="28"/>
        </w:rPr>
        <w:t>4.7 New Curriculum Module</w:t>
      </w:r>
    </w:p>
    <w:p w14:paraId="00C8B38E" w14:textId="2733D953" w:rsidR="00167090" w:rsidRPr="004D0DC2" w:rsidRDefault="00167090" w:rsidP="00167090">
      <w:pPr>
        <w:spacing w:after="240"/>
        <w:rPr>
          <w:szCs w:val="24"/>
        </w:rPr>
      </w:pPr>
      <w:r w:rsidRPr="004D0DC2">
        <w:rPr>
          <w:szCs w:val="24"/>
        </w:rPr>
        <w:t xml:space="preserve">The Technical Proposal must describe and demonstrate in detail how the successful bidder will convene a team of at least three subject matter experts (SME) to develop a new module of adult education professional development curriculum per fiscal year. SME must have experience in the relevant topic selected by the CDE. The topics of new modules will be based on the needs of local providers identified through statewide conferences, such as equity and access, integrated education and training, single set of learning objectives between English literacy and career and technical education, and other academic contents. Each new module will be developed in consultation with the PAB’s input (Task 1.4). The CDE must approve the topic of the new module prior to the start of the development. The CDE must approve the final product before it is disseminated. Each new module must be completed and submitted to the CDE by June 30 each fiscal year </w:t>
      </w:r>
      <w:r w:rsidR="00AA3808">
        <w:rPr>
          <w:szCs w:val="24"/>
        </w:rPr>
        <w:t xml:space="preserve">and </w:t>
      </w:r>
      <w:r w:rsidRPr="004D0DC2">
        <w:rPr>
          <w:szCs w:val="24"/>
        </w:rPr>
        <w:t>electronically emailed to the CDE. Each new module curriculum will include the module in Word document, handouts, power point slides, and facilitator’s guide.</w:t>
      </w:r>
    </w:p>
    <w:p w14:paraId="2E9D1180" w14:textId="77777777" w:rsidR="00167090" w:rsidRPr="004D0DC2" w:rsidRDefault="00167090" w:rsidP="00167090">
      <w:pPr>
        <w:keepNext/>
        <w:keepLines/>
        <w:spacing w:before="40" w:after="240"/>
        <w:outlineLvl w:val="3"/>
        <w:rPr>
          <w:rFonts w:eastAsiaTheme="majorEastAsia" w:cstheme="majorBidi"/>
          <w:b/>
          <w:iCs/>
          <w:snapToGrid w:val="0"/>
          <w:sz w:val="36"/>
          <w:szCs w:val="36"/>
        </w:rPr>
      </w:pPr>
      <w:r w:rsidRPr="004D0DC2">
        <w:rPr>
          <w:rFonts w:eastAsiaTheme="majorEastAsia" w:cstheme="majorBidi"/>
          <w:iCs/>
          <w:sz w:val="28"/>
          <w:szCs w:val="28"/>
        </w:rPr>
        <w:t>4.8 State Leadership Activities</w:t>
      </w:r>
    </w:p>
    <w:p w14:paraId="5AB516D8" w14:textId="3A105034" w:rsidR="00167090" w:rsidRPr="004D0DC2" w:rsidRDefault="00167090" w:rsidP="00167090">
      <w:pPr>
        <w:spacing w:after="240"/>
      </w:pPr>
      <w:r w:rsidRPr="004D0DC2">
        <w:t xml:space="preserve">The CDE contracts with three institutions to provide SLP activities. These projects facilitate a collaborative approach in addressing the activities set forth in the California Unified State Plan, CAEP, and WIOA, Title II: AEFLA. SLP activities relate to each of three high priority state plan goals: (1) establish and implement professional development programs to improve the quality of instruction; (2) provide technology assistance, including staff training, to eligible providers of adult education and literacy activities; and (3) provide technical assistance to eligible providers of adult education and literacy activities. The goal of these collaborative efforts is to maximize resources and provide support to the locally funded adult education local providers in California. For more information about the California Unified State Plan, go to the California Workforce Development Board’s website at </w:t>
      </w:r>
      <w:hyperlink r:id="rId39" w:tooltip="California Workforce Development Board's Website" w:history="1">
        <w:r w:rsidRPr="004D0DC2">
          <w:rPr>
            <w:color w:val="0000FF"/>
            <w:u w:val="single"/>
          </w:rPr>
          <w:t>https://cwdb.ca.gov</w:t>
        </w:r>
      </w:hyperlink>
      <w:r w:rsidRPr="004D0DC2">
        <w:t xml:space="preserve">. Further information about the CAEP can be found on the California Adult Education website at </w:t>
      </w:r>
      <w:hyperlink r:id="rId40" w:tooltip="California Adult Education Program Website" w:history="1">
        <w:r w:rsidRPr="004D0DC2">
          <w:rPr>
            <w:color w:val="0000FF"/>
            <w:u w:val="single"/>
          </w:rPr>
          <w:t>https://caladulted.org</w:t>
        </w:r>
      </w:hyperlink>
      <w:r w:rsidRPr="004D0DC2">
        <w:t xml:space="preserve">. Additionally, further information about the WIOA, Title II: AEFLA program can be found on the CDE website at </w:t>
      </w:r>
      <w:hyperlink r:id="rId41" w:tooltip="California Department of Education Website" w:history="1">
        <w:r w:rsidRPr="004D0DC2">
          <w:rPr>
            <w:color w:val="0000FF"/>
            <w:u w:val="single"/>
          </w:rPr>
          <w:t>https://cde.ca.gov</w:t>
        </w:r>
      </w:hyperlink>
      <w:r w:rsidRPr="004D0DC2">
        <w:t>.</w:t>
      </w:r>
    </w:p>
    <w:p w14:paraId="703A3C69" w14:textId="1007E1B3" w:rsidR="00167090" w:rsidRPr="004D0DC2" w:rsidRDefault="00167090" w:rsidP="00167090">
      <w:pPr>
        <w:spacing w:after="240"/>
      </w:pPr>
      <w:r>
        <w:t xml:space="preserve">Currently, the other two SLP contractors are OTAN and </w:t>
      </w:r>
      <w:r w:rsidR="00B27436">
        <w:t>the Adult Education Accountability and Assessment contractor</w:t>
      </w:r>
      <w:r>
        <w:t xml:space="preserve">. The OTAN provides support services including electronic collaboration, access to information, and technical assistance. OTAN is also responsible for managing California’s distance learning infrastructure and expanding the ability of adult education providers, including reviewing, approving, and monitoring annually the Distance Learning and Technology Plan. </w:t>
      </w:r>
      <w:r w:rsidR="00B27436">
        <w:t>T</w:t>
      </w:r>
      <w:r w:rsidR="00B27436" w:rsidRPr="00B27436">
        <w:t>he Adult Education Accountability and Assessment contractor</w:t>
      </w:r>
      <w:r w:rsidR="00B27436">
        <w:t xml:space="preserve"> </w:t>
      </w:r>
      <w:r>
        <w:t xml:space="preserve">is responsible for providing </w:t>
      </w:r>
      <w:r>
        <w:lastRenderedPageBreak/>
        <w:t>a standardized assessment system for all levels of the ABE, ASE, and ESL</w:t>
      </w:r>
      <w:r w:rsidR="00B27436">
        <w:t xml:space="preserve">, they </w:t>
      </w:r>
      <w:r>
        <w:t>also collect and provide accountability data to the state.</w:t>
      </w:r>
    </w:p>
    <w:p w14:paraId="18FEAA14" w14:textId="77777777" w:rsidR="00167090" w:rsidRPr="004D0DC2" w:rsidRDefault="00167090" w:rsidP="00167090">
      <w:pPr>
        <w:spacing w:after="240"/>
        <w:rPr>
          <w:szCs w:val="24"/>
        </w:rPr>
      </w:pPr>
      <w:r w:rsidRPr="004D0DC2">
        <w:t>The Technical Proposal must include a detailed process for how the successful bidder will carry out the following:</w:t>
      </w:r>
    </w:p>
    <w:p w14:paraId="7CCF805A"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4.8.A. Collaboration with WIOA State Leadership Projects</w:t>
      </w:r>
    </w:p>
    <w:p w14:paraId="3F7BFAA6" w14:textId="77777777" w:rsidR="00167090" w:rsidRPr="004D0DC2" w:rsidRDefault="00167090" w:rsidP="00167090">
      <w:pPr>
        <w:spacing w:after="240"/>
        <w:ind w:left="720"/>
      </w:pPr>
      <w:r w:rsidRPr="004D0DC2">
        <w:t xml:space="preserve">The Technical Proposal must describe and demonstrate in detail how the successful bidder will participate in the CDE’s SLPs quarterly meetings on collaborative ventures, especially as related to professional development activities regarding the CDE’s current and emerging adult education priorities, including but not limited to: student transitions, literacy, numeracy, online instruction, and integrated education and training—which includes literacy, workforce preparation, and workforce training. This collaborative work also includes annual plans and updates, as requested by the CDE. The Technical Proposal must describe in detail how the successful bidder will provide information to the SLP contractors to maintain a common, current online professional development calendar (provided by the OTAN contractor on the shared web page at </w:t>
      </w:r>
      <w:hyperlink r:id="rId42" w:tooltip="Califonia Adult Eduction Reporting site link" w:history="1">
        <w:r w:rsidRPr="004D0DC2">
          <w:rPr>
            <w:color w:val="0000FF"/>
            <w:u w:val="single"/>
          </w:rPr>
          <w:t>https://www.caadultedtraining.org/</w:t>
        </w:r>
      </w:hyperlink>
      <w:r w:rsidRPr="004D0DC2">
        <w:t>).</w:t>
      </w:r>
    </w:p>
    <w:p w14:paraId="124B992F" w14:textId="77777777" w:rsidR="00167090" w:rsidRPr="004D0DC2" w:rsidRDefault="00167090" w:rsidP="00A37665">
      <w:pPr>
        <w:widowControl w:val="0"/>
        <w:numPr>
          <w:ilvl w:val="0"/>
          <w:numId w:val="47"/>
        </w:numPr>
        <w:spacing w:after="240"/>
        <w:ind w:left="1440"/>
        <w:contextualSpacing/>
        <w:rPr>
          <w:rFonts w:cs="Arial"/>
          <w:color w:val="000000" w:themeColor="text1"/>
          <w:szCs w:val="24"/>
        </w:rPr>
      </w:pPr>
      <w:r w:rsidRPr="004D0DC2">
        <w:rPr>
          <w:color w:val="000000" w:themeColor="text1"/>
        </w:rPr>
        <w:t>The Technical Proposal must describe and demonstrate how the successful bidder will work with the other two SLP contractors to continually improve alternative delivery systems used to provide leadership activities. The Technical Proposal must acknowledge and ensure the successful bidder’s participation and attendance at all required SLP meetings. Any face-to-face meetings will be conducted at the CDE or another designated location and will occur at least every quarter at the CDE’s discretion. The successful bidder will work with the CDE and the two SLP contractors to create an agenda and take minutes for each meeting, which will be emailed to the CDE in five working days after each meeting. The successful bidder must budget for these meetings and include all costs in the Cost Proposal. Do not include any cost information in the Technical Proposal.</w:t>
      </w:r>
    </w:p>
    <w:p w14:paraId="7940629B" w14:textId="77777777" w:rsidR="00167090" w:rsidRPr="004D0DC2" w:rsidRDefault="00167090" w:rsidP="00167090">
      <w:pPr>
        <w:widowControl w:val="0"/>
        <w:spacing w:after="240"/>
        <w:ind w:left="1440"/>
        <w:contextualSpacing/>
        <w:rPr>
          <w:rFonts w:cs="Arial"/>
          <w:color w:val="000000" w:themeColor="text1"/>
          <w:szCs w:val="24"/>
        </w:rPr>
      </w:pPr>
    </w:p>
    <w:p w14:paraId="3613DFE7" w14:textId="3944FBBC" w:rsidR="00167090" w:rsidRPr="004D0DC2" w:rsidRDefault="00167090" w:rsidP="00A37665">
      <w:pPr>
        <w:widowControl w:val="0"/>
        <w:numPr>
          <w:ilvl w:val="0"/>
          <w:numId w:val="47"/>
        </w:numPr>
        <w:spacing w:after="240"/>
        <w:ind w:left="1440"/>
        <w:contextualSpacing/>
        <w:rPr>
          <w:rFonts w:cs="Arial"/>
          <w:color w:val="000000" w:themeColor="text1"/>
        </w:rPr>
      </w:pPr>
      <w:r w:rsidRPr="54EA1D9A">
        <w:rPr>
          <w:color w:val="000000" w:themeColor="text1"/>
        </w:rPr>
        <w:t xml:space="preserve">The Technical Proposal must acknowledge and ensure that the successful bidder will work in tandem with the other two SLP contractors to coordinate, notify, and arrange logistics for webinars, online modules, and face-to-face activities. Notification consists of emails to the field, postings on SLP websites, and a shared online calendar. </w:t>
      </w:r>
      <w:r>
        <w:t>The Technical Proposal must describe how the successful bidder will coordinate with the other SLP contractors to support the IELCE program and related professional development activities. The IELCE program consists of ELA, Civics Education, Workforce Preparation, and Workforce Training. The Technical Proposal must describe how the successful bidder will work collaboratively to develop and monitor annual plans, including professional development, technology and distance learning, and IELCE plans and activities.</w:t>
      </w:r>
      <w:r>
        <w:br/>
      </w:r>
    </w:p>
    <w:p w14:paraId="338163AE" w14:textId="77777777" w:rsidR="00167090" w:rsidRPr="004D0DC2" w:rsidRDefault="00167090" w:rsidP="00167090">
      <w:pPr>
        <w:keepNext/>
        <w:keepLines/>
        <w:spacing w:before="40" w:after="240"/>
        <w:ind w:left="720"/>
        <w:outlineLvl w:val="4"/>
        <w:rPr>
          <w:rFonts w:eastAsiaTheme="majorEastAsia" w:cstheme="majorBidi"/>
          <w:sz w:val="28"/>
        </w:rPr>
      </w:pPr>
      <w:r w:rsidRPr="004D0DC2">
        <w:rPr>
          <w:rFonts w:eastAsiaTheme="majorEastAsia" w:cstheme="majorBidi"/>
          <w:sz w:val="28"/>
        </w:rPr>
        <w:t>4.8.B. Collaboration with Local, State, and National Agencies and Organizations</w:t>
      </w:r>
    </w:p>
    <w:p w14:paraId="05D9DDFC" w14:textId="77777777" w:rsidR="00167090" w:rsidRPr="004D0DC2" w:rsidRDefault="00167090" w:rsidP="00167090">
      <w:pPr>
        <w:spacing w:after="240"/>
        <w:ind w:left="720"/>
      </w:pPr>
      <w:r w:rsidRPr="004D0DC2">
        <w:t xml:space="preserve">The Technical Proposal must describe and demonstrate in detail the process to be used by the successful bidder to work with local, state, and national adult education institutions </w:t>
      </w:r>
      <w:r w:rsidRPr="004D0DC2">
        <w:lastRenderedPageBreak/>
        <w:t>and organizations to provide the most recent professional development activities and resources to the field.</w:t>
      </w:r>
    </w:p>
    <w:p w14:paraId="1225C2DF" w14:textId="53944B23" w:rsidR="00167090" w:rsidRPr="004D0DC2" w:rsidRDefault="00167090" w:rsidP="00A37665">
      <w:pPr>
        <w:numPr>
          <w:ilvl w:val="0"/>
          <w:numId w:val="52"/>
        </w:numPr>
        <w:spacing w:after="240"/>
        <w:contextualSpacing/>
      </w:pPr>
      <w:r>
        <w:t xml:space="preserve">The Technical Proposal must describe in detail how the successful bidder will work with local, state, and national organizations to provide one unique training opportunity per fiscal year, beginning in </w:t>
      </w:r>
      <w:r w:rsidR="00BA45B4">
        <w:t>2026</w:t>
      </w:r>
      <w:r w:rsidR="765DF25E">
        <w:t>–</w:t>
      </w:r>
      <w:r w:rsidR="00BA45B4">
        <w:t>27</w:t>
      </w:r>
      <w:r>
        <w:t>, including, but not limited to, immigrant integration support, evidence-based reading instruction, evidence-based writing instruction, IET, CCRS, and the English literacy proficiency standards for adult education.</w:t>
      </w:r>
    </w:p>
    <w:p w14:paraId="4DB1B2F0" w14:textId="77777777" w:rsidR="00167090" w:rsidRPr="004D0DC2" w:rsidRDefault="00167090" w:rsidP="00167090">
      <w:pPr>
        <w:spacing w:after="240"/>
        <w:ind w:left="1440"/>
        <w:contextualSpacing/>
      </w:pPr>
    </w:p>
    <w:p w14:paraId="352A776E" w14:textId="77777777" w:rsidR="00167090" w:rsidRPr="004D0DC2" w:rsidRDefault="00167090" w:rsidP="00A37665">
      <w:pPr>
        <w:numPr>
          <w:ilvl w:val="0"/>
          <w:numId w:val="52"/>
        </w:numPr>
        <w:contextualSpacing/>
      </w:pPr>
      <w:r w:rsidRPr="004D0DC2">
        <w:t>The Technical Proposal must describe in detail how the successful bidder will work with local, state, and national organizations to provide more cost-effective trainings and reduce duplication of services. This includes offerings by other SLP, state conferences, national conferences as well as LINCS.</w:t>
      </w:r>
    </w:p>
    <w:p w14:paraId="3934936C" w14:textId="77777777" w:rsidR="00167090" w:rsidRPr="004D0DC2" w:rsidRDefault="00167090" w:rsidP="00167090">
      <w:pPr>
        <w:ind w:left="1080"/>
        <w:contextualSpacing/>
      </w:pPr>
    </w:p>
    <w:p w14:paraId="4246B308" w14:textId="0808EA93" w:rsidR="00167090" w:rsidRPr="004D0DC2" w:rsidRDefault="00167090" w:rsidP="00A37665">
      <w:pPr>
        <w:numPr>
          <w:ilvl w:val="0"/>
          <w:numId w:val="52"/>
        </w:numPr>
        <w:spacing w:after="240"/>
        <w:contextualSpacing/>
      </w:pPr>
      <w:r>
        <w:t xml:space="preserve">The Technical Proposal must describe in detail how the successful bidder, beginning in </w:t>
      </w:r>
      <w:r w:rsidR="2BF1DB74">
        <w:t>FY</w:t>
      </w:r>
      <w:r>
        <w:t xml:space="preserve"> </w:t>
      </w:r>
      <w:r w:rsidR="00BA45B4">
        <w:t>2026</w:t>
      </w:r>
      <w:r w:rsidR="4F3BBF42">
        <w:t>–</w:t>
      </w:r>
      <w:r w:rsidR="00BA45B4">
        <w:t>27</w:t>
      </w:r>
      <w:r>
        <w:t xml:space="preserve">, will provide an analysis of what other professional development opportunities are provided by local, state and national organizations. </w:t>
      </w:r>
      <w:r>
        <w:br/>
      </w:r>
    </w:p>
    <w:p w14:paraId="1F84AF99" w14:textId="5954DF93" w:rsidR="00167090" w:rsidRPr="004D0DC2" w:rsidRDefault="00167090" w:rsidP="00A37665">
      <w:pPr>
        <w:numPr>
          <w:ilvl w:val="0"/>
          <w:numId w:val="52"/>
        </w:numPr>
        <w:spacing w:after="240"/>
        <w:contextualSpacing/>
      </w:pPr>
      <w:r>
        <w:t>The Technical Proposal must ensure that this analysis will also include how the successful bidder will coordinate and leverage these professional development resources for local agencies.</w:t>
      </w:r>
      <w:r>
        <w:br/>
      </w:r>
    </w:p>
    <w:p w14:paraId="27286991" w14:textId="267B1C49" w:rsidR="00167090" w:rsidRPr="004D0DC2" w:rsidRDefault="00167090" w:rsidP="00A37665">
      <w:pPr>
        <w:numPr>
          <w:ilvl w:val="0"/>
          <w:numId w:val="52"/>
        </w:numPr>
        <w:contextualSpacing/>
      </w:pPr>
      <w:r>
        <w:t>The Technical Proposal must describe in detail how the successful bidder will develop a sub-report to be included in the Annual Summary Progress Report due the first Friday of August each fiscal year</w:t>
      </w:r>
      <w:r w:rsidR="00AA3808">
        <w:t xml:space="preserve"> (task 2.2)</w:t>
      </w:r>
      <w:r>
        <w:t>, beginning in 202</w:t>
      </w:r>
      <w:r w:rsidR="004D5A99">
        <w:t>6</w:t>
      </w:r>
      <w:r>
        <w:t>–2</w:t>
      </w:r>
      <w:r w:rsidR="004D5A99">
        <w:t>7</w:t>
      </w:r>
      <w:r w:rsidR="3B3197F6">
        <w:t>.</w:t>
      </w:r>
    </w:p>
    <w:p w14:paraId="7A693E2D" w14:textId="77777777" w:rsidR="002970E9" w:rsidRDefault="002970E9">
      <w:pPr>
        <w:rPr>
          <w:rFonts w:eastAsia="Times New Roman" w:cs="Arial"/>
          <w:b/>
          <w:bCs/>
          <w:iCs/>
          <w:sz w:val="40"/>
          <w:szCs w:val="40"/>
        </w:rPr>
      </w:pPr>
      <w:r>
        <w:br w:type="page"/>
      </w:r>
    </w:p>
    <w:p w14:paraId="01219EAD" w14:textId="604CB930" w:rsidR="00537458" w:rsidRPr="004D0DC2" w:rsidRDefault="00C426A0" w:rsidP="54EA1D9A">
      <w:pPr>
        <w:pStyle w:val="Heading2"/>
        <w:spacing w:before="480"/>
      </w:pPr>
      <w:bookmarkStart w:id="17" w:name="_Toc210913300"/>
      <w:r>
        <w:lastRenderedPageBreak/>
        <w:t>8</w:t>
      </w:r>
      <w:r w:rsidR="00537458">
        <w:t>. BUDGET DETAIL AND PAYMENT PROVISIONS</w:t>
      </w:r>
      <w:bookmarkEnd w:id="17"/>
    </w:p>
    <w:p w14:paraId="01D0F398" w14:textId="63033395" w:rsidR="00537458" w:rsidRPr="004D0DC2" w:rsidRDefault="00C426A0" w:rsidP="00F67ED5">
      <w:pPr>
        <w:pStyle w:val="Heading3"/>
        <w:rPr>
          <w:bCs/>
        </w:rPr>
      </w:pPr>
      <w:bookmarkStart w:id="18" w:name="_Toc500420521"/>
      <w:r w:rsidRPr="004D0DC2">
        <w:t>8</w:t>
      </w:r>
      <w:r w:rsidR="00537458" w:rsidRPr="004D0DC2">
        <w:t>.1 Invoicing and Payment</w:t>
      </w:r>
      <w:bookmarkEnd w:id="18"/>
    </w:p>
    <w:p w14:paraId="481DD028" w14:textId="77777777" w:rsidR="00537458" w:rsidRPr="004D0DC2" w:rsidRDefault="00537458" w:rsidP="00537458">
      <w:pPr>
        <w:pStyle w:val="BodyTextIndent2"/>
        <w:spacing w:before="240" w:after="240"/>
        <w:ind w:left="0"/>
        <w:jc w:val="left"/>
        <w:rPr>
          <w:rFonts w:ascii="Arial" w:hAnsi="Arial" w:cs="Arial"/>
          <w:szCs w:val="24"/>
        </w:rPr>
      </w:pPr>
      <w:r w:rsidRPr="004D0DC2">
        <w:rPr>
          <w:rFonts w:ascii="Arial" w:hAnsi="Arial" w:cs="Arial"/>
          <w:szCs w:val="24"/>
        </w:rPr>
        <w:t>For services satisfactorily rendered, and upon receipt and approval of the invoices, the State agrees to compensate the Contractor for actual expenditures incurred in accordance with the rates specified herein, which is attached hereto and made a part of this agreement.</w:t>
      </w:r>
    </w:p>
    <w:p w14:paraId="3AC76DE0" w14:textId="48E85867" w:rsidR="00537458" w:rsidRPr="004D0DC2" w:rsidRDefault="00537458" w:rsidP="00537458">
      <w:pPr>
        <w:spacing w:before="240" w:after="240"/>
        <w:rPr>
          <w:rFonts w:cs="Arial"/>
        </w:rPr>
      </w:pPr>
      <w:r w:rsidRPr="54EA1D9A">
        <w:rPr>
          <w:rFonts w:cs="Arial"/>
        </w:rPr>
        <w:t xml:space="preserve">Payment of the invoice will not be made until the CDE accepts and approves the invoice. To be approved the invoice must include the level of detail described in the Budget (Cost Proposal) for each task and for the fiscal year in which the expense was incurred. Further, the invoice must be easily comparable by CDE staff to the Budget contained herein. No line item invoiced may exceed the corresponding </w:t>
      </w:r>
      <w:r w:rsidR="38CA84C7" w:rsidRPr="54EA1D9A">
        <w:rPr>
          <w:rFonts w:cs="Arial"/>
        </w:rPr>
        <w:t>line-item</w:t>
      </w:r>
      <w:r w:rsidRPr="54EA1D9A">
        <w:rPr>
          <w:rFonts w:cs="Arial"/>
        </w:rPr>
        <w:t xml:space="preserve"> amount stated in the Budget.</w:t>
      </w:r>
    </w:p>
    <w:p w14:paraId="0FCF05B7" w14:textId="122B363C" w:rsidR="00537458" w:rsidRPr="004D0DC2" w:rsidRDefault="00537458" w:rsidP="00537458">
      <w:pPr>
        <w:spacing w:before="240" w:after="240"/>
        <w:rPr>
          <w:rFonts w:cs="Arial"/>
          <w:szCs w:val="24"/>
        </w:rPr>
      </w:pPr>
      <w:r w:rsidRPr="004D0DC2">
        <w:rPr>
          <w:rFonts w:cs="Arial"/>
          <w:szCs w:val="24"/>
        </w:rPr>
        <w:t xml:space="preserve">The </w:t>
      </w:r>
      <w:r w:rsidR="00B120B0" w:rsidRPr="004D0DC2">
        <w:rPr>
          <w:rFonts w:cs="Arial"/>
          <w:szCs w:val="24"/>
        </w:rPr>
        <w:t>C</w:t>
      </w:r>
      <w:r w:rsidRPr="004D0DC2">
        <w:rPr>
          <w:rFonts w:cs="Arial"/>
          <w:szCs w:val="24"/>
        </w:rPr>
        <w:t>ontractor must retain and update records and accounts on a monthly basis and must be able to prepare and submit statistical, narrative, and/or financial and program reports and summaries related to this contract as requested by the CDE.</w:t>
      </w:r>
    </w:p>
    <w:p w14:paraId="141B0112" w14:textId="77777777" w:rsidR="00537458" w:rsidRPr="004D0DC2" w:rsidRDefault="00537458" w:rsidP="00537458">
      <w:pPr>
        <w:pStyle w:val="BodyTextIndent2"/>
        <w:spacing w:before="240" w:after="240"/>
        <w:ind w:left="0"/>
        <w:jc w:val="left"/>
        <w:rPr>
          <w:rFonts w:ascii="Arial" w:hAnsi="Arial" w:cs="Arial"/>
          <w:szCs w:val="24"/>
        </w:rPr>
      </w:pPr>
      <w:r w:rsidRPr="004D0DC2">
        <w:rPr>
          <w:rFonts w:ascii="Arial" w:hAnsi="Arial" w:cs="Arial"/>
          <w:szCs w:val="24"/>
        </w:rPr>
        <w:t xml:space="preserve">Invoices shall be itemized per the Cost Proposal and shall include the </w:t>
      </w:r>
      <w:r w:rsidRPr="004D0DC2">
        <w:rPr>
          <w:rFonts w:ascii="Arial" w:hAnsi="Arial" w:cs="Arial"/>
          <w:bCs/>
          <w:szCs w:val="24"/>
        </w:rPr>
        <w:t>Agreement Number</w:t>
      </w:r>
      <w:r w:rsidRPr="004D0DC2">
        <w:rPr>
          <w:rFonts w:ascii="Arial" w:hAnsi="Arial" w:cs="Arial"/>
          <w:szCs w:val="24"/>
        </w:rPr>
        <w:t>, dates of services, number of hours by job position, other direct expenses as applicable from the Cost Proposal, and shall be submitted in arrears, along with a progress report (See Task 2.1, Monthly Written Progress Reports), not more frequently than monthly in duplicate to:</w:t>
      </w:r>
    </w:p>
    <w:p w14:paraId="6B04BCDE" w14:textId="77777777" w:rsidR="00537458" w:rsidRPr="00996AC1" w:rsidRDefault="00537458" w:rsidP="00537458">
      <w:pPr>
        <w:jc w:val="center"/>
      </w:pPr>
      <w:r w:rsidRPr="00996AC1">
        <w:t>California Department of Education</w:t>
      </w:r>
    </w:p>
    <w:p w14:paraId="2FCE8CBB" w14:textId="6CC4724E" w:rsidR="00537458" w:rsidRPr="00996AC1" w:rsidRDefault="006B330E" w:rsidP="00537458">
      <w:pPr>
        <w:jc w:val="center"/>
      </w:pPr>
      <w:r w:rsidRPr="00996AC1">
        <w:t>Career and College Transition Division</w:t>
      </w:r>
    </w:p>
    <w:p w14:paraId="21F9B3FB" w14:textId="53B48357" w:rsidR="00537458" w:rsidRPr="00996AC1" w:rsidRDefault="00537458" w:rsidP="00537458">
      <w:pPr>
        <w:jc w:val="center"/>
      </w:pPr>
      <w:r w:rsidRPr="00996AC1">
        <w:t>1430 N Street, Suite</w:t>
      </w:r>
      <w:r w:rsidR="006B330E" w:rsidRPr="00996AC1">
        <w:t xml:space="preserve"> 4202</w:t>
      </w:r>
    </w:p>
    <w:p w14:paraId="037A7A0E" w14:textId="77777777" w:rsidR="00537458" w:rsidRPr="00996AC1" w:rsidRDefault="00537458" w:rsidP="00537458">
      <w:pPr>
        <w:jc w:val="center"/>
      </w:pPr>
      <w:r w:rsidRPr="00996AC1">
        <w:t>Sacramento, CA 95814</w:t>
      </w:r>
    </w:p>
    <w:p w14:paraId="0CA924B6" w14:textId="486EA352" w:rsidR="00537458" w:rsidRPr="00996AC1" w:rsidRDefault="00537458" w:rsidP="00537458">
      <w:pPr>
        <w:jc w:val="center"/>
      </w:pPr>
      <w:r w:rsidRPr="00996AC1">
        <w:t xml:space="preserve">Attention: </w:t>
      </w:r>
      <w:r w:rsidR="006B330E" w:rsidRPr="00996AC1">
        <w:t>Diana Batista</w:t>
      </w:r>
    </w:p>
    <w:p w14:paraId="5CD9CD02" w14:textId="2723097C" w:rsidR="001E7DBA" w:rsidRDefault="001E7DBA" w:rsidP="00537458">
      <w:pPr>
        <w:jc w:val="center"/>
      </w:pPr>
      <w:r w:rsidRPr="00996AC1">
        <w:t xml:space="preserve">Email: </w:t>
      </w:r>
      <w:hyperlink r:id="rId43" w:history="1">
        <w:r w:rsidR="006E6F31" w:rsidRPr="004B0858">
          <w:rPr>
            <w:rStyle w:val="Hyperlink"/>
          </w:rPr>
          <w:t>Dbatista@cde.ca.gov</w:t>
        </w:r>
      </w:hyperlink>
    </w:p>
    <w:p w14:paraId="4FF20161" w14:textId="77777777" w:rsidR="00537458" w:rsidRPr="004D0DC2" w:rsidRDefault="00537458" w:rsidP="00537458">
      <w:pPr>
        <w:pStyle w:val="BodyTextIndent2"/>
        <w:spacing w:before="240" w:after="240"/>
        <w:ind w:left="0"/>
        <w:jc w:val="left"/>
        <w:rPr>
          <w:rFonts w:ascii="Arial" w:hAnsi="Arial" w:cs="Arial"/>
          <w:szCs w:val="24"/>
        </w:rPr>
      </w:pPr>
      <w:r w:rsidRPr="00996AC1">
        <w:rPr>
          <w:rFonts w:ascii="Arial" w:hAnsi="Arial" w:cs="Arial"/>
          <w:szCs w:val="24"/>
        </w:rPr>
        <w:t xml:space="preserve">Any subcontracts entered into as a result of this Agreement shall meet all </w:t>
      </w:r>
      <w:r w:rsidRPr="004D0DC2">
        <w:rPr>
          <w:rFonts w:ascii="Arial" w:hAnsi="Arial" w:cs="Arial"/>
          <w:szCs w:val="24"/>
        </w:rPr>
        <w:t>of the provisions of this article.</w:t>
      </w:r>
    </w:p>
    <w:p w14:paraId="122BC6F9" w14:textId="56AC0172" w:rsidR="00537458" w:rsidRPr="004D0DC2" w:rsidRDefault="00C426A0" w:rsidP="00F67ED5">
      <w:pPr>
        <w:pStyle w:val="Heading3"/>
      </w:pPr>
      <w:r w:rsidRPr="004D0DC2">
        <w:t>8</w:t>
      </w:r>
      <w:r w:rsidR="00537458" w:rsidRPr="004D0DC2">
        <w:t>.2 Payment</w:t>
      </w:r>
    </w:p>
    <w:p w14:paraId="347D050A" w14:textId="77777777" w:rsidR="00537458" w:rsidRPr="004D0DC2" w:rsidRDefault="00537458" w:rsidP="00537458">
      <w:pPr>
        <w:pStyle w:val="BodyTextIndent3"/>
        <w:spacing w:before="240" w:after="240"/>
        <w:ind w:left="0" w:firstLine="0"/>
        <w:jc w:val="left"/>
        <w:rPr>
          <w:rFonts w:ascii="Arial" w:hAnsi="Arial" w:cs="Arial"/>
          <w:szCs w:val="24"/>
        </w:rPr>
      </w:pPr>
      <w:r w:rsidRPr="004D0DC2">
        <w:rPr>
          <w:rFonts w:ascii="Arial" w:hAnsi="Arial" w:cs="Arial"/>
          <w:szCs w:val="24"/>
        </w:rPr>
        <w:t xml:space="preserve">Payment will be made in accordance with, and within the time specified in, </w:t>
      </w:r>
      <w:r w:rsidRPr="004D0DC2">
        <w:rPr>
          <w:rFonts w:ascii="Arial" w:hAnsi="Arial" w:cs="Arial"/>
          <w:i/>
          <w:szCs w:val="24"/>
        </w:rPr>
        <w:t>Government Code</w:t>
      </w:r>
      <w:r w:rsidRPr="004D0DC2">
        <w:rPr>
          <w:rFonts w:ascii="Arial" w:hAnsi="Arial" w:cs="Arial"/>
          <w:szCs w:val="24"/>
        </w:rPr>
        <w:t xml:space="preserve"> Chapter 4.5, commencing with Section 927.</w:t>
      </w:r>
    </w:p>
    <w:p w14:paraId="7015FB0A" w14:textId="504C7620" w:rsidR="00AA6376" w:rsidRPr="004D0DC2" w:rsidRDefault="00AA6376" w:rsidP="00F67ED5">
      <w:pPr>
        <w:pStyle w:val="Heading3"/>
        <w:rPr>
          <w:rFonts w:cs="Arial"/>
          <w:bCs/>
          <w:szCs w:val="28"/>
        </w:rPr>
      </w:pPr>
      <w:bookmarkStart w:id="19" w:name="_Toc500420523"/>
      <w:r w:rsidRPr="004D0DC2">
        <w:t>8.3 Budget Contingency Clause</w:t>
      </w:r>
      <w:r w:rsidR="00E45035" w:rsidRPr="004D0DC2">
        <w:t xml:space="preserve"> (Rev. 04/2025)</w:t>
      </w:r>
    </w:p>
    <w:p w14:paraId="696E0544" w14:textId="3BF7CE75" w:rsidR="00E45035" w:rsidRPr="004D0DC2" w:rsidRDefault="00E45035" w:rsidP="00E45035">
      <w:pPr>
        <w:tabs>
          <w:tab w:val="left" w:pos="720"/>
        </w:tabs>
        <w:autoSpaceDE w:val="0"/>
        <w:autoSpaceDN w:val="0"/>
        <w:adjustRightInd w:val="0"/>
        <w:spacing w:before="240" w:after="240"/>
        <w:ind w:left="360" w:hanging="360"/>
        <w:rPr>
          <w:rFonts w:cs="Arial"/>
        </w:rPr>
      </w:pPr>
      <w:r w:rsidRPr="54EA1D9A">
        <w:rPr>
          <w:rFonts w:cs="Arial"/>
        </w:rPr>
        <w:t>A.</w:t>
      </w:r>
      <w:r w:rsidR="24FC2A06" w:rsidRPr="54EA1D9A">
        <w:rPr>
          <w:rFonts w:cs="Arial"/>
        </w:rPr>
        <w:t xml:space="preserve">  </w:t>
      </w:r>
      <w:r w:rsidRPr="54EA1D9A">
        <w:rPr>
          <w:rFonts w:cs="Arial"/>
        </w:rPr>
        <w:t>It is mutually understood between the parties that this Agreement may have been written before ascertaining the availability of federal and/or state funds, for the mutual benefit of both parties in order to avoid program and fiscal delays that would occur if the Agreement were executed after that determination was made.</w:t>
      </w:r>
    </w:p>
    <w:p w14:paraId="1CF4D3CE" w14:textId="77777777" w:rsidR="00E45035" w:rsidRPr="004D0DC2" w:rsidRDefault="00E45035" w:rsidP="00E45035">
      <w:pPr>
        <w:tabs>
          <w:tab w:val="left" w:pos="720"/>
        </w:tabs>
        <w:autoSpaceDE w:val="0"/>
        <w:autoSpaceDN w:val="0"/>
        <w:adjustRightInd w:val="0"/>
        <w:spacing w:before="240" w:after="240"/>
        <w:ind w:left="360" w:hanging="360"/>
        <w:rPr>
          <w:rFonts w:cs="Arial"/>
        </w:rPr>
      </w:pPr>
      <w:r w:rsidRPr="004D0DC2">
        <w:rPr>
          <w:rFonts w:cs="Arial"/>
        </w:rPr>
        <w:t>B.</w:t>
      </w:r>
      <w:r w:rsidRPr="004D0DC2">
        <w:rPr>
          <w:rFonts w:cs="Arial"/>
        </w:rPr>
        <w:tab/>
        <w:t xml:space="preserve">This Agreement is valid and enforceable only if sufficient funds are made available to the State by the United States and/or California Government for the purpose of this program. In addition, this Agreement is subject to any additional restrictions, limitations, or conditions, </w:t>
      </w:r>
      <w:r w:rsidRPr="004D0DC2">
        <w:rPr>
          <w:rFonts w:cs="Arial"/>
        </w:rPr>
        <w:lastRenderedPageBreak/>
        <w:t>imposed by the federal or California government that may affect the provisions, terms or funding of this Agreement in any manner.</w:t>
      </w:r>
    </w:p>
    <w:p w14:paraId="5C2BF1A1" w14:textId="77777777" w:rsidR="00E45035" w:rsidRPr="004D0DC2" w:rsidRDefault="00E45035" w:rsidP="00E45035">
      <w:pPr>
        <w:tabs>
          <w:tab w:val="left" w:pos="720"/>
        </w:tabs>
        <w:autoSpaceDE w:val="0"/>
        <w:autoSpaceDN w:val="0"/>
        <w:adjustRightInd w:val="0"/>
        <w:spacing w:before="240" w:after="240"/>
        <w:ind w:left="360" w:hanging="360"/>
        <w:rPr>
          <w:rFonts w:cs="Arial"/>
        </w:rPr>
      </w:pPr>
      <w:r w:rsidRPr="004D0DC2">
        <w:rPr>
          <w:rFonts w:cs="Arial"/>
        </w:rPr>
        <w:t>C.</w:t>
      </w:r>
      <w:r w:rsidRPr="004D0DC2">
        <w:rPr>
          <w:rFonts w:cs="Arial"/>
        </w:rPr>
        <w:tab/>
        <w:t>It is mutually agreed that if the Congress or the State Legislature does not appropriate sufficient funds for the program or the federal or state executive branch does not disburse sufficient funds, this Agreement shall be amended to reflect any reduction in funds actually received by CDE.</w:t>
      </w:r>
    </w:p>
    <w:p w14:paraId="12CC764B" w14:textId="77777777" w:rsidR="00E45035" w:rsidRPr="004D0DC2" w:rsidRDefault="00E45035" w:rsidP="00E45035">
      <w:pPr>
        <w:tabs>
          <w:tab w:val="left" w:pos="720"/>
        </w:tabs>
        <w:autoSpaceDE w:val="0"/>
        <w:autoSpaceDN w:val="0"/>
        <w:adjustRightInd w:val="0"/>
        <w:spacing w:before="240" w:after="240"/>
        <w:ind w:left="360" w:hanging="360"/>
        <w:rPr>
          <w:rFonts w:cs="Arial"/>
        </w:rPr>
      </w:pPr>
      <w:r w:rsidRPr="004D0DC2">
        <w:rPr>
          <w:rFonts w:cs="Arial"/>
        </w:rPr>
        <w:t>D.</w:t>
      </w:r>
      <w:r w:rsidRPr="004D0DC2">
        <w:rPr>
          <w:rFonts w:cs="Arial"/>
        </w:rPr>
        <w:tab/>
        <w:t>Pursuant to GC, Section 927.13, no late payment penalty shall accrue during any time period for which there is no Budget Act in effect, nor on any payment or refund that is the result of a federally mandated program or that is directly dependent upon the receipt of funds by a state agency.</w:t>
      </w:r>
    </w:p>
    <w:p w14:paraId="693F44C1" w14:textId="205C9A52" w:rsidR="00AA6376" w:rsidRPr="004D0DC2" w:rsidRDefault="00E45035" w:rsidP="00E45035">
      <w:pPr>
        <w:tabs>
          <w:tab w:val="left" w:pos="720"/>
        </w:tabs>
        <w:autoSpaceDE w:val="0"/>
        <w:autoSpaceDN w:val="0"/>
        <w:adjustRightInd w:val="0"/>
        <w:spacing w:before="240" w:after="240"/>
        <w:ind w:left="360" w:hanging="360"/>
      </w:pPr>
      <w:r w:rsidRPr="004D0DC2">
        <w:rPr>
          <w:rFonts w:cs="Arial"/>
        </w:rPr>
        <w:t>E.</w:t>
      </w:r>
      <w:r w:rsidRPr="004D0DC2">
        <w:rPr>
          <w:rFonts w:cs="Arial"/>
        </w:rPr>
        <w:tab/>
        <w:t>CDE has the option to terminate the Agreement under the 30-day termination clause or to amend the Agreement to reflect any reduction in funds that the CDE actually receives.</w:t>
      </w:r>
    </w:p>
    <w:p w14:paraId="3B372E85" w14:textId="3A5B91BA" w:rsidR="00537458" w:rsidRPr="004D0DC2" w:rsidRDefault="00C426A0" w:rsidP="00F67ED5">
      <w:pPr>
        <w:pStyle w:val="Heading3"/>
      </w:pPr>
      <w:r w:rsidRPr="004D0DC2">
        <w:t>8</w:t>
      </w:r>
      <w:r w:rsidR="00537458" w:rsidRPr="004D0DC2">
        <w:t>.</w:t>
      </w:r>
      <w:r w:rsidR="00AA6376" w:rsidRPr="004D0DC2">
        <w:t xml:space="preserve">4 </w:t>
      </w:r>
      <w:r w:rsidR="00537458" w:rsidRPr="004D0DC2">
        <w:t>Travel</w:t>
      </w:r>
      <w:bookmarkEnd w:id="19"/>
    </w:p>
    <w:p w14:paraId="4F006EA5" w14:textId="56F9F244" w:rsidR="00537458" w:rsidRPr="004D0DC2" w:rsidRDefault="00537458" w:rsidP="00537458">
      <w:pPr>
        <w:pStyle w:val="BodyTextIndent3"/>
        <w:widowControl/>
        <w:spacing w:before="240" w:after="240"/>
        <w:ind w:left="0" w:firstLine="0"/>
        <w:jc w:val="left"/>
        <w:rPr>
          <w:rFonts w:ascii="Arial" w:hAnsi="Arial" w:cs="Arial"/>
          <w:szCs w:val="24"/>
        </w:rPr>
      </w:pPr>
      <w:r w:rsidRPr="004D0DC2">
        <w:rPr>
          <w:rFonts w:ascii="Arial" w:hAnsi="Arial" w:cs="Arial"/>
          <w:szCs w:val="24"/>
        </w:rPr>
        <w:t>All travel costs shall be reimbursed at rates not to exceed those established for CDE’s non-represented employees, computed in accordance with and allowable pursuant to applicable California Department of Human Resources regulations.</w:t>
      </w:r>
    </w:p>
    <w:p w14:paraId="415AA256" w14:textId="03C6AF7A" w:rsidR="008D60E8" w:rsidRPr="004D0DC2" w:rsidRDefault="00AA6376" w:rsidP="00F67ED5">
      <w:pPr>
        <w:pStyle w:val="Heading3"/>
      </w:pPr>
      <w:r w:rsidRPr="004D0DC2">
        <w:t>8</w:t>
      </w:r>
      <w:r w:rsidR="008D60E8" w:rsidRPr="004D0DC2">
        <w:t>.5</w:t>
      </w:r>
      <w:r w:rsidR="008D60E8" w:rsidRPr="004D0DC2">
        <w:tab/>
        <w:t>Prior Approval of Out-of-State Travel</w:t>
      </w:r>
    </w:p>
    <w:p w14:paraId="4D129356" w14:textId="6017F864" w:rsidR="008D60E8" w:rsidRPr="004D0DC2" w:rsidRDefault="008D60E8" w:rsidP="008D60E8">
      <w:pPr>
        <w:spacing w:before="240" w:after="240"/>
        <w:rPr>
          <w:rFonts w:cs="Arial"/>
          <w:szCs w:val="24"/>
        </w:rPr>
      </w:pPr>
      <w:r w:rsidRPr="004D0DC2">
        <w:rPr>
          <w:rFonts w:cs="Arial"/>
          <w:szCs w:val="24"/>
        </w:rPr>
        <w:t xml:space="preserve">All out-of-state travel by the </w:t>
      </w:r>
      <w:r w:rsidR="00EE5ED2" w:rsidRPr="004D0DC2">
        <w:rPr>
          <w:rFonts w:cs="Arial"/>
          <w:szCs w:val="24"/>
        </w:rPr>
        <w:t>C</w:t>
      </w:r>
      <w:r w:rsidRPr="004D0DC2">
        <w:rPr>
          <w:rFonts w:cs="Arial"/>
          <w:szCs w:val="24"/>
        </w:rPr>
        <w:t xml:space="preserve">ontractor or subcontractor(s) for purposes of this contract is subject to prior written approval by the CDE </w:t>
      </w:r>
      <w:r w:rsidR="00EE5ED2" w:rsidRPr="004D0DC2">
        <w:rPr>
          <w:rFonts w:cs="Arial"/>
          <w:szCs w:val="24"/>
        </w:rPr>
        <w:t>contract</w:t>
      </w:r>
      <w:r w:rsidRPr="004D0DC2">
        <w:rPr>
          <w:rFonts w:cs="Arial"/>
          <w:szCs w:val="24"/>
        </w:rPr>
        <w:t xml:space="preserve"> monitor specified in this contract.</w:t>
      </w:r>
    </w:p>
    <w:p w14:paraId="37CEC5B3" w14:textId="6F8D20AF" w:rsidR="00537458" w:rsidRPr="004D0DC2" w:rsidRDefault="00C426A0" w:rsidP="00F67ED5">
      <w:pPr>
        <w:pStyle w:val="Heading3"/>
        <w:rPr>
          <w:u w:val="single"/>
        </w:rPr>
      </w:pPr>
      <w:r w:rsidRPr="004D0DC2">
        <w:t>8</w:t>
      </w:r>
      <w:r w:rsidR="00537458" w:rsidRPr="004D0DC2">
        <w:t>.</w:t>
      </w:r>
      <w:r w:rsidR="00AA6376" w:rsidRPr="004D0DC2">
        <w:t>6</w:t>
      </w:r>
      <w:r w:rsidR="00537458" w:rsidRPr="004D0DC2">
        <w:t xml:space="preserve"> Payment Withhold for Separate and Distinct Tasks</w:t>
      </w:r>
    </w:p>
    <w:p w14:paraId="12833301" w14:textId="2E65A140" w:rsidR="00537458" w:rsidRPr="004D0DC2" w:rsidRDefault="00537458" w:rsidP="54EA1D9A">
      <w:pPr>
        <w:tabs>
          <w:tab w:val="left" w:pos="720"/>
        </w:tabs>
        <w:spacing w:before="240" w:after="240"/>
        <w:rPr>
          <w:rFonts w:cs="Arial"/>
          <w:color w:val="000000"/>
        </w:rPr>
      </w:pPr>
      <w:r w:rsidRPr="54EA1D9A">
        <w:rPr>
          <w:rFonts w:cs="Arial"/>
        </w:rPr>
        <w:t xml:space="preserve">In accordance with Public Contract Code section 10346, the State shall withhold 10 percent of </w:t>
      </w:r>
      <w:r w:rsidRPr="54EA1D9A">
        <w:rPr>
          <w:rFonts w:cs="Arial"/>
          <w:color w:val="000000" w:themeColor="text1"/>
        </w:rPr>
        <w:t>each progress</w:t>
      </w:r>
      <w:r w:rsidRPr="54EA1D9A">
        <w:rPr>
          <w:rFonts w:cs="Arial"/>
          <w:color w:val="FF0000"/>
        </w:rPr>
        <w:t xml:space="preserve"> </w:t>
      </w:r>
      <w:r w:rsidRPr="54EA1D9A">
        <w:rPr>
          <w:rFonts w:cs="Arial"/>
        </w:rPr>
        <w:t xml:space="preserve">payment for each separate and distinct Task. Funds withheld for </w:t>
      </w:r>
      <w:r w:rsidRPr="54EA1D9A">
        <w:rPr>
          <w:rFonts w:cs="Arial"/>
          <w:color w:val="000000" w:themeColor="text1"/>
        </w:rPr>
        <w:t>each separate and distinct Task will be paid upon satisfactory completion of that Task, as determined by the State. A Task is deemed satisfactorily completed upon acceptance and written approval by the State for all deliverables or services for that Task, including submission of monthly progress reports. The progress reports shall include, at a minimum: Task number and title; deliverables or services performed; dates of performance and completion; and the results and progress of the project/work. Those annual activities that are completed and repeated in their entirety each year shall be considered separate and distinct tasks that are to be paid in full following satisfactory completion in each year of the contract.</w:t>
      </w:r>
    </w:p>
    <w:p w14:paraId="4E487212" w14:textId="0DE2BC92" w:rsidR="00537458" w:rsidRPr="004D0DC2" w:rsidRDefault="00537458" w:rsidP="00537458">
      <w:pPr>
        <w:tabs>
          <w:tab w:val="left" w:pos="720"/>
        </w:tabs>
        <w:spacing w:before="240" w:after="240"/>
        <w:rPr>
          <w:rFonts w:cs="Arial"/>
          <w:color w:val="000000"/>
          <w:szCs w:val="28"/>
        </w:rPr>
      </w:pPr>
      <w:r w:rsidRPr="004D0DC2">
        <w:rPr>
          <w:rFonts w:cs="Arial"/>
          <w:color w:val="000000"/>
          <w:szCs w:val="28"/>
        </w:rPr>
        <w:t>Final Payment is not a progress payment and is not subject to the 10 percent withholding.</w:t>
      </w:r>
    </w:p>
    <w:p w14:paraId="4E68F2A6" w14:textId="3EF5F2E2" w:rsidR="00075567" w:rsidRDefault="00075567" w:rsidP="00537458">
      <w:pPr>
        <w:tabs>
          <w:tab w:val="left" w:pos="720"/>
        </w:tabs>
        <w:spacing w:before="240" w:after="240"/>
        <w:rPr>
          <w:rFonts w:cs="Arial"/>
          <w:color w:val="000000"/>
          <w:szCs w:val="28"/>
        </w:rPr>
      </w:pPr>
      <w:r w:rsidRPr="004D0DC2">
        <w:rPr>
          <w:rFonts w:cs="Arial"/>
          <w:color w:val="000000"/>
          <w:szCs w:val="28"/>
        </w:rPr>
        <w:t>Final invoice will be submitted with the Contract/Contractor Evaluation (STD. 4) form by the CDE Contract Monitor. (See RFP Section 11.1 Contractor Evaluation)</w:t>
      </w:r>
    </w:p>
    <w:p w14:paraId="2C1931B7" w14:textId="38457641" w:rsidR="00CA472D" w:rsidRPr="004D0DC2" w:rsidRDefault="00CA472D" w:rsidP="54EA1D9A">
      <w:pPr>
        <w:pStyle w:val="Heading3"/>
      </w:pPr>
      <w:r w:rsidRPr="54EA1D9A">
        <w:rPr>
          <w:rFonts w:cs="Arial"/>
          <w:color w:val="000000" w:themeColor="text1"/>
        </w:rPr>
        <w:t xml:space="preserve">8.7 </w:t>
      </w:r>
      <w:r>
        <w:t>DVBE Participation Withhold</w:t>
      </w:r>
    </w:p>
    <w:p w14:paraId="5D94FAF7" w14:textId="7ED01490" w:rsidR="00CA472D" w:rsidRPr="004D0DC2" w:rsidRDefault="00CA472D" w:rsidP="00CA472D">
      <w:pPr>
        <w:pStyle w:val="ListParagraph"/>
        <w:spacing w:after="240"/>
        <w:ind w:left="0"/>
        <w:contextualSpacing w:val="0"/>
        <w:rPr>
          <w:rFonts w:cs="Arial"/>
        </w:rPr>
      </w:pPr>
      <w:bookmarkStart w:id="20" w:name="_Hlk90642265"/>
      <w:r w:rsidRPr="004D0DC2">
        <w:rPr>
          <w:rFonts w:cs="Arial"/>
        </w:rPr>
        <w:lastRenderedPageBreak/>
        <w:t xml:space="preserve">In accordance with the requirements set forth in the Military and Veterans Code (MVC), Section 999.7, the State shall withhold from the final payment amount to the Contractor, $10,000.00, or the full final payment if less than $10,000.00, until the prime Contractor complies with the certification requirements of MVC 999.5(d) by submitting to the State a completed </w:t>
      </w:r>
      <w:r w:rsidRPr="004D0DC2">
        <w:t xml:space="preserve">an accurate Prime Contractor’s Certification – DVBE Subcontracting Report (STD. 817) form and proof of payment to DVBE(s). </w:t>
      </w:r>
      <w:r w:rsidRPr="004D0DC2">
        <w:rPr>
          <w:rFonts w:cs="Arial"/>
        </w:rPr>
        <w:t xml:space="preserve">Such retained amount shall be held by the State and shall be released pending </w:t>
      </w:r>
      <w:r w:rsidRPr="004D0DC2">
        <w:t>receipt of a complete and accurate STD. 817 and proof of payment to the DVBE(s).</w:t>
      </w:r>
      <w:r w:rsidRPr="004D0DC2">
        <w:rPr>
          <w:rFonts w:cs="Arial"/>
          <w:szCs w:val="24"/>
        </w:rPr>
        <w:t xml:space="preserve"> If the S</w:t>
      </w:r>
      <w:r w:rsidR="002D2C28" w:rsidRPr="004D0DC2">
        <w:rPr>
          <w:rFonts w:cs="Arial"/>
          <w:szCs w:val="24"/>
        </w:rPr>
        <w:t>TD</w:t>
      </w:r>
      <w:r w:rsidRPr="004D0DC2">
        <w:rPr>
          <w:rFonts w:cs="Arial"/>
          <w:szCs w:val="24"/>
        </w:rPr>
        <w:t xml:space="preserve">. 817 form is late or incomplete, the State will allow the Contractor to cure within 30 days to meet the certification requirements. If the Contractor does not comply by the given deadline, the withheld amount will be permanently deducted. </w:t>
      </w:r>
      <w:r w:rsidRPr="004D0DC2">
        <w:rPr>
          <w:rFonts w:cs="Arial"/>
        </w:rPr>
        <w:t xml:space="preserve">(See </w:t>
      </w:r>
      <w:r w:rsidR="002D2C28" w:rsidRPr="004D0DC2">
        <w:rPr>
          <w:rFonts w:cs="Arial"/>
        </w:rPr>
        <w:t>RFP Section 11.1</w:t>
      </w:r>
      <w:r w:rsidR="000954EF">
        <w:rPr>
          <w:rFonts w:cs="Arial"/>
        </w:rPr>
        <w:t>1</w:t>
      </w:r>
      <w:r w:rsidRPr="004D0DC2">
        <w:rPr>
          <w:rFonts w:cs="Arial"/>
        </w:rPr>
        <w:t xml:space="preserve"> </w:t>
      </w:r>
      <w:r w:rsidRPr="004D0DC2">
        <w:t>Contract Requirements Related to DVBE Participation Compliance</w:t>
      </w:r>
      <w:r w:rsidRPr="004D0DC2">
        <w:rPr>
          <w:rFonts w:cs="Arial"/>
        </w:rPr>
        <w:t>)</w:t>
      </w:r>
    </w:p>
    <w:bookmarkEnd w:id="20"/>
    <w:p w14:paraId="4C4D0C08" w14:textId="37838D3A" w:rsidR="00537458" w:rsidRPr="004D0DC2" w:rsidRDefault="00C426A0" w:rsidP="00F67ED5">
      <w:pPr>
        <w:pStyle w:val="Heading3"/>
      </w:pPr>
      <w:r w:rsidRPr="004D0DC2">
        <w:t>8</w:t>
      </w:r>
      <w:r w:rsidR="00537458" w:rsidRPr="004D0DC2">
        <w:t>.</w:t>
      </w:r>
      <w:r w:rsidR="00CA472D" w:rsidRPr="004D0DC2">
        <w:t xml:space="preserve">8 </w:t>
      </w:r>
      <w:r w:rsidR="00537458" w:rsidRPr="004D0DC2">
        <w:t>Excise Tax</w:t>
      </w:r>
    </w:p>
    <w:p w14:paraId="42D37389" w14:textId="77777777" w:rsidR="00537458" w:rsidRPr="004D0DC2" w:rsidRDefault="00537458" w:rsidP="00537458">
      <w:pPr>
        <w:spacing w:before="240" w:after="240"/>
        <w:rPr>
          <w:rFonts w:cs="Arial"/>
          <w:szCs w:val="24"/>
        </w:rPr>
      </w:pPr>
      <w:r w:rsidRPr="004D0DC2">
        <w:rPr>
          <w:rFonts w:cs="Arial"/>
          <w:szCs w:val="24"/>
        </w:rPr>
        <w:t>The State of California is exempt from federal excise taxes, and no payment will be made for any taxes levied on employees’ wages. California may pay any applicable sales and use tax imposed by another state.</w:t>
      </w:r>
    </w:p>
    <w:p w14:paraId="45042670" w14:textId="4CCDC9AE" w:rsidR="00537458" w:rsidRPr="004D0DC2" w:rsidRDefault="00C426A0" w:rsidP="54EA1D9A">
      <w:pPr>
        <w:pStyle w:val="Heading3"/>
      </w:pPr>
      <w:r w:rsidRPr="54EA1D9A">
        <w:rPr>
          <w:rFonts w:cs="Arial"/>
        </w:rPr>
        <w:t>8</w:t>
      </w:r>
      <w:r w:rsidR="00537458" w:rsidRPr="54EA1D9A">
        <w:rPr>
          <w:rFonts w:cs="Arial"/>
        </w:rPr>
        <w:t>.</w:t>
      </w:r>
      <w:r w:rsidR="00CA472D" w:rsidRPr="54EA1D9A">
        <w:rPr>
          <w:rFonts w:cs="Arial"/>
        </w:rPr>
        <w:t xml:space="preserve">9 </w:t>
      </w:r>
      <w:r w:rsidR="00537458">
        <w:t>Option to Renew</w:t>
      </w:r>
    </w:p>
    <w:p w14:paraId="5135887D" w14:textId="692EAC15" w:rsidR="00AA6376" w:rsidRPr="004D0DC2" w:rsidRDefault="00537458" w:rsidP="54EA1D9A">
      <w:r>
        <w:t>At the sole discretion of the CDE, the contract may be extended by written agreement and formal amendment between the parties, for an additional year beginning September 1, 202</w:t>
      </w:r>
      <w:r w:rsidR="006B330E">
        <w:t>8</w:t>
      </w:r>
      <w:r>
        <w:t xml:space="preserve"> through August 31, 202</w:t>
      </w:r>
      <w:r w:rsidR="006B330E">
        <w:t>9</w:t>
      </w:r>
      <w:r>
        <w:t xml:space="preserve">, covering portions of </w:t>
      </w:r>
      <w:r w:rsidR="006B330E">
        <w:t>2028</w:t>
      </w:r>
      <w:r w:rsidR="586F4009">
        <w:t>–</w:t>
      </w:r>
      <w:r w:rsidR="006B330E">
        <w:t>29</w:t>
      </w:r>
      <w:r>
        <w:t xml:space="preserve"> and 202</w:t>
      </w:r>
      <w:r w:rsidR="006B330E">
        <w:t>9</w:t>
      </w:r>
      <w:r w:rsidR="595D88AA">
        <w:t>–</w:t>
      </w:r>
      <w:r>
        <w:t>2</w:t>
      </w:r>
      <w:r w:rsidR="006B330E">
        <w:t>030</w:t>
      </w:r>
      <w:r>
        <w:t xml:space="preserve"> fiscal years, at the same or lower rates, under the same terms.</w:t>
      </w:r>
    </w:p>
    <w:p w14:paraId="153C3DBE" w14:textId="77777777" w:rsidR="000954EF" w:rsidRDefault="000954EF">
      <w:pPr>
        <w:rPr>
          <w:rFonts w:eastAsia="Times New Roman" w:cs="Arial"/>
          <w:b/>
          <w:bCs/>
          <w:iCs/>
          <w:sz w:val="40"/>
          <w:szCs w:val="40"/>
        </w:rPr>
      </w:pPr>
      <w:r>
        <w:br w:type="page"/>
      </w:r>
    </w:p>
    <w:p w14:paraId="4D156997" w14:textId="3E9C8237" w:rsidR="00537458" w:rsidRPr="004D0DC2" w:rsidRDefault="00C426A0" w:rsidP="54EA1D9A">
      <w:pPr>
        <w:pStyle w:val="Heading2"/>
        <w:spacing w:before="480"/>
      </w:pPr>
      <w:bookmarkStart w:id="21" w:name="_Toc210913301"/>
      <w:r>
        <w:lastRenderedPageBreak/>
        <w:t>9</w:t>
      </w:r>
      <w:r w:rsidR="00537458">
        <w:t>. GENERAL TERMS AND CONDITIONS</w:t>
      </w:r>
      <w:bookmarkEnd w:id="21"/>
    </w:p>
    <w:p w14:paraId="5EB1F87E" w14:textId="0BEF4328" w:rsidR="00537458" w:rsidRPr="004D0DC2" w:rsidRDefault="00537458" w:rsidP="54EA1D9A">
      <w:pPr>
        <w:spacing w:before="240" w:after="240"/>
        <w:rPr>
          <w:rFonts w:cs="Arial"/>
          <w:b/>
          <w:bCs/>
          <w:snapToGrid w:val="0"/>
        </w:rPr>
      </w:pPr>
      <w:r>
        <w:t xml:space="preserve">The </w:t>
      </w:r>
      <w:r w:rsidRPr="54EA1D9A">
        <w:rPr>
          <w:rFonts w:cs="Arial"/>
        </w:rPr>
        <w:t>General Terms and Conditions, GTC 0</w:t>
      </w:r>
      <w:r w:rsidR="00803079" w:rsidRPr="54EA1D9A">
        <w:rPr>
          <w:rFonts w:cs="Arial"/>
        </w:rPr>
        <w:t>2</w:t>
      </w:r>
      <w:r w:rsidRPr="54EA1D9A">
        <w:rPr>
          <w:rFonts w:cs="Arial"/>
        </w:rPr>
        <w:t>/</w:t>
      </w:r>
      <w:r w:rsidR="00803079" w:rsidRPr="54EA1D9A">
        <w:rPr>
          <w:rFonts w:cs="Arial"/>
        </w:rPr>
        <w:t>2025</w:t>
      </w:r>
      <w:r w:rsidRPr="54EA1D9A">
        <w:rPr>
          <w:rFonts w:cs="Arial"/>
        </w:rPr>
        <w:t xml:space="preserve"> will be incorporated by reference and made part of the contract and also found </w:t>
      </w:r>
      <w:r w:rsidR="1D363C89" w:rsidRPr="54EA1D9A">
        <w:rPr>
          <w:rFonts w:cs="Arial"/>
        </w:rPr>
        <w:t xml:space="preserve">on the DGS website </w:t>
      </w:r>
      <w:r w:rsidRPr="54EA1D9A">
        <w:rPr>
          <w:rFonts w:cs="Arial"/>
        </w:rPr>
        <w:t xml:space="preserve">at </w:t>
      </w:r>
      <w:hyperlink r:id="rId44" w:tooltip="DGS General Terms and Conditions">
        <w:r w:rsidRPr="54EA1D9A">
          <w:rPr>
            <w:rStyle w:val="Hyperlink"/>
            <w:rFonts w:cs="Arial"/>
          </w:rPr>
          <w:t>https://www.dgs.ca.gov/OLS/Resources/Page-Content/Office-of-Legal-Services-Resources-List-Folder/Standard-Contract-Language</w:t>
        </w:r>
        <w:r w:rsidR="761598D1" w:rsidRPr="54EA1D9A">
          <w:rPr>
            <w:rStyle w:val="Hyperlink"/>
            <w:rFonts w:cs="Arial"/>
            <w:color w:val="auto"/>
            <w:u w:val="none"/>
          </w:rPr>
          <w:t>.</w:t>
        </w:r>
      </w:hyperlink>
    </w:p>
    <w:p w14:paraId="517385EC" w14:textId="77777777" w:rsidR="000954EF" w:rsidRDefault="000954EF">
      <w:pPr>
        <w:rPr>
          <w:rFonts w:eastAsia="Times New Roman" w:cs="Arial"/>
          <w:b/>
          <w:bCs/>
          <w:iCs/>
          <w:sz w:val="40"/>
          <w:szCs w:val="40"/>
        </w:rPr>
      </w:pPr>
      <w:r>
        <w:br w:type="page"/>
      </w:r>
    </w:p>
    <w:p w14:paraId="7837E3A7" w14:textId="5966A277" w:rsidR="004564C9" w:rsidRPr="004D0DC2" w:rsidRDefault="004564C9" w:rsidP="54EA1D9A">
      <w:pPr>
        <w:pStyle w:val="Heading2"/>
        <w:spacing w:before="480"/>
      </w:pPr>
      <w:bookmarkStart w:id="22" w:name="_Toc210913302"/>
      <w:r>
        <w:lastRenderedPageBreak/>
        <w:t>1</w:t>
      </w:r>
      <w:r w:rsidR="00C426A0">
        <w:t>0</w:t>
      </w:r>
      <w:r>
        <w:t>. SPECIAL TERMS AND CONDITIONS</w:t>
      </w:r>
      <w:bookmarkEnd w:id="22"/>
    </w:p>
    <w:p w14:paraId="3D8AD2D0" w14:textId="25310A64" w:rsidR="002150FE" w:rsidRPr="004D0DC2" w:rsidRDefault="00C16DB8" w:rsidP="00F67ED5">
      <w:pPr>
        <w:pStyle w:val="Heading3"/>
      </w:pPr>
      <w:r w:rsidRPr="004D0DC2">
        <w:t>1</w:t>
      </w:r>
      <w:r w:rsidR="00C426A0" w:rsidRPr="004D0DC2">
        <w:t>0</w:t>
      </w:r>
      <w:r w:rsidRPr="004D0DC2">
        <w:t>.</w:t>
      </w:r>
      <w:r w:rsidR="00503146" w:rsidRPr="004D0DC2">
        <w:t>1</w:t>
      </w:r>
      <w:r w:rsidRPr="004D0DC2">
        <w:t xml:space="preserve"> Information</w:t>
      </w:r>
      <w:r w:rsidR="002150FE" w:rsidRPr="004D0DC2">
        <w:t xml:space="preserve"> Technology Requirements </w:t>
      </w:r>
      <w:r w:rsidR="00C770BD" w:rsidRPr="004D0DC2">
        <w:t>(4/10)</w:t>
      </w:r>
    </w:p>
    <w:p w14:paraId="3D8AD2D1" w14:textId="04CEB854" w:rsidR="00C770BD" w:rsidRPr="004D0DC2" w:rsidRDefault="00C770BD" w:rsidP="00152C31">
      <w:pPr>
        <w:spacing w:after="240"/>
      </w:pPr>
      <w:r w:rsidRPr="004D0DC2">
        <w:t xml:space="preserve">For contracts that require the Contractor to develop, modify or maintain any type of Web product (which includes but is not limited to a </w:t>
      </w:r>
      <w:r w:rsidR="00A0171A" w:rsidRPr="004D0DC2">
        <w:t>web page, w</w:t>
      </w:r>
      <w:r w:rsidRPr="004D0DC2">
        <w:t xml:space="preserve">eb document, </w:t>
      </w:r>
      <w:r w:rsidR="00A0171A" w:rsidRPr="004D0DC2">
        <w:t>w</w:t>
      </w:r>
      <w:r w:rsidRPr="004D0DC2">
        <w:t xml:space="preserve">ebsite, </w:t>
      </w:r>
      <w:r w:rsidR="00A0171A" w:rsidRPr="004D0DC2">
        <w:t>w</w:t>
      </w:r>
      <w:r w:rsidRPr="004D0DC2">
        <w:t xml:space="preserve">eb application, or other </w:t>
      </w:r>
      <w:r w:rsidR="00A0171A" w:rsidRPr="004D0DC2">
        <w:t>w</w:t>
      </w:r>
      <w:r w:rsidRPr="004D0DC2">
        <w:t>eb service</w:t>
      </w:r>
      <w:r w:rsidR="00A0171A" w:rsidRPr="004D0DC2">
        <w:t>), or contracts that include a w</w:t>
      </w:r>
      <w:r w:rsidRPr="004D0DC2">
        <w:t>eb product as a deliverable or result, Contractor hereby agrees to adhere to the following California Department of Education (CDE) standards:</w:t>
      </w:r>
    </w:p>
    <w:p w14:paraId="3D8AD2D2" w14:textId="3865BB92" w:rsidR="00C770BD" w:rsidRPr="004D0DC2" w:rsidRDefault="00A0171A" w:rsidP="00743AE7">
      <w:pPr>
        <w:pStyle w:val="ListParagraph"/>
        <w:numPr>
          <w:ilvl w:val="0"/>
          <w:numId w:val="8"/>
        </w:numPr>
        <w:spacing w:before="240" w:after="240"/>
        <w:ind w:left="360"/>
        <w:contextualSpacing w:val="0"/>
      </w:pPr>
      <w:r w:rsidRPr="004D0DC2">
        <w:t>All w</w:t>
      </w:r>
      <w:r w:rsidR="00C770BD" w:rsidRPr="004D0DC2">
        <w:t>ebsite and application pages/documents that can be seen by users must be reviewed and approved as required by the CDE’s DEAM 3900 process. Contractor agrees to work through the CDE Contract Monitor for this agreement to ensure the DE</w:t>
      </w:r>
      <w:r w:rsidR="00AA27F1" w:rsidRPr="004D0DC2">
        <w:t>AM 3900 process is implemented.</w:t>
      </w:r>
    </w:p>
    <w:p w14:paraId="3D8AD2D3" w14:textId="74F5A2BE" w:rsidR="00C770BD" w:rsidRPr="004D0DC2" w:rsidRDefault="005F6B60" w:rsidP="54EA1D9A">
      <w:pPr>
        <w:pStyle w:val="ListParagraph"/>
        <w:numPr>
          <w:ilvl w:val="0"/>
          <w:numId w:val="8"/>
        </w:numPr>
        <w:tabs>
          <w:tab w:val="left" w:pos="1980"/>
        </w:tabs>
        <w:spacing w:before="240" w:after="240"/>
        <w:ind w:left="360"/>
      </w:pPr>
      <w:r>
        <w:t>W</w:t>
      </w:r>
      <w:r w:rsidR="00C770BD">
        <w:t xml:space="preserve">ebsites and </w:t>
      </w:r>
      <w:r w:rsidR="00A0171A">
        <w:t>w</w:t>
      </w:r>
      <w:r w:rsidR="00C770BD">
        <w:t>eb applications must adhere to the appropriate</w:t>
      </w:r>
      <w:r w:rsidR="007B4B86">
        <w:t xml:space="preserve"> CDE </w:t>
      </w:r>
      <w:r w:rsidR="00A0171A">
        <w:t>w</w:t>
      </w:r>
      <w:r w:rsidR="007B4B86">
        <w:t xml:space="preserve">eb </w:t>
      </w:r>
      <w:r w:rsidR="00A0171A">
        <w:t>s</w:t>
      </w:r>
      <w:r w:rsidR="007B4B86">
        <w:t>tandards, found</w:t>
      </w:r>
      <w:r w:rsidR="345F0964">
        <w:t xml:space="preserve"> on the CDE Web Standards web page</w:t>
      </w:r>
      <w:r w:rsidR="007B4B86">
        <w:t xml:space="preserve"> at</w:t>
      </w:r>
      <w:r w:rsidR="00C770BD">
        <w:t xml:space="preserve"> </w:t>
      </w:r>
      <w:hyperlink r:id="rId45" w:tooltip="CDE Web Standards">
        <w:r w:rsidR="007B4B86" w:rsidRPr="54EA1D9A">
          <w:rPr>
            <w:rStyle w:val="Hyperlink"/>
            <w:rFonts w:cs="Arial"/>
          </w:rPr>
          <w:t>https://www.cde.ca.gov/re/di/ws/webstandards.asp</w:t>
        </w:r>
      </w:hyperlink>
      <w:r w:rsidR="00AA27F1">
        <w:t>.</w:t>
      </w:r>
    </w:p>
    <w:p w14:paraId="3D8AD2D4" w14:textId="09821748" w:rsidR="00C770BD" w:rsidRPr="004D0DC2" w:rsidRDefault="00C770BD" w:rsidP="00743AE7">
      <w:pPr>
        <w:pStyle w:val="ListParagraph"/>
        <w:numPr>
          <w:ilvl w:val="0"/>
          <w:numId w:val="8"/>
        </w:numPr>
        <w:spacing w:before="240" w:after="240"/>
        <w:ind w:left="360"/>
        <w:contextualSpacing w:val="0"/>
      </w:pPr>
      <w:r w:rsidRPr="004D0DC2">
        <w:t xml:space="preserve">Contractor must provide the application and/or </w:t>
      </w:r>
      <w:r w:rsidR="00A0171A" w:rsidRPr="004D0DC2">
        <w:t>website</w:t>
      </w:r>
      <w:r w:rsidRPr="004D0DC2">
        <w:t xml:space="preserve"> source code, collected data, and project documentation in a form to be specified by the CDE accordi</w:t>
      </w:r>
      <w:r w:rsidR="0042374C" w:rsidRPr="004D0DC2">
        <w:t>ng to the following time frame:</w:t>
      </w:r>
    </w:p>
    <w:p w14:paraId="3D8AD2D5" w14:textId="47020DA3" w:rsidR="00C770BD" w:rsidRPr="004D0DC2" w:rsidRDefault="00C770BD" w:rsidP="00743AE7">
      <w:pPr>
        <w:pStyle w:val="ListParagraph"/>
        <w:numPr>
          <w:ilvl w:val="1"/>
          <w:numId w:val="8"/>
        </w:numPr>
        <w:spacing w:before="240" w:after="240"/>
        <w:ind w:left="720"/>
        <w:contextualSpacing w:val="0"/>
      </w:pPr>
      <w:r w:rsidRPr="004D0DC2">
        <w:t>For new sites/applications: Within 30 days of implementation. For multi-year agreements, material must also be provided annually on the contract date annivers</w:t>
      </w:r>
      <w:r w:rsidR="0042374C" w:rsidRPr="004D0DC2">
        <w:t>ary during the contract period.</w:t>
      </w:r>
    </w:p>
    <w:p w14:paraId="3D8AD2D6" w14:textId="3C1374E8" w:rsidR="00C770BD" w:rsidRPr="004D0DC2" w:rsidRDefault="00C770BD" w:rsidP="00743AE7">
      <w:pPr>
        <w:pStyle w:val="ListParagraph"/>
        <w:numPr>
          <w:ilvl w:val="1"/>
          <w:numId w:val="8"/>
        </w:numPr>
        <w:spacing w:before="240" w:after="240"/>
        <w:ind w:left="720"/>
        <w:contextualSpacing w:val="0"/>
      </w:pPr>
      <w:r w:rsidRPr="004D0DC2">
        <w:t>For existing sites/applications: Within 90 days of the contract renewal or amendment execution. For multi-year agreements, material must also be provided annually on the contract date annivers</w:t>
      </w:r>
      <w:r w:rsidR="0042374C" w:rsidRPr="004D0DC2">
        <w:t>ary during the contract period.</w:t>
      </w:r>
    </w:p>
    <w:p w14:paraId="3D8AD2D7" w14:textId="44FF8891" w:rsidR="00C770BD" w:rsidRPr="004D0DC2" w:rsidRDefault="00C770BD" w:rsidP="00743AE7">
      <w:pPr>
        <w:pStyle w:val="ListParagraph"/>
        <w:numPr>
          <w:ilvl w:val="0"/>
          <w:numId w:val="8"/>
        </w:numPr>
        <w:spacing w:before="240" w:after="240"/>
        <w:ind w:left="360"/>
        <w:contextualSpacing w:val="0"/>
      </w:pPr>
      <w:r w:rsidRPr="004D0DC2">
        <w:t xml:space="preserve">Contractor shall monitor the </w:t>
      </w:r>
      <w:r w:rsidR="00A0171A" w:rsidRPr="004D0DC2">
        <w:t>web</w:t>
      </w:r>
      <w:r w:rsidRPr="004D0DC2">
        <w:t>site/application on a monthly basis (or more frequently if necessary) to identify an</w:t>
      </w:r>
      <w:r w:rsidR="0042374C" w:rsidRPr="004D0DC2">
        <w:t>d correct the following issues:</w:t>
      </w:r>
    </w:p>
    <w:p w14:paraId="3D8AD2D8" w14:textId="184EC3B4" w:rsidR="00C770BD" w:rsidRPr="004D0DC2" w:rsidRDefault="0042374C" w:rsidP="000954EF">
      <w:pPr>
        <w:pStyle w:val="ListParagraph"/>
        <w:numPr>
          <w:ilvl w:val="1"/>
          <w:numId w:val="8"/>
        </w:numPr>
        <w:ind w:left="720"/>
        <w:contextualSpacing w:val="0"/>
      </w:pPr>
      <w:r>
        <w:t>Broken links</w:t>
      </w:r>
    </w:p>
    <w:p w14:paraId="3D8AD2D9" w14:textId="1835078F" w:rsidR="00C770BD" w:rsidRPr="004D0DC2" w:rsidRDefault="0042374C" w:rsidP="000954EF">
      <w:pPr>
        <w:pStyle w:val="ListParagraph"/>
        <w:numPr>
          <w:ilvl w:val="1"/>
          <w:numId w:val="8"/>
        </w:numPr>
        <w:ind w:left="720"/>
        <w:contextualSpacing w:val="0"/>
      </w:pPr>
      <w:r w:rsidRPr="004D0DC2">
        <w:t>Dated content</w:t>
      </w:r>
    </w:p>
    <w:p w14:paraId="3D8AD2DA" w14:textId="6BC8BA24" w:rsidR="00C770BD" w:rsidRPr="004D0DC2" w:rsidRDefault="0042374C" w:rsidP="000954EF">
      <w:pPr>
        <w:pStyle w:val="ListParagraph"/>
        <w:numPr>
          <w:ilvl w:val="1"/>
          <w:numId w:val="8"/>
        </w:numPr>
        <w:ind w:left="720"/>
        <w:contextualSpacing w:val="0"/>
      </w:pPr>
      <w:r w:rsidRPr="004D0DC2">
        <w:t>Usability issues</w:t>
      </w:r>
    </w:p>
    <w:p w14:paraId="3D8AD2DB" w14:textId="76CE55E5" w:rsidR="00C770BD" w:rsidRPr="004D0DC2" w:rsidRDefault="00C770BD" w:rsidP="000954EF">
      <w:pPr>
        <w:pStyle w:val="ListParagraph"/>
        <w:numPr>
          <w:ilvl w:val="1"/>
          <w:numId w:val="8"/>
        </w:numPr>
        <w:spacing w:after="240"/>
        <w:ind w:left="720"/>
        <w:contextualSpacing w:val="0"/>
      </w:pPr>
      <w:r w:rsidRPr="004D0DC2">
        <w:t>Circumstances where the contra</w:t>
      </w:r>
      <w:r w:rsidR="0042374C" w:rsidRPr="004D0DC2">
        <w:t>ctual agreement is not followed</w:t>
      </w:r>
    </w:p>
    <w:p w14:paraId="3D8AD2DC" w14:textId="6CDE4D82" w:rsidR="00F62E0E" w:rsidRPr="004D0DC2" w:rsidRDefault="00C770BD" w:rsidP="00743AE7">
      <w:pPr>
        <w:pStyle w:val="ListParagraph"/>
        <w:numPr>
          <w:ilvl w:val="0"/>
          <w:numId w:val="8"/>
        </w:numPr>
        <w:spacing w:before="240" w:after="240"/>
        <w:ind w:left="360"/>
        <w:contextualSpacing w:val="0"/>
      </w:pPr>
      <w:r w:rsidRPr="004D0DC2">
        <w:t>Contractor agrees to not violate any proprietary rights or laws (i.e., privacy, confidentiality, copyright, commercial use, hate speech, pornography, software/media downloading, etc.). Also, the Contractor agrees to make all reasonable efforts to protect the copyright of CDE content and to obtain permission from the CDE Press to use any potentially copyrighted CDE material, or before allowing any other entity to p</w:t>
      </w:r>
      <w:r w:rsidR="0042374C" w:rsidRPr="004D0DC2">
        <w:t>ublish copyrighted CDE content.</w:t>
      </w:r>
    </w:p>
    <w:p w14:paraId="3D8AD2DD" w14:textId="5402FF23" w:rsidR="00C770BD" w:rsidRPr="004D0DC2" w:rsidRDefault="00A0171A" w:rsidP="00743AE7">
      <w:pPr>
        <w:pStyle w:val="ListParagraph"/>
        <w:numPr>
          <w:ilvl w:val="0"/>
          <w:numId w:val="8"/>
        </w:numPr>
        <w:spacing w:before="240" w:after="240"/>
        <w:ind w:left="360"/>
        <w:contextualSpacing w:val="0"/>
      </w:pPr>
      <w:r w:rsidRPr="004D0DC2">
        <w:t>Contractor agrees that any w</w:t>
      </w:r>
      <w:r w:rsidR="00C770BD" w:rsidRPr="004D0DC2">
        <w:t xml:space="preserve">eb applications, </w:t>
      </w:r>
      <w:r w:rsidRPr="004D0DC2">
        <w:t>web</w:t>
      </w:r>
      <w:r w:rsidR="00C770BD" w:rsidRPr="004D0DC2">
        <w:t xml:space="preserve">sites, </w:t>
      </w:r>
      <w:r w:rsidR="00713087" w:rsidRPr="004D0DC2">
        <w:t>data,</w:t>
      </w:r>
      <w:r w:rsidR="00C770BD" w:rsidRPr="004D0DC2">
        <w:t xml:space="preserve"> or other files which may be needed to restore the system in the event of disaster are backed up redundantly, and that a detailed, tested plan</w:t>
      </w:r>
      <w:r w:rsidR="0042374C" w:rsidRPr="004D0DC2">
        <w:t xml:space="preserve"> exists for such a restoration.</w:t>
      </w:r>
    </w:p>
    <w:p w14:paraId="3D8AD2DE" w14:textId="7F26C2A6" w:rsidR="00C770BD" w:rsidRPr="004D0DC2" w:rsidRDefault="00C770BD" w:rsidP="00743AE7">
      <w:pPr>
        <w:pStyle w:val="ListParagraph"/>
        <w:numPr>
          <w:ilvl w:val="0"/>
          <w:numId w:val="8"/>
        </w:numPr>
        <w:spacing w:before="240" w:after="240"/>
        <w:ind w:left="360"/>
        <w:contextualSpacing w:val="0"/>
      </w:pPr>
      <w:r w:rsidRPr="004D0DC2">
        <w:t xml:space="preserve">Contractor shall provide the CDE with </w:t>
      </w:r>
      <w:r w:rsidR="00A0171A" w:rsidRPr="004D0DC2">
        <w:t>web</w:t>
      </w:r>
      <w:r w:rsidRPr="004D0DC2">
        <w:t>site usage reports on a monthly basis durin</w:t>
      </w:r>
      <w:r w:rsidR="00A0171A" w:rsidRPr="004D0DC2">
        <w:t>g the contract period for each w</w:t>
      </w:r>
      <w:r w:rsidRPr="004D0DC2">
        <w:t xml:space="preserve">eb page, document or file which can be viewed by users. </w:t>
      </w:r>
      <w:r w:rsidRPr="004D0DC2">
        <w:lastRenderedPageBreak/>
        <w:t>Additionally, Contractor shall provide an easy mechanism for users to provide feedback on the site/appli</w:t>
      </w:r>
      <w:r w:rsidR="0042374C" w:rsidRPr="004D0DC2">
        <w:t>cation, such as a feedback form.</w:t>
      </w:r>
    </w:p>
    <w:p w14:paraId="619D4E9A" w14:textId="77777777" w:rsidR="00777014" w:rsidRPr="004D0DC2" w:rsidRDefault="00777014" w:rsidP="00777014">
      <w:pPr>
        <w:pStyle w:val="Heading3"/>
      </w:pPr>
      <w:r w:rsidRPr="004D0DC2">
        <w:t>10.5 Termination for Targets of Economic Sanctions; Executive Order N-6-22 – Russia Sanctions</w:t>
      </w:r>
    </w:p>
    <w:p w14:paraId="6ADD5D08" w14:textId="77777777" w:rsidR="00777014" w:rsidRPr="004D0DC2" w:rsidRDefault="00777014" w:rsidP="00777014">
      <w:pPr>
        <w:rPr>
          <w:sz w:val="28"/>
        </w:rPr>
      </w:pPr>
      <w:r w:rsidRPr="004D0DC2">
        <w:rPr>
          <w:szCs w:val="23"/>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Contractor represents that it is not a target of Economic Sanctions. Should the State determine Contractor is a target of Economic Sanctions or is conducting prohibited transactions with sanctioned individuals or entities, that shall be grounds for rejection of the Contractor’s bid/proposal any time prior to contract execution, or, if determined after contract execution, shall be grounds for termination by the State.</w:t>
      </w:r>
    </w:p>
    <w:p w14:paraId="3D8AD2DF" w14:textId="56A008D2" w:rsidR="002150FE" w:rsidRPr="004D0DC2" w:rsidRDefault="002150FE" w:rsidP="00F67ED5">
      <w:pPr>
        <w:pStyle w:val="Heading3"/>
      </w:pPr>
      <w:r w:rsidRPr="004D0DC2">
        <w:t>1</w:t>
      </w:r>
      <w:r w:rsidR="00C426A0" w:rsidRPr="004D0DC2">
        <w:t>0</w:t>
      </w:r>
      <w:r w:rsidRPr="004D0DC2">
        <w:t>.</w:t>
      </w:r>
      <w:r w:rsidR="00503146" w:rsidRPr="004D0DC2">
        <w:t>2</w:t>
      </w:r>
      <w:r w:rsidR="000E76B3" w:rsidRPr="004D0DC2">
        <w:t xml:space="preserve"> </w:t>
      </w:r>
      <w:r w:rsidRPr="004D0DC2">
        <w:t xml:space="preserve">Data Management Requirements </w:t>
      </w:r>
      <w:r w:rsidR="00AB26E3" w:rsidRPr="004D0DC2">
        <w:t>(</w:t>
      </w:r>
      <w:r w:rsidR="007A7AE3" w:rsidRPr="004D0DC2">
        <w:t>7/22</w:t>
      </w:r>
      <w:r w:rsidR="00AB26E3" w:rsidRPr="004D0DC2">
        <w:t>)</w:t>
      </w:r>
    </w:p>
    <w:p w14:paraId="6C699DA9" w14:textId="086039AA" w:rsidR="007813DC" w:rsidRPr="004D0DC2" w:rsidRDefault="007813DC" w:rsidP="00A37665">
      <w:pPr>
        <w:pStyle w:val="ListParagraph"/>
        <w:numPr>
          <w:ilvl w:val="1"/>
          <w:numId w:val="44"/>
        </w:numPr>
        <w:ind w:left="360"/>
        <w:rPr>
          <w:rFonts w:cs="Arial"/>
          <w:u w:val="single"/>
        </w:rPr>
      </w:pPr>
      <w:r w:rsidRPr="00A95AFA">
        <w:rPr>
          <w:rFonts w:cs="Arial"/>
        </w:rPr>
        <w:t>Definitions:</w:t>
      </w:r>
      <w:r w:rsidRPr="004D0DC2">
        <w:rPr>
          <w:rFonts w:cs="Arial"/>
        </w:rPr>
        <w:t xml:space="preserve"> The following definitions apply for the purposes of this Agreement:</w:t>
      </w:r>
    </w:p>
    <w:p w14:paraId="2AD256AE" w14:textId="77777777" w:rsidR="007813DC" w:rsidRPr="004D0DC2" w:rsidRDefault="007813DC" w:rsidP="007813DC">
      <w:pPr>
        <w:pStyle w:val="Default"/>
        <w:ind w:left="360" w:hanging="360"/>
        <w:rPr>
          <w:rFonts w:ascii="Arial" w:hAnsi="Arial" w:cs="Arial"/>
        </w:rPr>
      </w:pPr>
    </w:p>
    <w:p w14:paraId="4EC888A4" w14:textId="3E7E4F04" w:rsidR="007813DC" w:rsidRPr="004D0DC2" w:rsidRDefault="007813DC" w:rsidP="007813DC">
      <w:pPr>
        <w:spacing w:after="240"/>
        <w:ind w:left="360"/>
        <w:rPr>
          <w:rFonts w:cs="Arial"/>
          <w:lang w:val="en"/>
        </w:rPr>
      </w:pPr>
      <w:r w:rsidRPr="004D0DC2">
        <w:rPr>
          <w:rFonts w:cs="Arial"/>
        </w:rPr>
        <w:t xml:space="preserve">“Aggregated Data” means </w:t>
      </w:r>
      <w:r w:rsidRPr="004D0DC2">
        <w:rPr>
          <w:rFonts w:cs="Arial"/>
          <w:lang w:val="en"/>
        </w:rPr>
        <w:t>any data expressed in a summary form, for purposes such as statistical analysis to de-identify the Data and prevent unlawful or unauthorized disclosure of PII and/or Student or Individual-Level Data.</w:t>
      </w:r>
    </w:p>
    <w:p w14:paraId="65510075" w14:textId="0EAA1417" w:rsidR="007813DC" w:rsidRPr="004D0DC2" w:rsidRDefault="007813DC" w:rsidP="007813DC">
      <w:pPr>
        <w:spacing w:after="240"/>
        <w:ind w:left="360"/>
        <w:rPr>
          <w:rFonts w:cs="Arial"/>
        </w:rPr>
      </w:pPr>
      <w:r w:rsidRPr="004D0DC2">
        <w:rPr>
          <w:rFonts w:cs="Arial"/>
        </w:rPr>
        <w:t>“Confidential Information” means Proprietary Information, Personally Identifiable Information (PII), and Student or Individual-Level Data, as each are defined below.</w:t>
      </w:r>
    </w:p>
    <w:p w14:paraId="51B016FC" w14:textId="2DD15C58" w:rsidR="007813DC" w:rsidRPr="004D0DC2" w:rsidRDefault="007813DC" w:rsidP="007813DC">
      <w:pPr>
        <w:spacing w:after="240"/>
        <w:ind w:left="360"/>
        <w:rPr>
          <w:rFonts w:cs="Arial"/>
        </w:rPr>
      </w:pPr>
      <w:r w:rsidRPr="004D0DC2">
        <w:rPr>
          <w:rFonts w:cs="Arial"/>
        </w:rPr>
        <w:t>“Data” means any digital or hard copy records or information, whether Confidential or publicly available.</w:t>
      </w:r>
    </w:p>
    <w:p w14:paraId="6B6EA02E" w14:textId="0CFA342A" w:rsidR="007813DC" w:rsidRPr="004D0DC2" w:rsidRDefault="007813DC" w:rsidP="007813DC">
      <w:pPr>
        <w:spacing w:after="240"/>
        <w:ind w:left="360"/>
        <w:rPr>
          <w:rFonts w:cs="Arial"/>
        </w:rPr>
      </w:pPr>
      <w:r w:rsidRPr="004D0DC2">
        <w:rPr>
          <w:rFonts w:cs="Arial"/>
        </w:rPr>
        <w:t>“Personally Identifiable Information (PII)” means information about an individual, and includes but is not limited to information that, alone or in combination, is linked or linkable to a specific student or individual in a manner that would allow a reasonable person in the community, who does not have personal knowledge of the relevant circumstances, to identify the student or individual with reasonable certainty. PII includes, but is not limited to name, address, personal identifier (e.g., Social Security number, student number, biometric record), other indirect identifiers (e.g., date or place of birth, mother’s</w:t>
      </w:r>
      <w:r w:rsidR="00713087">
        <w:rPr>
          <w:rFonts w:cs="Arial"/>
        </w:rPr>
        <w:t xml:space="preserve"> maiden name)</w:t>
      </w:r>
      <w:r w:rsidRPr="004D0DC2">
        <w:rPr>
          <w:rFonts w:cs="Arial"/>
        </w:rPr>
        <w:t>. “Biometric record” includes a fingerprint, retina or iris pattern, voiceprint, DNA sequence, handwriting sample, facial geometry or other biological or behavioral characteristic used to identify an individual.</w:t>
      </w:r>
    </w:p>
    <w:p w14:paraId="47DC1DC2" w14:textId="41925EB7" w:rsidR="007813DC" w:rsidRPr="004D0DC2" w:rsidRDefault="007813DC" w:rsidP="007813DC">
      <w:pPr>
        <w:spacing w:after="240"/>
        <w:ind w:left="360"/>
        <w:rPr>
          <w:rFonts w:cs="Arial"/>
          <w:u w:val="single"/>
        </w:rPr>
      </w:pPr>
      <w:r w:rsidRPr="004D0DC2">
        <w:rPr>
          <w:rFonts w:cs="Arial"/>
          <w:szCs w:val="16"/>
        </w:rPr>
        <w:t xml:space="preserve">“Preferred Variation” means the </w:t>
      </w:r>
      <w:r w:rsidR="00713087">
        <w:rPr>
          <w:rFonts w:cs="Arial"/>
          <w:szCs w:val="16"/>
        </w:rPr>
        <w:t>particular variation</w:t>
      </w:r>
      <w:r w:rsidRPr="004D0DC2">
        <w:rPr>
          <w:rFonts w:cs="Arial"/>
          <w:szCs w:val="16"/>
        </w:rPr>
        <w:t xml:space="preserve"> of the name, definition, and format for a Data element or code set that is used by CDE to maintain order and consistency in its Data. To date, hundreds of common Data elements have been specified by the CDE (contact the Data Management Division for the most recent published list of Preferred Variations).</w:t>
      </w:r>
    </w:p>
    <w:p w14:paraId="40C8AAEB" w14:textId="2D7B50BE" w:rsidR="007813DC" w:rsidRPr="004D0DC2" w:rsidRDefault="007813DC" w:rsidP="007813DC">
      <w:pPr>
        <w:spacing w:after="240"/>
        <w:ind w:left="360"/>
        <w:rPr>
          <w:rFonts w:cs="Arial"/>
        </w:rPr>
      </w:pPr>
      <w:r w:rsidRPr="004D0DC2">
        <w:rPr>
          <w:rFonts w:cs="Arial"/>
        </w:rPr>
        <w:t xml:space="preserve">“Proprietary Information” means information contained in materials marked “confidential,” trade secrets, know-how, data and other information, in tangible and intangible form possessed by a party and having value by virtue of not being generally known or due to being </w:t>
      </w:r>
      <w:r w:rsidRPr="004D0DC2">
        <w:rPr>
          <w:rFonts w:cs="Arial"/>
        </w:rPr>
        <w:lastRenderedPageBreak/>
        <w:t>obtained at significant effort or expense. Each party acknowledges that information supplied by a third-party to the other party under provisions of confidentiality shall be considered, for the purposes of this Agreement, to be the other party’s Proprietary Information.</w:t>
      </w:r>
    </w:p>
    <w:p w14:paraId="78C15D89" w14:textId="6F596441" w:rsidR="007813DC" w:rsidRPr="004D0DC2" w:rsidRDefault="007813DC" w:rsidP="007813DC">
      <w:pPr>
        <w:spacing w:after="240"/>
        <w:ind w:left="360"/>
        <w:rPr>
          <w:rFonts w:cs="Arial"/>
        </w:rPr>
      </w:pPr>
      <w:r w:rsidRPr="004D0DC2">
        <w:rPr>
          <w:rFonts w:cs="Arial"/>
        </w:rPr>
        <w:t>“Student or Individual-Level Data” means demographic</w:t>
      </w:r>
      <w:r w:rsidRPr="004D0DC2">
        <w:rPr>
          <w:rFonts w:cs="Arial"/>
          <w:color w:val="030A13"/>
          <w:lang w:val="en"/>
        </w:rPr>
        <w:t>, performance, and other information that pertains to a single student or individual but cannot be attributed to a specific student or individual.</w:t>
      </w:r>
      <w:r w:rsidRPr="004D0DC2">
        <w:rPr>
          <w:rFonts w:cs="Arial"/>
        </w:rPr>
        <w:t xml:space="preserve"> Such Data is subject to compliance with applicable laws such as, but not limited to, the Family Educational Rights and Privacy Act (FERPA), the Pupil Protection Rights Amendment (PPRA), the Children’s Online Privacy Protection Act (COPPA), and the California Education Code (EC).</w:t>
      </w:r>
    </w:p>
    <w:p w14:paraId="4B3D24D7" w14:textId="7AE7B511" w:rsidR="00ED501F" w:rsidRPr="004D0DC2" w:rsidRDefault="007813DC" w:rsidP="00A37665">
      <w:pPr>
        <w:pStyle w:val="ListParagraph"/>
        <w:numPr>
          <w:ilvl w:val="1"/>
          <w:numId w:val="44"/>
        </w:numPr>
        <w:spacing w:after="240"/>
        <w:ind w:left="360"/>
        <w:contextualSpacing w:val="0"/>
        <w:rPr>
          <w:rFonts w:cs="Arial"/>
        </w:rPr>
      </w:pPr>
      <w:r w:rsidRPr="00A95AFA">
        <w:rPr>
          <w:rFonts w:cs="Arial"/>
        </w:rPr>
        <w:t>Confidentiality Conflicts and Public Record Act Requests</w:t>
      </w:r>
      <w:r w:rsidRPr="004D0DC2">
        <w:rPr>
          <w:rFonts w:cs="Arial"/>
        </w:rPr>
        <w:t xml:space="preserve">: Notwithstanding any obligation of confidentiality or non-disclosure between the parties or any “confidential,” “proprietary,” or “privileged,” marking on documents provided by Contractor, any writing, regardless of form, containing information related to the conduct of the public’s business prepared, owned, used or retained by the CDE is subject to disclosure pursuant to the Public Records Act (PRA) (Govt. Code </w:t>
      </w:r>
      <w:r w:rsidR="00EF3B33" w:rsidRPr="004D0DC2">
        <w:rPr>
          <w:rFonts w:cs="Arial"/>
        </w:rPr>
        <w:t>7920.000</w:t>
      </w:r>
      <w:r w:rsidRPr="004D0DC2">
        <w:rPr>
          <w:rFonts w:cs="Arial"/>
        </w:rPr>
        <w:t xml:space="preserve"> </w:t>
      </w:r>
      <w:r w:rsidRPr="004D0DC2">
        <w:rPr>
          <w:rFonts w:cs="Arial"/>
          <w:i/>
        </w:rPr>
        <w:t>et. seq</w:t>
      </w:r>
      <w:r w:rsidRPr="004D0DC2">
        <w:rPr>
          <w:rFonts w:cs="Arial"/>
        </w:rPr>
        <w:t>.) and other applicable law, unless an exemption from disclosure applies. Contractor shall immediately notify CDE of any request for documents and/or Data that it receives and shall further work cooperatively with CDE to allow CDE to respond correctly to Public Records Act requests in a timely manner.</w:t>
      </w:r>
    </w:p>
    <w:p w14:paraId="7C2226B2" w14:textId="7A219B74" w:rsidR="00ED501F" w:rsidRPr="004D0DC2" w:rsidRDefault="007813DC" w:rsidP="00A37665">
      <w:pPr>
        <w:pStyle w:val="ListParagraph"/>
        <w:numPr>
          <w:ilvl w:val="1"/>
          <w:numId w:val="44"/>
        </w:numPr>
        <w:spacing w:after="240"/>
        <w:ind w:left="360"/>
        <w:contextualSpacing w:val="0"/>
        <w:rPr>
          <w:rFonts w:cs="Arial"/>
        </w:rPr>
      </w:pPr>
      <w:r w:rsidRPr="00A95AFA">
        <w:rPr>
          <w:rFonts w:cs="Arial"/>
          <w:bCs/>
        </w:rPr>
        <w:t>Compliance with Statutory and Contractual Requirements</w:t>
      </w:r>
      <w:r w:rsidRPr="004D0DC2">
        <w:rPr>
          <w:rFonts w:cs="Arial"/>
          <w:bCs/>
        </w:rPr>
        <w:t xml:space="preserve">: </w:t>
      </w:r>
      <w:r w:rsidRPr="004D0DC2">
        <w:rPr>
          <w:rFonts w:cs="Arial"/>
        </w:rPr>
        <w:t>In the course of performing this Agreement, each of the Parties may gather or process or otherwise be intentionally or inadvertently exposed to Confidential Information belonging to the other party. Each party agrees to use, disclose, manage and protect the other Party’s Confidential Information in accordance with any terms of the Agreement, the contractual provisions set forth below, as well as all applicable federal and California law. Applicable laws may include, but are not limited to: the Family Educational Rights and Privacy Act of 1984 (FERPA; 20 U.S.C. Sec. 1232g), the Protection of Pupil Rights Amendment (PPRA), the Information Practices Act (California Civil Code Sec. 1798, et seq.),</w:t>
      </w:r>
      <w:r w:rsidRPr="004D0DC2">
        <w:rPr>
          <w:rFonts w:cs="Arial"/>
          <w:color w:val="000000"/>
          <w:sz w:val="15"/>
          <w:szCs w:val="15"/>
        </w:rPr>
        <w:t xml:space="preserve"> </w:t>
      </w:r>
      <w:r w:rsidRPr="004D0DC2">
        <w:rPr>
          <w:rFonts w:cs="Arial"/>
        </w:rPr>
        <w:t xml:space="preserve">the Children’s Online Privacy Protection Act (COPPA), the California </w:t>
      </w:r>
      <w:r w:rsidRPr="004D0DC2">
        <w:rPr>
          <w:rFonts w:cs="Arial"/>
          <w:i/>
        </w:rPr>
        <w:t>Education Code</w:t>
      </w:r>
      <w:r w:rsidRPr="004D0DC2">
        <w:rPr>
          <w:rFonts w:cs="Arial"/>
        </w:rPr>
        <w:t xml:space="preserve"> sections 49069 to 49079, and California State Administrative Manual (SAM) sections </w:t>
      </w:r>
      <w:r w:rsidR="007E5A30" w:rsidRPr="004D0DC2">
        <w:rPr>
          <w:rFonts w:cs="Arial"/>
        </w:rPr>
        <w:t>5300-5365.3</w:t>
      </w:r>
      <w:r w:rsidRPr="004D0DC2">
        <w:rPr>
          <w:rFonts w:cs="Arial"/>
        </w:rPr>
        <w:t>. These obligations continue even after expiration of this Agreement.</w:t>
      </w:r>
    </w:p>
    <w:p w14:paraId="595AFCE2" w14:textId="77777777" w:rsidR="00ED501F" w:rsidRPr="004D0DC2" w:rsidRDefault="007813DC" w:rsidP="00A37665">
      <w:pPr>
        <w:pStyle w:val="ListParagraph"/>
        <w:numPr>
          <w:ilvl w:val="1"/>
          <w:numId w:val="44"/>
        </w:numPr>
        <w:spacing w:after="240"/>
        <w:ind w:left="360"/>
        <w:contextualSpacing w:val="0"/>
        <w:rPr>
          <w:rFonts w:cs="Arial"/>
        </w:rPr>
      </w:pPr>
      <w:r w:rsidRPr="00A95AFA">
        <w:rPr>
          <w:rFonts w:cs="Arial"/>
        </w:rPr>
        <w:t>Contractor as CDE Authorized Representative</w:t>
      </w:r>
      <w:r w:rsidRPr="004D0DC2">
        <w:rPr>
          <w:rFonts w:cs="Arial"/>
        </w:rPr>
        <w:t>: Contractor agrees to serve as the CDE’s authorized representative in the event the Agreement provides for the Contractor to be exposed to, or provided with, personally identifiable information pertaining to students or individuals in order to carry out an audit or evaluation of Federal- or state-supported education programs, or for the enforcement of or compliance with Federal legal requirements related to these programs.</w:t>
      </w:r>
    </w:p>
    <w:p w14:paraId="44D31DFE" w14:textId="77777777" w:rsidR="00ED501F" w:rsidRPr="004D0DC2" w:rsidRDefault="007813DC" w:rsidP="00A37665">
      <w:pPr>
        <w:pStyle w:val="ListParagraph"/>
        <w:numPr>
          <w:ilvl w:val="1"/>
          <w:numId w:val="44"/>
        </w:numPr>
        <w:spacing w:after="240"/>
        <w:ind w:left="360"/>
        <w:contextualSpacing w:val="0"/>
        <w:rPr>
          <w:rFonts w:cs="Arial"/>
          <w:color w:val="000000"/>
        </w:rPr>
      </w:pPr>
      <w:r w:rsidRPr="00A95AFA">
        <w:rPr>
          <w:rFonts w:cs="Arial"/>
        </w:rPr>
        <w:t>Subcontractors:</w:t>
      </w:r>
      <w:r w:rsidRPr="004D0DC2">
        <w:rPr>
          <w:rFonts w:cs="Arial"/>
        </w:rPr>
        <w:t xml:space="preserve"> CDE must, at its discretion, approve in writing each of Contractor’s proposed subcontractors who may be exposed to CDE Confidential Information.  Contractor shall request any such approval in advance and provide CDE with: i) a copy of the proposed subcontract; ii) background information about the subcontractor and its executives; and iii) any other information reasonably requested by the CDE.</w:t>
      </w:r>
    </w:p>
    <w:p w14:paraId="22065AAD" w14:textId="1B902367" w:rsidR="007813DC" w:rsidRPr="004D0DC2" w:rsidRDefault="007813DC" w:rsidP="00A37665">
      <w:pPr>
        <w:pStyle w:val="ListParagraph"/>
        <w:numPr>
          <w:ilvl w:val="1"/>
          <w:numId w:val="44"/>
        </w:numPr>
        <w:spacing w:after="240"/>
        <w:ind w:left="360"/>
        <w:contextualSpacing w:val="0"/>
        <w:rPr>
          <w:rFonts w:cs="Arial"/>
          <w:color w:val="000000"/>
        </w:rPr>
      </w:pPr>
      <w:r w:rsidRPr="00A95AFA">
        <w:rPr>
          <w:rFonts w:cs="Arial"/>
        </w:rPr>
        <w:t>Use and Disclosure/ Data Security:</w:t>
      </w:r>
      <w:r w:rsidRPr="004D0DC2">
        <w:rPr>
          <w:rFonts w:cs="Arial"/>
        </w:rPr>
        <w:t xml:space="preserve"> Each Party shall use the</w:t>
      </w:r>
      <w:r w:rsidR="00713087">
        <w:rPr>
          <w:rFonts w:cs="Arial"/>
        </w:rPr>
        <w:t xml:space="preserve"> disclosing Party’s</w:t>
      </w:r>
      <w:r w:rsidRPr="004D0DC2">
        <w:rPr>
          <w:rFonts w:cs="Arial"/>
        </w:rPr>
        <w:t xml:space="preserve"> Confidential Information only as necessary to perform its obligations hereunder. Each Party shall disclose </w:t>
      </w:r>
      <w:r w:rsidRPr="004D0DC2">
        <w:rPr>
          <w:rFonts w:cs="Arial"/>
        </w:rPr>
        <w:lastRenderedPageBreak/>
        <w:t xml:space="preserve">Confidential Information only to its own employees and employees of its approved contractors or subcontractors who: i) have a need to know such information for the purposes of performing obligations hereunder, ii) </w:t>
      </w:r>
      <w:r w:rsidRPr="004D0DC2">
        <w:rPr>
          <w:rFonts w:cs="Arial"/>
          <w:color w:val="000000"/>
        </w:rPr>
        <w:t>are under legal obligations to maintain the confidentiality and restrict the use of Confidential Information which obligations name the disclosing party as a third-party beneficiary or otherwise give the disclosing party the legal right to enforce such legal obligations, and iii) have completed training approved by the CDE on data security and privacy within the past 12 months.</w:t>
      </w:r>
    </w:p>
    <w:p w14:paraId="4360F407" w14:textId="77777777" w:rsidR="007813DC" w:rsidRPr="004D0DC2" w:rsidRDefault="007813DC" w:rsidP="007813DC">
      <w:pPr>
        <w:spacing w:after="240"/>
        <w:ind w:left="360"/>
        <w:rPr>
          <w:rFonts w:cs="Arial"/>
        </w:rPr>
      </w:pPr>
      <w:r w:rsidRPr="004D0DC2">
        <w:rPr>
          <w:rFonts w:cs="Arial"/>
          <w:color w:val="000000"/>
        </w:rPr>
        <w:t>Contractor and its subcontractors shall exercise all reasonable security measures, including any additional security precautions that have been approved by the CDE’s Educational Data Management Division (EDMD) and Technology Services Division (TSD) to prevent unauthorized use, access, modification or disclosure/re-disclosure of any Confidential Information. Such security precautions shall include, at a minimum (</w:t>
      </w:r>
      <w:r w:rsidRPr="004D0DC2">
        <w:rPr>
          <w:rFonts w:cs="Arial"/>
        </w:rPr>
        <w:t>and without limiting the generality of the use and disclosure restrictions set forth above):</w:t>
      </w:r>
    </w:p>
    <w:p w14:paraId="07D75489" w14:textId="7EB7814A" w:rsidR="007813DC" w:rsidRPr="004D0DC2" w:rsidRDefault="007813DC" w:rsidP="00A37665">
      <w:pPr>
        <w:pStyle w:val="ListParagraph"/>
        <w:widowControl w:val="0"/>
        <w:numPr>
          <w:ilvl w:val="0"/>
          <w:numId w:val="42"/>
        </w:numPr>
        <w:tabs>
          <w:tab w:val="num" w:pos="1620"/>
          <w:tab w:val="num" w:pos="2160"/>
        </w:tabs>
        <w:spacing w:after="240"/>
        <w:rPr>
          <w:rFonts w:cs="Arial"/>
        </w:rPr>
      </w:pPr>
      <w:r w:rsidRPr="54EA1D9A">
        <w:rPr>
          <w:rFonts w:cs="Arial"/>
        </w:rPr>
        <w:t>Securely encrypting and otherwise complying with best practices in order to securely protect Confidential Information that is transmitted electronically or stored on portable electronic devices;</w:t>
      </w:r>
    </w:p>
    <w:p w14:paraId="6AD2B55A" w14:textId="77777777" w:rsidR="007813DC" w:rsidRPr="004D0DC2" w:rsidRDefault="007813DC" w:rsidP="00A37665">
      <w:pPr>
        <w:pStyle w:val="ListParagraph"/>
        <w:widowControl w:val="0"/>
        <w:numPr>
          <w:ilvl w:val="0"/>
          <w:numId w:val="42"/>
        </w:numPr>
        <w:tabs>
          <w:tab w:val="num" w:pos="2160"/>
        </w:tabs>
        <w:spacing w:after="240"/>
        <w:rPr>
          <w:rFonts w:cs="Arial"/>
        </w:rPr>
      </w:pPr>
      <w:r w:rsidRPr="54EA1D9A">
        <w:rPr>
          <w:rFonts w:cs="Arial"/>
        </w:rPr>
        <w:t>Securely locking any repository for Confidential Information;</w:t>
      </w:r>
    </w:p>
    <w:p w14:paraId="308436A1" w14:textId="4937AA10" w:rsidR="007813DC" w:rsidRPr="004D0DC2" w:rsidRDefault="007813DC" w:rsidP="00A37665">
      <w:pPr>
        <w:pStyle w:val="ListParagraph"/>
        <w:widowControl w:val="0"/>
        <w:numPr>
          <w:ilvl w:val="0"/>
          <w:numId w:val="42"/>
        </w:numPr>
        <w:tabs>
          <w:tab w:val="num" w:pos="2160"/>
        </w:tabs>
        <w:spacing w:after="240"/>
        <w:rPr>
          <w:rFonts w:cs="Arial"/>
        </w:rPr>
      </w:pPr>
      <w:r w:rsidRPr="54EA1D9A">
        <w:rPr>
          <w:rFonts w:cs="Arial"/>
        </w:rPr>
        <w:t>Provide appropriate levels of security (confidentiality, integrity, and availability) for the data based on data categorization and classification and FIPS Publication 199 protection levels;</w:t>
      </w:r>
    </w:p>
    <w:p w14:paraId="5B309EEB" w14:textId="77777777" w:rsidR="007813DC" w:rsidRPr="004D0DC2" w:rsidRDefault="007813DC" w:rsidP="00A37665">
      <w:pPr>
        <w:pStyle w:val="ListParagraph"/>
        <w:widowControl w:val="0"/>
        <w:numPr>
          <w:ilvl w:val="0"/>
          <w:numId w:val="42"/>
        </w:numPr>
        <w:tabs>
          <w:tab w:val="num" w:pos="2160"/>
        </w:tabs>
        <w:spacing w:after="240"/>
        <w:rPr>
          <w:rFonts w:cs="Arial"/>
          <w:i/>
          <w:iCs/>
          <w:color w:val="000000"/>
        </w:rPr>
      </w:pPr>
      <w:r w:rsidRPr="54EA1D9A">
        <w:rPr>
          <w:rFonts w:cs="Arial"/>
          <w:color w:val="000000" w:themeColor="text1"/>
        </w:rPr>
        <w:t>Properly maintaining security of any and all computer systems (hardware and software applications) used to store or process Confidential Information, including installing all security patches, upgrades, and anti-virus updates;</w:t>
      </w:r>
    </w:p>
    <w:p w14:paraId="734D94CE" w14:textId="77777777" w:rsidR="007813DC" w:rsidRPr="004D0DC2" w:rsidRDefault="007813DC" w:rsidP="00A37665">
      <w:pPr>
        <w:pStyle w:val="ListParagraph"/>
        <w:widowControl w:val="0"/>
        <w:numPr>
          <w:ilvl w:val="0"/>
          <w:numId w:val="42"/>
        </w:numPr>
        <w:tabs>
          <w:tab w:val="num" w:pos="2160"/>
        </w:tabs>
        <w:spacing w:after="240"/>
        <w:rPr>
          <w:rFonts w:cs="Arial"/>
          <w:i/>
          <w:iCs/>
          <w:color w:val="000000"/>
        </w:rPr>
      </w:pPr>
      <w:r w:rsidRPr="54EA1D9A">
        <w:rPr>
          <w:rFonts w:cs="Arial"/>
          <w:color w:val="000000" w:themeColor="text1"/>
        </w:rPr>
        <w:t>Designating a Security Officer to oversee such Party’s Data security program, carry out privacy programs and to act as the principal point of contact responsible for communicating on security matters with the CDE;</w:t>
      </w:r>
    </w:p>
    <w:p w14:paraId="02529136" w14:textId="77777777" w:rsidR="007813DC" w:rsidRDefault="007813DC" w:rsidP="00A37665">
      <w:pPr>
        <w:pStyle w:val="ListParagraph"/>
        <w:widowControl w:val="0"/>
        <w:numPr>
          <w:ilvl w:val="0"/>
          <w:numId w:val="42"/>
        </w:numPr>
        <w:tabs>
          <w:tab w:val="num" w:pos="2160"/>
        </w:tabs>
        <w:rPr>
          <w:rFonts w:cs="Arial"/>
        </w:rPr>
      </w:pPr>
      <w:r w:rsidRPr="54EA1D9A">
        <w:rPr>
          <w:rFonts w:cs="Arial"/>
        </w:rPr>
        <w:t>Immediately reporting (within two hours of discovery) to the CDE any breach of security, as that phrase is used in California Civil Code section 1798.29(d), to:</w:t>
      </w:r>
    </w:p>
    <w:p w14:paraId="6C1A7123" w14:textId="77777777" w:rsidR="00AE11BC" w:rsidRPr="004D0DC2" w:rsidRDefault="00AE11BC" w:rsidP="00AE11BC">
      <w:pPr>
        <w:pStyle w:val="ListParagraph"/>
        <w:widowControl w:val="0"/>
        <w:tabs>
          <w:tab w:val="num" w:pos="2160"/>
        </w:tabs>
        <w:ind w:left="1080"/>
        <w:rPr>
          <w:rFonts w:cs="Arial"/>
        </w:rPr>
      </w:pPr>
    </w:p>
    <w:p w14:paraId="34996729" w14:textId="3939451F" w:rsidR="007813DC" w:rsidRPr="004D0DC2" w:rsidRDefault="007813DC" w:rsidP="54EA1D9A">
      <w:pPr>
        <w:widowControl w:val="0"/>
        <w:spacing w:before="5"/>
        <w:ind w:left="1440" w:hanging="360"/>
        <w:rPr>
          <w:rFonts w:cs="Arial"/>
          <w:color w:val="000000"/>
        </w:rPr>
      </w:pPr>
      <w:r w:rsidRPr="54EA1D9A">
        <w:rPr>
          <w:rFonts w:cs="Arial"/>
          <w:b/>
          <w:bCs/>
          <w:color w:val="000000" w:themeColor="text1"/>
        </w:rPr>
        <w:t>Information Security Officer</w:t>
      </w:r>
    </w:p>
    <w:p w14:paraId="7C175F9E" w14:textId="77777777" w:rsidR="007813DC" w:rsidRPr="004D0DC2" w:rsidRDefault="007813DC" w:rsidP="54EA1D9A">
      <w:pPr>
        <w:widowControl w:val="0"/>
        <w:spacing w:before="5"/>
        <w:ind w:left="1440" w:hanging="360"/>
        <w:rPr>
          <w:rFonts w:cs="Arial"/>
          <w:color w:val="000000"/>
        </w:rPr>
      </w:pPr>
      <w:r w:rsidRPr="54EA1D9A">
        <w:rPr>
          <w:rFonts w:cs="Arial"/>
          <w:color w:val="000000" w:themeColor="text1"/>
        </w:rPr>
        <w:t>California Department of Education</w:t>
      </w:r>
    </w:p>
    <w:p w14:paraId="27BC2B6F" w14:textId="77777777" w:rsidR="007813DC" w:rsidRPr="004D0DC2" w:rsidRDefault="007813DC" w:rsidP="54EA1D9A">
      <w:pPr>
        <w:widowControl w:val="0"/>
        <w:spacing w:before="5"/>
        <w:ind w:left="1440" w:hanging="360"/>
        <w:rPr>
          <w:rFonts w:cs="Arial"/>
          <w:color w:val="000000"/>
        </w:rPr>
      </w:pPr>
      <w:r w:rsidRPr="54EA1D9A">
        <w:rPr>
          <w:rFonts w:cs="Arial"/>
          <w:color w:val="000000" w:themeColor="text1"/>
        </w:rPr>
        <w:t>Technology Services Division – Information Security Office</w:t>
      </w:r>
    </w:p>
    <w:p w14:paraId="78DAFEB0" w14:textId="77777777" w:rsidR="007813DC" w:rsidRPr="004D0DC2" w:rsidRDefault="007813DC" w:rsidP="54EA1D9A">
      <w:pPr>
        <w:widowControl w:val="0"/>
        <w:spacing w:before="5"/>
        <w:ind w:left="1440" w:hanging="360"/>
        <w:rPr>
          <w:rFonts w:cs="Arial"/>
          <w:color w:val="000000"/>
        </w:rPr>
      </w:pPr>
      <w:r w:rsidRPr="54EA1D9A">
        <w:rPr>
          <w:rFonts w:cs="Arial"/>
          <w:color w:val="000000" w:themeColor="text1"/>
        </w:rPr>
        <w:t>1430 N Street, Suite 3712</w:t>
      </w:r>
      <w:smartTag w:uri="urn:schemas-microsoft-com:office:smarttags" w:element="Street"/>
      <w:smartTag w:uri="urn:schemas-microsoft-com:office:smarttags" w:element="address"/>
    </w:p>
    <w:p w14:paraId="04699D14" w14:textId="77777777" w:rsidR="007813DC" w:rsidRPr="004D0DC2" w:rsidRDefault="007813DC" w:rsidP="54EA1D9A">
      <w:pPr>
        <w:widowControl w:val="0"/>
        <w:spacing w:before="5"/>
        <w:ind w:left="1440" w:hanging="360"/>
        <w:rPr>
          <w:rFonts w:cs="Arial"/>
          <w:color w:val="000000"/>
        </w:rPr>
      </w:pPr>
      <w:smartTag w:uri="urn:schemas-microsoft-com:office:smarttags" w:element="place">
        <w:smartTag w:uri="urn:schemas-microsoft-com:office:smarttags" w:element="City">
          <w:r w:rsidRPr="54EA1D9A">
            <w:rPr>
              <w:rFonts w:cs="Arial"/>
              <w:color w:val="000000" w:themeColor="text1"/>
            </w:rPr>
            <w:t>Sacramento, CA 95814-5901</w:t>
          </w:r>
        </w:smartTag>
      </w:smartTag>
      <w:smartTag w:uri="urn:schemas-microsoft-com:office:smarttags" w:element="State"/>
      <w:smartTag w:uri="urn:schemas-microsoft-com:office:smarttags" w:element="PostalCode"/>
    </w:p>
    <w:p w14:paraId="62BBB48C" w14:textId="75B0733A" w:rsidR="007813DC" w:rsidRPr="004D0DC2" w:rsidRDefault="007813DC" w:rsidP="54EA1D9A">
      <w:pPr>
        <w:widowControl w:val="0"/>
        <w:spacing w:before="5"/>
        <w:ind w:left="1440" w:hanging="360"/>
        <w:rPr>
          <w:rFonts w:cs="Arial"/>
          <w:color w:val="000000"/>
        </w:rPr>
      </w:pPr>
      <w:r w:rsidRPr="54EA1D9A">
        <w:rPr>
          <w:rFonts w:cs="Arial"/>
          <w:color w:val="000000" w:themeColor="text1"/>
        </w:rPr>
        <w:t>Office phone: 916-32</w:t>
      </w:r>
      <w:r w:rsidR="00EF3B33" w:rsidRPr="54EA1D9A">
        <w:rPr>
          <w:rFonts w:cs="Arial"/>
          <w:color w:val="000000" w:themeColor="text1"/>
        </w:rPr>
        <w:t>7-3852</w:t>
      </w:r>
    </w:p>
    <w:p w14:paraId="560A461C" w14:textId="64C577C5" w:rsidR="007813DC" w:rsidRPr="004D0DC2" w:rsidRDefault="007813DC" w:rsidP="54EA1D9A">
      <w:pPr>
        <w:widowControl w:val="0"/>
        <w:spacing w:before="5" w:after="240"/>
        <w:ind w:left="1440" w:hanging="360"/>
        <w:rPr>
          <w:rFonts w:cs="Arial"/>
          <w:color w:val="000000"/>
        </w:rPr>
      </w:pPr>
      <w:r w:rsidRPr="54EA1D9A">
        <w:rPr>
          <w:rFonts w:cs="Arial"/>
          <w:color w:val="000000" w:themeColor="text1"/>
        </w:rPr>
        <w:t xml:space="preserve">Email: </w:t>
      </w:r>
      <w:hyperlink r:id="rId46">
        <w:r w:rsidRPr="54EA1D9A">
          <w:rPr>
            <w:rStyle w:val="Hyperlink"/>
            <w:rFonts w:cs="Arial"/>
          </w:rPr>
          <w:t>ISO@cde.ca.gov</w:t>
        </w:r>
      </w:hyperlink>
    </w:p>
    <w:p w14:paraId="6330858C" w14:textId="50E4D5CF" w:rsidR="007813DC" w:rsidRPr="004D0DC2" w:rsidRDefault="007813DC" w:rsidP="00A37665">
      <w:pPr>
        <w:pStyle w:val="ListParagraph"/>
        <w:widowControl w:val="0"/>
        <w:numPr>
          <w:ilvl w:val="0"/>
          <w:numId w:val="43"/>
        </w:numPr>
        <w:tabs>
          <w:tab w:val="num" w:pos="2160"/>
        </w:tabs>
        <w:spacing w:after="240"/>
        <w:ind w:left="1080"/>
        <w:rPr>
          <w:rFonts w:cs="Arial"/>
        </w:rPr>
      </w:pPr>
      <w:r w:rsidRPr="54EA1D9A">
        <w:rPr>
          <w:rFonts w:cs="Arial"/>
          <w:color w:val="000000" w:themeColor="text1"/>
        </w:rPr>
        <w:t>Promptly taking corrective action to cure any breach of security, including immediately notifying the other parties and conducting an investigation of each breach and providing the other party with a written report of the investigation within thirty (30) working days of the discovery of the breach. All parties may be participants in the security breach investigation, or parties may conduct their own independent investigations, in which all parties shall fully cooperate. The party who experienced the security incident as a result of their failure to perform or negligent acts of its personnel, which resulted in a data breach shall be responsible for all costs incurred, including the costs to provide notice to the individuals whose data has been lost or breached.</w:t>
      </w:r>
    </w:p>
    <w:p w14:paraId="578042D8" w14:textId="75EB55FD" w:rsidR="007813DC" w:rsidRPr="004D0DC2" w:rsidRDefault="007813DC" w:rsidP="00A37665">
      <w:pPr>
        <w:pStyle w:val="ListParagraph"/>
        <w:widowControl w:val="0"/>
        <w:numPr>
          <w:ilvl w:val="0"/>
          <w:numId w:val="43"/>
        </w:numPr>
        <w:tabs>
          <w:tab w:val="num" w:pos="2160"/>
        </w:tabs>
        <w:spacing w:after="240"/>
        <w:ind w:left="1080"/>
        <w:rPr>
          <w:rFonts w:cs="Arial"/>
        </w:rPr>
      </w:pPr>
      <w:r w:rsidRPr="54EA1D9A">
        <w:rPr>
          <w:rFonts w:cs="Arial"/>
        </w:rPr>
        <w:lastRenderedPageBreak/>
        <w:t>Implementing any other reasonable security protocols for PII or Student or Individual-Level Data that may be prescribed by the CDE’s Technology Service Division in a written notice to Contractor.</w:t>
      </w:r>
    </w:p>
    <w:p w14:paraId="6E914364" w14:textId="77777777" w:rsidR="007813DC" w:rsidRPr="004D0DC2" w:rsidRDefault="007813DC" w:rsidP="00A37665">
      <w:pPr>
        <w:pStyle w:val="ListParagraph"/>
        <w:widowControl w:val="0"/>
        <w:numPr>
          <w:ilvl w:val="0"/>
          <w:numId w:val="43"/>
        </w:numPr>
        <w:tabs>
          <w:tab w:val="num" w:pos="2160"/>
        </w:tabs>
        <w:spacing w:after="240"/>
        <w:ind w:left="1080"/>
        <w:rPr>
          <w:rFonts w:cs="Arial"/>
        </w:rPr>
      </w:pPr>
      <w:r w:rsidRPr="54EA1D9A">
        <w:rPr>
          <w:rFonts w:cs="Arial"/>
        </w:rPr>
        <w:t>Making and distributing copies of Data only as necessary to perform the obligations hereunder in full compliance with the other terms hereof, keeping accurate records of any such copies (including any back-ups), and legally and physically controlling such copies in a manner that prevents unauthorized duplication, use or disclosure.</w:t>
      </w:r>
    </w:p>
    <w:p w14:paraId="22A0AF20" w14:textId="72ADB4A3" w:rsidR="007813DC" w:rsidRPr="004D0DC2" w:rsidRDefault="007813DC" w:rsidP="007813DC">
      <w:pPr>
        <w:spacing w:after="240"/>
        <w:ind w:left="360"/>
        <w:rPr>
          <w:rFonts w:cs="Arial"/>
          <w:color w:val="000000"/>
        </w:rPr>
      </w:pPr>
      <w:r w:rsidRPr="004D0DC2">
        <w:rPr>
          <w:rFonts w:cs="Arial"/>
          <w:color w:val="000000"/>
        </w:rPr>
        <w:t>The Contractor shall retain copies of the compliance agreements, which include signed confidentiality statements, training certifications, and other documentation necessary to demonstrate compliance with the above provisions and provide copies to the CDE upon CDE’s written request.</w:t>
      </w:r>
    </w:p>
    <w:p w14:paraId="6D48CE1B" w14:textId="0992E30F" w:rsidR="007813DC" w:rsidRPr="004D0DC2" w:rsidRDefault="007813DC" w:rsidP="00A37665">
      <w:pPr>
        <w:pStyle w:val="ListParagraph"/>
        <w:numPr>
          <w:ilvl w:val="1"/>
          <w:numId w:val="44"/>
        </w:numPr>
        <w:spacing w:after="240"/>
        <w:ind w:left="360"/>
        <w:rPr>
          <w:rFonts w:cs="Arial"/>
        </w:rPr>
      </w:pPr>
      <w:r w:rsidRPr="00A95AFA">
        <w:rPr>
          <w:rFonts w:cs="Arial"/>
        </w:rPr>
        <w:t>Data Formatting and Delivery:</w:t>
      </w:r>
      <w:r w:rsidRPr="004D0DC2">
        <w:rPr>
          <w:rFonts w:cs="Arial"/>
        </w:rPr>
        <w:t xml:space="preserve"> All PII or Student or Individual-Level Data to be delivered from one party to the other hereunder shall i) be in a format, ii) use nomenclature, iii) be delivered in compliance with security protocols, and iv) meet any other specifications, all as set forth in Data delivery and file layout specifications approved by the CDE Education Data Management Division. As early as reasonably possible in the Data delivery process, but in no event less than 12 weeks prior to Data delivery to CDE or 6 weeks prior to Data delivery to Contractor, Contractor shall submit for CDE approval its proposed Data delivery and file layout specifications, including the proposed secure file transfer protocols, formatting, nomenclature and other specifications to be used.  The scope of work may specify additional requirements for the proposed data delivery and file layout specifications, such as additional time between the proposed Data Delivery and file layout specification and Data delivery for those cases where a data reporting structure needs to be built, where special provisions are needed for working with other CDE Contractors, etc.</w:t>
      </w:r>
    </w:p>
    <w:p w14:paraId="33A8F3EA" w14:textId="1A5E449F" w:rsidR="007813DC" w:rsidRPr="004D0DC2" w:rsidRDefault="007813DC" w:rsidP="00A37665">
      <w:pPr>
        <w:widowControl w:val="0"/>
        <w:numPr>
          <w:ilvl w:val="0"/>
          <w:numId w:val="41"/>
        </w:numPr>
        <w:spacing w:after="240"/>
        <w:ind w:left="720"/>
        <w:rPr>
          <w:rFonts w:cs="Arial"/>
        </w:rPr>
      </w:pPr>
      <w:r w:rsidRPr="00A95AFA">
        <w:rPr>
          <w:rFonts w:cs="Arial"/>
        </w:rPr>
        <w:t xml:space="preserve">Data Delivered to CDE: </w:t>
      </w:r>
      <w:r w:rsidRPr="004D0DC2">
        <w:rPr>
          <w:rFonts w:cs="Arial"/>
        </w:rPr>
        <w:t xml:space="preserve">Unless otherwise agreed by the CDE in writing, Contractor shall use CDE’s Preferred Variation of each data element in the proposed file layout specification for data delivery to the CDE. In the event that CDE has not yet formulated a Preferred Variation for </w:t>
      </w:r>
      <w:r w:rsidRPr="004D0DC2">
        <w:rPr>
          <w:rFonts w:cs="Arial"/>
          <w:szCs w:val="16"/>
        </w:rPr>
        <w:t xml:space="preserve">a particular Data element, Contractor shall consult with CDE to reach a resolution. </w:t>
      </w:r>
      <w:r w:rsidRPr="004D0DC2">
        <w:rPr>
          <w:rFonts w:cs="Arial"/>
        </w:rPr>
        <w:t>Contractor shall cooperate with CDE and shall make each change to the proposed Data delivery and file layout specification that is requested by the CDE in order to gain written approval. Thereafter, all PII and Student or Individual-Level Data shall be delivered in a file conforming to the approved Data delivery and file layout specifications, as they may be revised from time-to-time.</w:t>
      </w:r>
      <w:r w:rsidRPr="004D0DC2">
        <w:rPr>
          <w:rFonts w:cs="Arial"/>
          <w:szCs w:val="16"/>
        </w:rPr>
        <w:t xml:space="preserve"> </w:t>
      </w:r>
      <w:r w:rsidRPr="004D0DC2">
        <w:rPr>
          <w:rFonts w:cs="Arial"/>
        </w:rPr>
        <w:t xml:space="preserve">In addition, all PII and Student-Level Data deliveries to the CDE shall be accompanied by a complete </w:t>
      </w:r>
      <w:r w:rsidRPr="004D0DC2">
        <w:rPr>
          <w:rFonts w:cs="Arial"/>
          <w:szCs w:val="16"/>
        </w:rPr>
        <w:t>Data Dictionary that describes and defines in detail the meaning of all symbols, abbreviations, codes and other descriptors contained in the file provided by Contractor to the CDE.</w:t>
      </w:r>
    </w:p>
    <w:p w14:paraId="312B3A53" w14:textId="51A93EF2" w:rsidR="007813DC" w:rsidRPr="004D0DC2" w:rsidRDefault="007813DC" w:rsidP="00A37665">
      <w:pPr>
        <w:pStyle w:val="ListParagraph"/>
        <w:numPr>
          <w:ilvl w:val="0"/>
          <w:numId w:val="41"/>
        </w:numPr>
        <w:spacing w:after="240"/>
        <w:ind w:left="720"/>
        <w:rPr>
          <w:rFonts w:cs="Arial"/>
        </w:rPr>
      </w:pPr>
      <w:r w:rsidRPr="00A95AFA">
        <w:rPr>
          <w:rFonts w:cs="Arial"/>
        </w:rPr>
        <w:t>Data Delivered to Contractor:</w:t>
      </w:r>
      <w:r w:rsidRPr="004D0DC2">
        <w:rPr>
          <w:rFonts w:cs="Arial"/>
        </w:rPr>
        <w:t xml:space="preserve"> If a scope of work specifies the delivery of PII or Student or Individual-Level Data from CDE to Contractor, Contractor shall specify its requested Data delivery and file layout specifications by submitting a proposal to the CDE for approval.  The CDE will review the requested specifications for inconsistencies, data definitions that do not align with CDE’s preferred variations and for data elements that do not yet exist or need extraction, redaction, compilation, aggregation or the like. The CDE will indicate to Contractor whether the request can be met and CDE’s estimated costs to meet such requirements.  The parties shall revise the Data delivery and file layout specifications until mutually acceptable.  Unless otherwise agreed in writing in advance, CDE may charge </w:t>
      </w:r>
      <w:r w:rsidRPr="004D0DC2">
        <w:rPr>
          <w:rFonts w:cs="Arial"/>
        </w:rPr>
        <w:lastRenderedPageBreak/>
        <w:t>Contractor for its reasonable costs, including staff time, computing time and materials, in order to meet Contractor’s requested specifications.</w:t>
      </w:r>
    </w:p>
    <w:p w14:paraId="0E4F74F3" w14:textId="1B2C2A52" w:rsidR="007813DC" w:rsidRPr="004D0DC2" w:rsidRDefault="007813DC" w:rsidP="007813DC">
      <w:pPr>
        <w:spacing w:after="240"/>
        <w:ind w:left="360"/>
        <w:rPr>
          <w:rFonts w:cs="Arial"/>
        </w:rPr>
      </w:pPr>
      <w:r w:rsidRPr="004D0DC2">
        <w:rPr>
          <w:rFonts w:cs="Arial"/>
          <w:szCs w:val="16"/>
        </w:rPr>
        <w:t>Contractor acknowledges that CDE maintains and uses Data collected from a variety of diverse sources and that compliance with these Data formatting and delivery provisions is necessary to maintain Data order and for the consistent and effective use of Data by the CDE, regardless of the source of the Data and regardless of how the Data has</w:t>
      </w:r>
      <w:r w:rsidRPr="004D0DC2">
        <w:rPr>
          <w:rFonts w:cs="Arial"/>
        </w:rPr>
        <w:t xml:space="preserve"> been collected, developed, matched, aggregated, linked, connected or otherwise generated for use by CDE.</w:t>
      </w:r>
    </w:p>
    <w:p w14:paraId="5CB101E6" w14:textId="6ECC9B65" w:rsidR="007813DC" w:rsidRPr="004D0DC2" w:rsidRDefault="007813DC" w:rsidP="00A37665">
      <w:pPr>
        <w:pStyle w:val="ListParagraph"/>
        <w:numPr>
          <w:ilvl w:val="1"/>
          <w:numId w:val="44"/>
        </w:numPr>
        <w:spacing w:after="240"/>
        <w:ind w:left="360"/>
        <w:contextualSpacing w:val="0"/>
        <w:rPr>
          <w:rFonts w:cs="Arial"/>
        </w:rPr>
      </w:pPr>
      <w:r w:rsidRPr="00A95AFA">
        <w:rPr>
          <w:rFonts w:cs="Arial"/>
        </w:rPr>
        <w:t>De-Identification of PII:</w:t>
      </w:r>
      <w:r w:rsidRPr="004D0DC2">
        <w:rPr>
          <w:rFonts w:cs="Arial"/>
        </w:rPr>
        <w:t xml:space="preserve"> Contractor may not attempt to create, use or disclose Aggregated Data or other forms of de-identified Data, except as CDE may expressly authorized in writing in the Scope of Work. Any Aggregated Data that is authorized by CDE shall be created in compliance with best practices to minimize</w:t>
      </w:r>
      <w:r w:rsidR="00243D04" w:rsidRPr="004D0DC2">
        <w:rPr>
          <w:rFonts w:cs="Arial"/>
        </w:rPr>
        <w:t xml:space="preserve"> </w:t>
      </w:r>
      <w:r w:rsidRPr="004D0DC2">
        <w:rPr>
          <w:rFonts w:cs="Arial"/>
        </w:rPr>
        <w:t>disclosure risk (e.g., those outlined in the NCES SLDS Technical Brief “</w:t>
      </w:r>
      <w:r w:rsidRPr="00FC49E2">
        <w:rPr>
          <w:rFonts w:cs="Arial"/>
        </w:rPr>
        <w:t>Statistical Methods for Protecting Personally Identifiable Information in Aggregate Reporting</w:t>
      </w:r>
      <w:r w:rsidRPr="004D0DC2">
        <w:rPr>
          <w:rFonts w:cs="Arial"/>
        </w:rPr>
        <w:t xml:space="preserve">”) </w:t>
      </w:r>
      <w:r w:rsidR="00FC49E2">
        <w:rPr>
          <w:rFonts w:cs="Arial"/>
        </w:rPr>
        <w:t xml:space="preserve">at </w:t>
      </w:r>
      <w:hyperlink r:id="rId47" w:tooltip="Statistical Methods for Protecting Personally Identifiable Information in Aggregate Reporting" w:history="1">
        <w:r w:rsidR="00FC49E2" w:rsidRPr="000270D7">
          <w:rPr>
            <w:rStyle w:val="Hyperlink"/>
            <w:rFonts w:cs="Arial"/>
          </w:rPr>
          <w:t>http://nces.ed.gov/pubs2011/2011603.pdf</w:t>
        </w:r>
      </w:hyperlink>
      <w:r w:rsidR="00FC49E2">
        <w:rPr>
          <w:rFonts w:cs="Arial"/>
        </w:rPr>
        <w:t xml:space="preserve"> </w:t>
      </w:r>
      <w:r w:rsidRPr="004D0DC2">
        <w:rPr>
          <w:rFonts w:cs="Arial"/>
        </w:rPr>
        <w:t>and shall be aggregated using a methodology approved in writing in advance by the CDE.</w:t>
      </w:r>
    </w:p>
    <w:p w14:paraId="37538FFB" w14:textId="00B78499" w:rsidR="007813DC" w:rsidRPr="004D0DC2" w:rsidRDefault="007813DC" w:rsidP="00A37665">
      <w:pPr>
        <w:pStyle w:val="ListParagraph"/>
        <w:numPr>
          <w:ilvl w:val="1"/>
          <w:numId w:val="44"/>
        </w:numPr>
        <w:spacing w:after="240"/>
        <w:ind w:left="360"/>
        <w:contextualSpacing w:val="0"/>
        <w:rPr>
          <w:rFonts w:cs="Arial"/>
        </w:rPr>
      </w:pPr>
      <w:r w:rsidRPr="00A95AFA">
        <w:rPr>
          <w:rFonts w:cs="Arial"/>
          <w:szCs w:val="16"/>
        </w:rPr>
        <w:t>Data Destruction:</w:t>
      </w:r>
      <w:r w:rsidRPr="004D0DC2">
        <w:rPr>
          <w:rFonts w:cs="Arial"/>
          <w:szCs w:val="16"/>
        </w:rPr>
        <w:t xml:space="preserve"> Contractor shall return or destroy in accordance with the CDE’s instructions any and all CDE Data, including, without limitation, Data: i) provided by CDE hereunder, ii) developed by Contractor for CDE hereunder, or iii) otherwise owned by CDE. Such return or destruction shall occur i) immediately upon CDE’s</w:t>
      </w:r>
      <w:r w:rsidR="00ED501F" w:rsidRPr="004D0DC2">
        <w:rPr>
          <w:rFonts w:cs="Arial"/>
          <w:szCs w:val="16"/>
        </w:rPr>
        <w:t xml:space="preserve"> </w:t>
      </w:r>
      <w:r w:rsidRPr="004D0DC2">
        <w:rPr>
          <w:rFonts w:cs="Arial"/>
        </w:rPr>
        <w:t>request, ii) immediately upon termination of this agreement, or iii) prior to any merger, combination, acquisition, or other change in control of the Contractor, unless CDE, at its sole discretion, gives prior written consent to the change in control and the appropriate parties execute any additional documents CDE specifies in order to preserve or extend the obligations hereunder. Unless otherwise agreed to in writing by the CDE, such destruction shall include Data that is publicly available; however, nothing herein shall prevent the Contractor from thereafter obtaining such Data from publicly available sources. Contractor agrees to submit a letter to the CDE within thirty (30) calendar days of the destruction of the Data attesting to the destruction of all Data obtained from the CDE under this Agreement.</w:t>
      </w:r>
    </w:p>
    <w:p w14:paraId="4CA874F0" w14:textId="5B3AA2BF" w:rsidR="007813DC" w:rsidRPr="004D0DC2" w:rsidRDefault="007813DC" w:rsidP="00A37665">
      <w:pPr>
        <w:pStyle w:val="ListParagraph"/>
        <w:numPr>
          <w:ilvl w:val="1"/>
          <w:numId w:val="44"/>
        </w:numPr>
        <w:spacing w:after="240"/>
        <w:ind w:left="360"/>
        <w:contextualSpacing w:val="0"/>
        <w:rPr>
          <w:rFonts w:cs="Arial"/>
          <w:b/>
          <w:u w:val="single"/>
        </w:rPr>
      </w:pPr>
      <w:r w:rsidRPr="00A95AFA">
        <w:rPr>
          <w:rFonts w:cs="Arial"/>
          <w:bCs/>
        </w:rPr>
        <w:t>Data Ownership and Possession:</w:t>
      </w:r>
      <w:r w:rsidRPr="004D0DC2">
        <w:rPr>
          <w:rFonts w:cs="Arial"/>
        </w:rPr>
        <w:t xml:space="preserve"> Contractor acknowledges that any and all Data that are collected, developed and/or generated by Contractor at CDE’s expense are the sole and exclusive Proprietary Information of the CDE and may not be used or disclosed by Contractor except as expressly permitted by the CDE in writing. CDE acknowledges that software and Data previously developed by Contractor at Contractor’s sole expense, without contribution or reimbursement from CDE, is Contractor Proprietary Information.</w:t>
      </w:r>
    </w:p>
    <w:p w14:paraId="2319528E" w14:textId="2671DAA0" w:rsidR="0042374C" w:rsidRPr="004D0DC2" w:rsidRDefault="007813DC" w:rsidP="00A37665">
      <w:pPr>
        <w:pStyle w:val="ListParagraph"/>
        <w:numPr>
          <w:ilvl w:val="1"/>
          <w:numId w:val="44"/>
        </w:numPr>
        <w:spacing w:after="240"/>
        <w:ind w:left="360"/>
        <w:contextualSpacing w:val="0"/>
        <w:rPr>
          <w:rFonts w:cs="Arial"/>
          <w:u w:val="single"/>
        </w:rPr>
      </w:pPr>
      <w:r w:rsidRPr="00A95AFA">
        <w:rPr>
          <w:rFonts w:cs="Arial"/>
        </w:rPr>
        <w:t>Subsequent Data Disclosures:</w:t>
      </w:r>
      <w:r w:rsidRPr="004D0DC2">
        <w:rPr>
          <w:rFonts w:cs="Arial"/>
        </w:rPr>
        <w:t xml:space="preserve"> Notwithstanding any other provision of this Agreement, any future disclosure of PII or Student or Individual-Level Data by the CDE is subject to CDE’s internal approval processes and applicable law</w:t>
      </w:r>
      <w:r w:rsidR="00ED501F" w:rsidRPr="004D0DC2">
        <w:rPr>
          <w:rFonts w:cs="Arial"/>
        </w:rPr>
        <w:t>.</w:t>
      </w:r>
    </w:p>
    <w:p w14:paraId="2BD15651" w14:textId="30C33C7A" w:rsidR="008D60E8" w:rsidRPr="004D0DC2" w:rsidRDefault="008D60E8" w:rsidP="00F67ED5">
      <w:pPr>
        <w:pStyle w:val="Heading3"/>
      </w:pPr>
      <w:r w:rsidRPr="004D0DC2">
        <w:t>10.</w:t>
      </w:r>
      <w:r w:rsidR="00AA6376" w:rsidRPr="004D0DC2">
        <w:t>3</w:t>
      </w:r>
      <w:r w:rsidRPr="004D0DC2">
        <w:t xml:space="preserve"> Resolution of Disputes</w:t>
      </w:r>
    </w:p>
    <w:p w14:paraId="18E92F94" w14:textId="63151A5A" w:rsidR="008D60E8" w:rsidRPr="004D0DC2" w:rsidRDefault="008D60E8" w:rsidP="008D60E8">
      <w:pPr>
        <w:spacing w:before="240" w:after="240"/>
        <w:rPr>
          <w:rFonts w:cs="Arial"/>
        </w:rPr>
      </w:pPr>
      <w:r w:rsidRPr="004D0DC2">
        <w:rPr>
          <w:rFonts w:cs="Arial"/>
        </w:rPr>
        <w:t xml:space="preserve">If the </w:t>
      </w:r>
      <w:r w:rsidR="00EF3B33" w:rsidRPr="004D0DC2">
        <w:rPr>
          <w:rFonts w:cs="Arial"/>
        </w:rPr>
        <w:t>C</w:t>
      </w:r>
      <w:r w:rsidRPr="004D0DC2">
        <w:rPr>
          <w:rFonts w:cs="Arial"/>
        </w:rPr>
        <w:t xml:space="preserve">ontractor disputes any action by the CDE Contract Monitor arising under or out of the performance of this contract, the </w:t>
      </w:r>
      <w:r w:rsidR="00603E33" w:rsidRPr="004D0DC2">
        <w:rPr>
          <w:rFonts w:cs="Arial"/>
        </w:rPr>
        <w:t>C</w:t>
      </w:r>
      <w:r w:rsidRPr="004D0DC2">
        <w:rPr>
          <w:rFonts w:cs="Arial"/>
        </w:rPr>
        <w:t xml:space="preserve">ontractor shall notify the </w:t>
      </w:r>
      <w:r w:rsidR="00EF3B33" w:rsidRPr="004D0DC2">
        <w:rPr>
          <w:rFonts w:cs="Arial"/>
        </w:rPr>
        <w:t>CDE C</w:t>
      </w:r>
      <w:r w:rsidR="00603E33" w:rsidRPr="004D0DC2">
        <w:rPr>
          <w:rFonts w:cs="Arial"/>
        </w:rPr>
        <w:t>ontract</w:t>
      </w:r>
      <w:r w:rsidRPr="004D0DC2">
        <w:rPr>
          <w:rFonts w:cs="Arial"/>
        </w:rPr>
        <w:t xml:space="preserve"> </w:t>
      </w:r>
      <w:r w:rsidR="00EF3B33" w:rsidRPr="004D0DC2">
        <w:rPr>
          <w:rFonts w:cs="Arial"/>
        </w:rPr>
        <w:t>M</w:t>
      </w:r>
      <w:r w:rsidRPr="004D0DC2">
        <w:rPr>
          <w:rFonts w:cs="Arial"/>
        </w:rPr>
        <w:t xml:space="preserve">onitor of the dispute in writing and request a claims decision. The CDE Contract Monitor shall issue a decision within 30 days of the </w:t>
      </w:r>
      <w:r w:rsidR="00603E33" w:rsidRPr="004D0DC2">
        <w:rPr>
          <w:rFonts w:cs="Arial"/>
        </w:rPr>
        <w:t>C</w:t>
      </w:r>
      <w:r w:rsidRPr="004D0DC2">
        <w:rPr>
          <w:rFonts w:cs="Arial"/>
        </w:rPr>
        <w:t xml:space="preserve">ontractor's notice. If the </w:t>
      </w:r>
      <w:r w:rsidR="00EF3B33" w:rsidRPr="004D0DC2">
        <w:rPr>
          <w:rFonts w:cs="Arial"/>
        </w:rPr>
        <w:t>C</w:t>
      </w:r>
      <w:r w:rsidRPr="004D0DC2">
        <w:rPr>
          <w:rFonts w:cs="Arial"/>
        </w:rPr>
        <w:t xml:space="preserve">ontractor disagrees with the CDE Contract Monitor’s claims decision, the </w:t>
      </w:r>
      <w:r w:rsidR="00603E33" w:rsidRPr="004D0DC2">
        <w:rPr>
          <w:rFonts w:cs="Arial"/>
        </w:rPr>
        <w:t>C</w:t>
      </w:r>
      <w:r w:rsidRPr="004D0DC2">
        <w:rPr>
          <w:rFonts w:cs="Arial"/>
        </w:rPr>
        <w:t xml:space="preserve">ontractor shall submit a formal claim to the Superintendent of Public </w:t>
      </w:r>
      <w:r w:rsidRPr="004D0DC2">
        <w:rPr>
          <w:rFonts w:cs="Arial"/>
        </w:rPr>
        <w:lastRenderedPageBreak/>
        <w:t>Instruction or the Superintendent's designee. The decision of the Superintendent shall be final and conclusive on the claim unless the decision is</w:t>
      </w:r>
      <w:r w:rsidRPr="004D0DC2">
        <w:rPr>
          <w:rFonts w:cs="Arial"/>
          <w:strike/>
        </w:rPr>
        <w:t xml:space="preserve"> </w:t>
      </w:r>
      <w:r w:rsidRPr="004D0DC2">
        <w:rPr>
          <w:rFonts w:cs="Arial"/>
        </w:rPr>
        <w:t xml:space="preserve">arbitrary or capricious. The decision may encompass facts, interpretations of the contract, and determinations or applications of law. The decision shall be in writing following an opportunity for the </w:t>
      </w:r>
      <w:r w:rsidR="00603E33" w:rsidRPr="004D0DC2">
        <w:rPr>
          <w:rFonts w:cs="Arial"/>
        </w:rPr>
        <w:t>C</w:t>
      </w:r>
      <w:r w:rsidRPr="004D0DC2">
        <w:rPr>
          <w:rFonts w:cs="Arial"/>
        </w:rPr>
        <w:t>ontractor to present oral or documentary evidence and arguments in support of the claim. Contractor shall continue with the responsibilities under this Agreement during any dispute.</w:t>
      </w:r>
    </w:p>
    <w:p w14:paraId="0F7A4893" w14:textId="07822197" w:rsidR="008D60E8" w:rsidRPr="004D0DC2" w:rsidRDefault="00AA6376" w:rsidP="00F67ED5">
      <w:pPr>
        <w:pStyle w:val="Heading3"/>
      </w:pPr>
      <w:r w:rsidRPr="004D0DC2">
        <w:t>10.4</w:t>
      </w:r>
      <w:r w:rsidR="008D60E8" w:rsidRPr="004D0DC2">
        <w:t xml:space="preserve"> Right to Terminate </w:t>
      </w:r>
    </w:p>
    <w:p w14:paraId="613EE8A5" w14:textId="77777777" w:rsidR="008D60E8" w:rsidRPr="004D0DC2" w:rsidRDefault="008D60E8" w:rsidP="008D60E8">
      <w:pPr>
        <w:spacing w:before="240" w:after="240"/>
        <w:rPr>
          <w:rFonts w:cs="Arial"/>
          <w:szCs w:val="24"/>
        </w:rPr>
      </w:pPr>
      <w:r w:rsidRPr="004D0DC2">
        <w:rPr>
          <w:rFonts w:cs="Arial"/>
          <w:szCs w:val="24"/>
        </w:rPr>
        <w:t>The State reserves the right to terminate this contract subject to 30-days written notice to the Contractor. Contractor may submit a written request to terminate this contract only if the State should substantially fail to perform its responsibilities as provided herein.</w:t>
      </w:r>
    </w:p>
    <w:p w14:paraId="456FF974" w14:textId="77777777" w:rsidR="008D60E8" w:rsidRPr="004D0DC2" w:rsidRDefault="008D60E8" w:rsidP="008D60E8">
      <w:pPr>
        <w:spacing w:before="240" w:after="240"/>
        <w:rPr>
          <w:rFonts w:cs="Arial"/>
          <w:szCs w:val="24"/>
        </w:rPr>
      </w:pPr>
      <w:r w:rsidRPr="004D0DC2">
        <w:rPr>
          <w:rFonts w:cs="Arial"/>
          <w:szCs w:val="24"/>
        </w:rPr>
        <w:t>However, the contract can be immediately terminated for cause by the State. The term “for cause” shall mean that the Contractor fails to meet the terms, conditions, and/or responsibilities of the contract. In this instance, the contract termination shall be effective as of the date indicated on the State’s notification to the Contractor.</w:t>
      </w:r>
    </w:p>
    <w:p w14:paraId="73C1A61D" w14:textId="17B7BC23" w:rsidR="008D60E8" w:rsidRPr="004D0DC2" w:rsidRDefault="008D60E8" w:rsidP="008D60E8">
      <w:pPr>
        <w:spacing w:before="240" w:after="240"/>
        <w:rPr>
          <w:rFonts w:cs="Arial"/>
          <w:szCs w:val="24"/>
        </w:rPr>
      </w:pPr>
      <w:r w:rsidRPr="004D0DC2">
        <w:rPr>
          <w:rFonts w:cs="Arial"/>
          <w:szCs w:val="24"/>
        </w:rPr>
        <w:t>This agreement may be suspended or cancelled without notice, at the option of the Contractor, if the Contractor or State’s premises or equipment are destroyed by fire or other catastrophe, or so substantially damaged that it is impractical to continue service, or in the event the Contractor is unable to render services as a result of any action by any governmental authority.</w:t>
      </w:r>
    </w:p>
    <w:p w14:paraId="4366BD6B" w14:textId="45B2A64F" w:rsidR="0042374C" w:rsidRPr="004D0DC2" w:rsidRDefault="00503146" w:rsidP="00F67ED5">
      <w:pPr>
        <w:pStyle w:val="Heading3"/>
      </w:pPr>
      <w:r w:rsidRPr="004D0DC2">
        <w:t>1</w:t>
      </w:r>
      <w:r w:rsidR="00C426A0" w:rsidRPr="004D0DC2">
        <w:t>0</w:t>
      </w:r>
      <w:r w:rsidRPr="004D0DC2">
        <w:t>.</w:t>
      </w:r>
      <w:r w:rsidR="00ED501F" w:rsidRPr="004D0DC2">
        <w:t>6</w:t>
      </w:r>
      <w:r w:rsidR="00AA6376" w:rsidRPr="004D0DC2">
        <w:t xml:space="preserve"> </w:t>
      </w:r>
      <w:r w:rsidR="0042374C" w:rsidRPr="004D0DC2">
        <w:t>ICT Accessibility Requirements (05/2018)</w:t>
      </w:r>
    </w:p>
    <w:p w14:paraId="4D2791D0" w14:textId="35600EDE" w:rsidR="0042374C" w:rsidRPr="004D0DC2" w:rsidRDefault="0042374C" w:rsidP="0042374C">
      <w:pPr>
        <w:spacing w:after="240"/>
      </w:pPr>
      <w:r w:rsidRPr="004D0DC2">
        <w:t xml:space="preserve">Unless the scope of work expressly provides that the CDE shall be responsible for all 508 </w:t>
      </w:r>
      <w:r w:rsidRPr="00713087">
        <w:t>complia</w:t>
      </w:r>
      <w:r w:rsidR="00713087">
        <w:t>nce</w:t>
      </w:r>
      <w:r w:rsidRPr="00713087">
        <w:t>:</w:t>
      </w:r>
    </w:p>
    <w:p w14:paraId="0211BF38" w14:textId="7339DF93" w:rsidR="0042374C" w:rsidRPr="004D0DC2" w:rsidRDefault="0042374C" w:rsidP="004F4F2E">
      <w:pPr>
        <w:pStyle w:val="ListParagraph"/>
        <w:numPr>
          <w:ilvl w:val="0"/>
          <w:numId w:val="33"/>
        </w:numPr>
        <w:spacing w:after="240"/>
        <w:ind w:left="360" w:hanging="360"/>
        <w:contextualSpacing w:val="0"/>
      </w:pPr>
      <w:r>
        <w:t xml:space="preserve">Contractor shall, in accordance with California Government Code section </w:t>
      </w:r>
      <w:r w:rsidR="004D20EE">
        <w:t xml:space="preserve">7405 </w:t>
      </w:r>
      <w:r>
        <w:t xml:space="preserve">(which requires state agencies to comply with Section 508 of the federal Rehabilitation Act of 1973 (Section 508)), ensure that any and all Information and Communications Technology (ICT) deliverables developed, procured, or maintained as a result of this contract shall comply with state and federal accessibility requirements, including: (i) the </w:t>
      </w:r>
      <w:r w:rsidRPr="00952917">
        <w:t>Web Content Accessibility Guidelines (WCA</w:t>
      </w:r>
      <w:r w:rsidR="007579AD" w:rsidRPr="00952917">
        <w:t>G) 2.0 at the AA level found</w:t>
      </w:r>
      <w:r w:rsidR="574D4ED3" w:rsidRPr="00952917">
        <w:t xml:space="preserve"> </w:t>
      </w:r>
      <w:r w:rsidR="007579AD" w:rsidRPr="00952917">
        <w:t>at</w:t>
      </w:r>
      <w:r w:rsidRPr="00952917">
        <w:t xml:space="preserve"> </w:t>
      </w:r>
      <w:hyperlink r:id="rId48" w:tooltip="Web Content Accessibility Guidelines " w:history="1">
        <w:r w:rsidR="00B206BD" w:rsidRPr="00952917">
          <w:rPr>
            <w:rStyle w:val="Hyperlink"/>
          </w:rPr>
          <w:t>https://www.w3.org/TR/WCAG20/</w:t>
        </w:r>
      </w:hyperlink>
      <w:r w:rsidRPr="00952917">
        <w:t>,</w:t>
      </w:r>
      <w:r>
        <w:t xml:space="preserve"> (ii) t</w:t>
      </w:r>
      <w:r w:rsidR="007579AD">
        <w:t xml:space="preserve">he CDE’s Web Standards found </w:t>
      </w:r>
      <w:r w:rsidR="248A4614">
        <w:t xml:space="preserve">on the CDE website </w:t>
      </w:r>
      <w:r w:rsidR="007579AD">
        <w:t>at</w:t>
      </w:r>
      <w:r>
        <w:t xml:space="preserve">  </w:t>
      </w:r>
      <w:hyperlink r:id="rId49" w:tooltip="CDE Web Standards">
        <w:r w:rsidRPr="54EA1D9A">
          <w:rPr>
            <w:rStyle w:val="Hyperlink"/>
          </w:rPr>
          <w:t>https://www.cde.ca.gov/re/di/ws/webstandards.asp</w:t>
        </w:r>
      </w:hyperlink>
      <w:r>
        <w:t xml:space="preserve">, and (iii) the CDE’s Web Application Review Team (WebART) review process found </w:t>
      </w:r>
      <w:r w:rsidR="79849260">
        <w:t xml:space="preserve">on the CDE website </w:t>
      </w:r>
      <w:r>
        <w:t xml:space="preserve">at </w:t>
      </w:r>
      <w:hyperlink r:id="rId50" w:tooltip="CDE Web Application Review Team">
        <w:r w:rsidR="002D2C28" w:rsidRPr="54EA1D9A">
          <w:rPr>
            <w:rStyle w:val="Hyperlink"/>
          </w:rPr>
          <w:t>https://www.cde.ca.gov/re/di/ws/webartproc.asp</w:t>
        </w:r>
      </w:hyperlink>
      <w:r w:rsidR="002D2C28">
        <w:t>.</w:t>
      </w:r>
    </w:p>
    <w:p w14:paraId="7DE174F9" w14:textId="35F855A8" w:rsidR="0042374C" w:rsidRPr="004D0DC2" w:rsidRDefault="0042374C" w:rsidP="00132985">
      <w:pPr>
        <w:pStyle w:val="ListParagraph"/>
        <w:numPr>
          <w:ilvl w:val="0"/>
          <w:numId w:val="33"/>
        </w:numPr>
        <w:spacing w:after="240"/>
        <w:ind w:left="360" w:hanging="360"/>
        <w:contextualSpacing w:val="0"/>
      </w:pPr>
      <w:r w:rsidRPr="004D0DC2">
        <w:t xml:space="preserve">The definition of “Information and Communications Technology” or “ICT” includes but is not limited to: computer hardware, software, cloud services, websites, web content, web or mobile application, office documents (e.g., MS Word, MS Excel, MS PowerPoint, PDF), multimedia, social media, email, and electronic devices.  </w:t>
      </w:r>
    </w:p>
    <w:p w14:paraId="46C4D95D" w14:textId="2F7D9110" w:rsidR="0042374C" w:rsidRPr="004D0DC2" w:rsidRDefault="0042374C" w:rsidP="004F4F2E">
      <w:pPr>
        <w:pStyle w:val="ListParagraph"/>
        <w:numPr>
          <w:ilvl w:val="0"/>
          <w:numId w:val="33"/>
        </w:numPr>
        <w:spacing w:after="240"/>
        <w:ind w:left="360" w:hanging="360"/>
        <w:contextualSpacing w:val="0"/>
      </w:pPr>
      <w:r>
        <w:t xml:space="preserve">Contractor shall employ a section 508 compliance expert with qualifications and experience acceptable to the CDE to: (i) advise Contractor during ICT deliverable development, and (ii) certify in writing on behalf of Contractor that the ICT deliverables are fully compliant with the standards in subsection A above and Section 508 prior to submission to, or use by, the CDE.  Such certification </w:t>
      </w:r>
      <w:r w:rsidR="00713087">
        <w:t xml:space="preserve">shall </w:t>
      </w:r>
      <w:r>
        <w:t xml:space="preserve">also include a statement describing precise methods by which </w:t>
      </w:r>
      <w:r>
        <w:lastRenderedPageBreak/>
        <w:t>compliance was determined, along with the results of testing. The Contractor is responsible for any costs associated with breach of such certification.</w:t>
      </w:r>
    </w:p>
    <w:p w14:paraId="722FF0A9" w14:textId="4C57619B" w:rsidR="0042374C" w:rsidRPr="004D0DC2" w:rsidRDefault="0042374C">
      <w:pPr>
        <w:pStyle w:val="ListParagraph"/>
        <w:numPr>
          <w:ilvl w:val="0"/>
          <w:numId w:val="33"/>
        </w:numPr>
        <w:spacing w:after="240"/>
        <w:ind w:left="360" w:hanging="360"/>
        <w:contextualSpacing w:val="0"/>
      </w:pPr>
      <w:r w:rsidRPr="004D0DC2">
        <w:t>Upon CDE’s request, the Contractor must provide to the CDE all source files for ICT deliverables to the CDE for the purpose of improving accessibility. This may include non-proprietary code, unedited pictures and video, and original documents prior to PDF conversion among others.</w:t>
      </w:r>
    </w:p>
    <w:p w14:paraId="0235DDF3" w14:textId="15AF9E70" w:rsidR="008D60E8" w:rsidRPr="004D0DC2" w:rsidRDefault="00AA6376" w:rsidP="00F67ED5">
      <w:pPr>
        <w:pStyle w:val="Heading3"/>
      </w:pPr>
      <w:r w:rsidRPr="004D0DC2">
        <w:t>10.</w:t>
      </w:r>
      <w:r w:rsidR="00ED501F" w:rsidRPr="004D0DC2">
        <w:t>7</w:t>
      </w:r>
      <w:r w:rsidRPr="004D0DC2">
        <w:t xml:space="preserve"> Prohibition of Discrimination</w:t>
      </w:r>
    </w:p>
    <w:p w14:paraId="2A836320" w14:textId="77777777" w:rsidR="008D60E8" w:rsidRPr="004D0DC2" w:rsidRDefault="008D60E8" w:rsidP="00132985">
      <w:pPr>
        <w:spacing w:after="240"/>
        <w:rPr>
          <w:rFonts w:cs="Arial"/>
          <w:szCs w:val="24"/>
        </w:rPr>
      </w:pPr>
      <w:r w:rsidRPr="004D0DC2">
        <w:rPr>
          <w:rFonts w:cs="Arial"/>
          <w:szCs w:val="24"/>
        </w:rPr>
        <w:t>In addition to the non-discrimination requirements in General Terms and Conditions attached as Exhibit C, Contractor and its subcontractors shall comply with Education Code section 220, which prohibits any person from discriminating on the basis of any characteristic that is contained in the definition of hate crimes set forth in Section 422.55 of the Penal Code, including immigration status, in any program or activity conducted in connection with this contract.</w:t>
      </w:r>
    </w:p>
    <w:p w14:paraId="70BAC8B9" w14:textId="64F6BFB9" w:rsidR="008D60E8" w:rsidRPr="004D0DC2" w:rsidRDefault="00AA6376" w:rsidP="00F67ED5">
      <w:pPr>
        <w:pStyle w:val="Heading3"/>
        <w:rPr>
          <w:u w:val="single"/>
        </w:rPr>
      </w:pPr>
      <w:r w:rsidRPr="004D0DC2">
        <w:t>10.</w:t>
      </w:r>
      <w:r w:rsidR="00ED501F" w:rsidRPr="004D0DC2">
        <w:t>8</w:t>
      </w:r>
      <w:r w:rsidRPr="004D0DC2">
        <w:t xml:space="preserve"> Health and Safety</w:t>
      </w:r>
    </w:p>
    <w:p w14:paraId="38B3AFE0" w14:textId="1667F4E4" w:rsidR="00CB24BA" w:rsidRPr="004D0DC2" w:rsidRDefault="008D60E8" w:rsidP="54EA1D9A">
      <w:pPr>
        <w:rPr>
          <w:rFonts w:cs="Arial"/>
        </w:rPr>
      </w:pPr>
      <w:r w:rsidRPr="54EA1D9A">
        <w:rPr>
          <w:rFonts w:cs="Arial"/>
        </w:rPr>
        <w:t>Contractors are required to, at their own expense, comply with all applicable health and safety laws and regulations. Upon notice, Contractors are also required to comply with the state agency’s specific health and safety requirements and policies. Contractors agree to include in any subcontract related to performance of this Agreement, a requirement that the subcontractor comply with all applicable health and safety laws and regulations, and upon notice, the state agency’s specific health and safety requirements and policies.</w:t>
      </w:r>
      <w:bookmarkStart w:id="23" w:name="_Toc500420520"/>
    </w:p>
    <w:bookmarkEnd w:id="23"/>
    <w:p w14:paraId="7D1BFB1A" w14:textId="77777777" w:rsidR="000954EF" w:rsidRDefault="000954EF">
      <w:pPr>
        <w:rPr>
          <w:rFonts w:eastAsia="Times New Roman" w:cs="Arial"/>
          <w:b/>
          <w:bCs/>
          <w:iCs/>
          <w:sz w:val="40"/>
          <w:szCs w:val="40"/>
        </w:rPr>
      </w:pPr>
      <w:r>
        <w:br w:type="page"/>
      </w:r>
    </w:p>
    <w:p w14:paraId="3D8AD324" w14:textId="5DCC2E60" w:rsidR="002150FE" w:rsidRPr="004D0DC2" w:rsidRDefault="002150FE" w:rsidP="54EA1D9A">
      <w:pPr>
        <w:pStyle w:val="Heading2"/>
        <w:spacing w:before="480"/>
      </w:pPr>
      <w:bookmarkStart w:id="24" w:name="_Toc210913303"/>
      <w:r>
        <w:lastRenderedPageBreak/>
        <w:t>1</w:t>
      </w:r>
      <w:r w:rsidR="00C426A0">
        <w:t>1</w:t>
      </w:r>
      <w:r>
        <w:t>. ADDITIONAL PROVISIONS</w:t>
      </w:r>
      <w:bookmarkEnd w:id="24"/>
    </w:p>
    <w:p w14:paraId="6C4633D6" w14:textId="6BBFE6EE" w:rsidR="00AA6376" w:rsidRPr="004D0DC2" w:rsidRDefault="00AA6376" w:rsidP="00F67ED5">
      <w:pPr>
        <w:pStyle w:val="Heading3"/>
        <w:rPr>
          <w:szCs w:val="24"/>
        </w:rPr>
      </w:pPr>
      <w:r w:rsidRPr="004D0DC2">
        <w:t>11.1 Contractor Evaluation (3/06)</w:t>
      </w:r>
      <w:r w:rsidRPr="004D0DC2">
        <w:rPr>
          <w:szCs w:val="24"/>
        </w:rPr>
        <w:t xml:space="preserve"> </w:t>
      </w:r>
    </w:p>
    <w:p w14:paraId="5C3F7B92" w14:textId="77777777" w:rsidR="00AA6376" w:rsidRPr="004D0DC2" w:rsidRDefault="00AA6376" w:rsidP="00AA6376">
      <w:pPr>
        <w:spacing w:before="240" w:after="240"/>
      </w:pPr>
      <w:r w:rsidRPr="004D0DC2">
        <w:t>Within sixty (60) days after the completion of this Agreement, the CDE Contract Monitor shall complete a written evaluation of Contractor’s performance under this Agreement. If the Contractor did not satisfactorily perform the work, a copy of the evaluation will be sent to the State Department of General Services, Office of Legal Services, and to the Contractor within 15 working days of the completion of the evaluation. (Public Contract Code Section 10369)</w:t>
      </w:r>
    </w:p>
    <w:p w14:paraId="2CDDFB7D" w14:textId="3C0B2D0D" w:rsidR="00AA6376" w:rsidRPr="004D0DC2" w:rsidRDefault="00AA6376" w:rsidP="00F67ED5">
      <w:pPr>
        <w:pStyle w:val="Heading3"/>
      </w:pPr>
      <w:r w:rsidRPr="004D0DC2">
        <w:t>11.2 Contractor’s Rights and Obligations</w:t>
      </w:r>
    </w:p>
    <w:p w14:paraId="5B05BCFB" w14:textId="005CEF20" w:rsidR="00AA6376" w:rsidRPr="004D0DC2" w:rsidRDefault="00AA6376" w:rsidP="00AA6376">
      <w:pPr>
        <w:spacing w:before="240" w:after="240"/>
        <w:rPr>
          <w:rFonts w:cs="Arial"/>
          <w:szCs w:val="24"/>
        </w:rPr>
      </w:pPr>
      <w:r w:rsidRPr="004D0DC2">
        <w:rPr>
          <w:rFonts w:cs="Arial"/>
          <w:szCs w:val="24"/>
        </w:rPr>
        <w:t xml:space="preserve">Public Contract Code sections 10335 through 10381 contains language describing the </w:t>
      </w:r>
      <w:r w:rsidR="00B435C6" w:rsidRPr="004D0DC2">
        <w:rPr>
          <w:rFonts w:cs="Arial"/>
          <w:szCs w:val="24"/>
        </w:rPr>
        <w:t>C</w:t>
      </w:r>
      <w:r w:rsidRPr="004D0DC2">
        <w:rPr>
          <w:rFonts w:cs="Arial"/>
          <w:szCs w:val="24"/>
        </w:rPr>
        <w:t xml:space="preserve">ontractor's duties, obligations and rights under this agreement. By signing this agreement, the </w:t>
      </w:r>
      <w:r w:rsidR="00B435C6" w:rsidRPr="004D0DC2">
        <w:rPr>
          <w:rFonts w:cs="Arial"/>
          <w:szCs w:val="24"/>
        </w:rPr>
        <w:t>C</w:t>
      </w:r>
      <w:r w:rsidRPr="004D0DC2">
        <w:rPr>
          <w:rFonts w:cs="Arial"/>
          <w:szCs w:val="24"/>
        </w:rPr>
        <w:t xml:space="preserve">ontractor certifies that </w:t>
      </w:r>
      <w:r w:rsidR="00EF3B33" w:rsidRPr="004D0DC2">
        <w:rPr>
          <w:rFonts w:cs="Arial"/>
          <w:szCs w:val="24"/>
        </w:rPr>
        <w:t>they</w:t>
      </w:r>
      <w:r w:rsidRPr="004D0DC2">
        <w:rPr>
          <w:rFonts w:cs="Arial"/>
          <w:szCs w:val="24"/>
        </w:rPr>
        <w:t xml:space="preserve"> </w:t>
      </w:r>
      <w:r w:rsidR="00EF3B33" w:rsidRPr="004D0DC2">
        <w:rPr>
          <w:rFonts w:cs="Arial"/>
          <w:szCs w:val="24"/>
        </w:rPr>
        <w:t>have</w:t>
      </w:r>
      <w:r w:rsidRPr="004D0DC2">
        <w:rPr>
          <w:rFonts w:cs="Arial"/>
          <w:szCs w:val="24"/>
        </w:rPr>
        <w:t xml:space="preserve"> been fully informed regarding these provisions of Public Contract Code.</w:t>
      </w:r>
    </w:p>
    <w:p w14:paraId="17515E03" w14:textId="13CC177A" w:rsidR="00AA6376" w:rsidRPr="004D0DC2" w:rsidRDefault="00AA6376" w:rsidP="00F67ED5">
      <w:pPr>
        <w:pStyle w:val="Heading3"/>
      </w:pPr>
      <w:r w:rsidRPr="004D0DC2">
        <w:t>11.3 Computer Software Copyright Compliance</w:t>
      </w:r>
    </w:p>
    <w:p w14:paraId="279055B5" w14:textId="36B6FBF4" w:rsidR="00AA6376" w:rsidRPr="004D0DC2" w:rsidRDefault="00AA6376" w:rsidP="00AA6376">
      <w:pPr>
        <w:spacing w:before="240" w:after="240"/>
        <w:rPr>
          <w:rFonts w:cs="Arial"/>
          <w:szCs w:val="24"/>
        </w:rPr>
      </w:pPr>
      <w:r w:rsidRPr="004D0DC2">
        <w:rPr>
          <w:rFonts w:cs="Arial"/>
          <w:szCs w:val="24"/>
        </w:rPr>
        <w:t xml:space="preserve">By signing this agreement, the </w:t>
      </w:r>
      <w:r w:rsidR="00B435C6" w:rsidRPr="004D0DC2">
        <w:rPr>
          <w:rFonts w:cs="Arial"/>
          <w:szCs w:val="24"/>
        </w:rPr>
        <w:t>C</w:t>
      </w:r>
      <w:r w:rsidRPr="004D0DC2">
        <w:rPr>
          <w:rFonts w:cs="Arial"/>
          <w:szCs w:val="24"/>
        </w:rPr>
        <w:t>ontractor certifies that it has appropriate systems and controls in place to ensure that state funds will not be used in the performance of this contract for the acquisition, operation or maintenance of computer software in violation of copyright laws.</w:t>
      </w:r>
    </w:p>
    <w:p w14:paraId="71652E61" w14:textId="4E7F4623" w:rsidR="00AA6376" w:rsidRPr="004D0DC2" w:rsidRDefault="00AA6376" w:rsidP="00F67ED5">
      <w:pPr>
        <w:pStyle w:val="Heading3"/>
      </w:pPr>
      <w:r w:rsidRPr="004D0DC2">
        <w:t>11.4 Disposition of Equipment</w:t>
      </w:r>
    </w:p>
    <w:p w14:paraId="759E27B3" w14:textId="77777777" w:rsidR="00AA6376" w:rsidRPr="004D0DC2" w:rsidRDefault="00AA6376" w:rsidP="00AA6376">
      <w:pPr>
        <w:tabs>
          <w:tab w:val="left" w:pos="-1440"/>
        </w:tabs>
        <w:jc w:val="both"/>
        <w:rPr>
          <w:rFonts w:cs="Arial"/>
          <w:szCs w:val="24"/>
        </w:rPr>
      </w:pPr>
      <w:r w:rsidRPr="004D0DC2">
        <w:rPr>
          <w:rFonts w:cs="Arial"/>
          <w:szCs w:val="24"/>
        </w:rPr>
        <w:t>Equipment purchased under the provisions of this agreement is the property of the State and shall be used for its intended purpose during the term of this agreement. An inventory of all equipment purchased under this agreement shall be maintained. After the term of this agreement, the equipment shall be returned or disposed of in accordance with instructions from the CDE.</w:t>
      </w:r>
    </w:p>
    <w:p w14:paraId="3D8AD325" w14:textId="17BE1021" w:rsidR="002150FE" w:rsidRPr="004D0DC2" w:rsidRDefault="002150FE" w:rsidP="00F67ED5">
      <w:pPr>
        <w:pStyle w:val="Heading3"/>
      </w:pPr>
      <w:r w:rsidRPr="004D0DC2">
        <w:t>1</w:t>
      </w:r>
      <w:r w:rsidR="00C426A0" w:rsidRPr="004D0DC2">
        <w:t>1</w:t>
      </w:r>
      <w:r w:rsidRPr="004D0DC2">
        <w:t>.</w:t>
      </w:r>
      <w:r w:rsidR="00AA6376" w:rsidRPr="004D0DC2">
        <w:t xml:space="preserve">5 </w:t>
      </w:r>
      <w:r w:rsidRPr="004D0DC2">
        <w:t xml:space="preserve">Contracts Funded </w:t>
      </w:r>
      <w:r w:rsidR="00AD48F4" w:rsidRPr="004D0DC2">
        <w:t>b</w:t>
      </w:r>
      <w:r w:rsidRPr="004D0DC2">
        <w:t xml:space="preserve">y </w:t>
      </w:r>
      <w:r w:rsidR="00AD48F4" w:rsidRPr="004D0DC2">
        <w:t>t</w:t>
      </w:r>
      <w:r w:rsidRPr="004D0DC2">
        <w:t>he Federal Government</w:t>
      </w:r>
      <w:r w:rsidR="00E45035" w:rsidRPr="004D0DC2">
        <w:t xml:space="preserve"> (Rev. 04/2025)</w:t>
      </w:r>
    </w:p>
    <w:p w14:paraId="4C208281" w14:textId="77777777" w:rsidR="00E45035" w:rsidRPr="004D0DC2" w:rsidRDefault="00E45035" w:rsidP="00E45035">
      <w:pPr>
        <w:tabs>
          <w:tab w:val="left" w:pos="360"/>
        </w:tabs>
        <w:spacing w:before="240" w:after="240"/>
        <w:rPr>
          <w:rFonts w:cs="Arial"/>
          <w:iCs/>
          <w:szCs w:val="24"/>
        </w:rPr>
      </w:pPr>
      <w:r w:rsidRPr="004D0DC2">
        <w:rPr>
          <w:rFonts w:cs="Arial"/>
          <w:iCs/>
          <w:szCs w:val="24"/>
        </w:rPr>
        <w:t>It is mutually understood between the parties that this contract may have been written before ascertaining the availability of congressional appropriation of funds, for the mutual benefit of both parties, in order to avoid program and fiscal delays which would occur if the contract were executed after that determination was made.</w:t>
      </w:r>
    </w:p>
    <w:p w14:paraId="00DECB0C" w14:textId="77777777" w:rsidR="00E45035" w:rsidRPr="004D0DC2" w:rsidRDefault="00E45035" w:rsidP="00E45035">
      <w:pPr>
        <w:tabs>
          <w:tab w:val="left" w:pos="360"/>
        </w:tabs>
        <w:spacing w:before="240" w:after="240"/>
        <w:rPr>
          <w:rFonts w:cs="Arial"/>
          <w:iCs/>
          <w:szCs w:val="24"/>
        </w:rPr>
      </w:pPr>
      <w:r w:rsidRPr="004D0DC2">
        <w:rPr>
          <w:rFonts w:cs="Arial"/>
          <w:iCs/>
          <w:szCs w:val="24"/>
        </w:rPr>
        <w:t>This contract is valid and enforceable only if sufficient funds are made available to the State by the United States Government for Fiscal Year(s) covered by this agreement for the purposes of this program. In addition, this contract is subject to any additional restrictions, limitations, or conditions enacted by the Congress or imposed by the federal government, which may affect the provisions, terms, or funding of this contract in any manner.</w:t>
      </w:r>
    </w:p>
    <w:p w14:paraId="37FA53B0" w14:textId="77777777" w:rsidR="00E45035" w:rsidRPr="004D0DC2" w:rsidRDefault="00E45035" w:rsidP="00E45035">
      <w:pPr>
        <w:tabs>
          <w:tab w:val="left" w:pos="360"/>
        </w:tabs>
        <w:spacing w:before="240" w:after="240"/>
        <w:rPr>
          <w:rFonts w:cs="Arial"/>
          <w:iCs/>
          <w:szCs w:val="24"/>
        </w:rPr>
      </w:pPr>
      <w:r w:rsidRPr="004D0DC2">
        <w:rPr>
          <w:rFonts w:cs="Arial"/>
          <w:iCs/>
          <w:szCs w:val="24"/>
        </w:rPr>
        <w:t>It is mutually agreed that if Congress does not appropriate sufficient funds for the program or the federal government does not disburse sufficient funds for this program, this contract shall be amended to reflect any reduction in funds.</w:t>
      </w:r>
    </w:p>
    <w:p w14:paraId="7C16F3ED" w14:textId="77777777" w:rsidR="00E45035" w:rsidRPr="004D0DC2" w:rsidRDefault="00E45035" w:rsidP="00E45035">
      <w:pPr>
        <w:tabs>
          <w:tab w:val="left" w:pos="360"/>
        </w:tabs>
        <w:spacing w:before="240" w:after="240"/>
        <w:rPr>
          <w:rFonts w:cs="Arial"/>
          <w:iCs/>
          <w:szCs w:val="24"/>
        </w:rPr>
      </w:pPr>
      <w:r w:rsidRPr="004D0DC2">
        <w:rPr>
          <w:rFonts w:cs="Arial"/>
          <w:iCs/>
          <w:szCs w:val="24"/>
        </w:rPr>
        <w:lastRenderedPageBreak/>
        <w:t>The CDE has the option to void the contract under the 30-day cancellation clause or to amend the contract to reflect any reduction of funds.</w:t>
      </w:r>
    </w:p>
    <w:p w14:paraId="3D8AD32A" w14:textId="1F9793CB" w:rsidR="002150FE" w:rsidRPr="004D0DC2" w:rsidRDefault="00E45035" w:rsidP="00E45035">
      <w:pPr>
        <w:tabs>
          <w:tab w:val="left" w:pos="360"/>
        </w:tabs>
        <w:spacing w:before="240" w:after="240"/>
        <w:rPr>
          <w:rFonts w:cs="Arial"/>
          <w:iCs/>
          <w:szCs w:val="24"/>
        </w:rPr>
      </w:pPr>
      <w:r w:rsidRPr="004D0DC2">
        <w:rPr>
          <w:rFonts w:cs="Arial"/>
          <w:iCs/>
          <w:szCs w:val="24"/>
        </w:rPr>
        <w:t>The recipient shall comply with the reporting requirements set forth in Uniform Administrative Requirements, Cost Principles, and Audit Requirements for Federal Awards, 2 CFR Part 200.</w:t>
      </w:r>
    </w:p>
    <w:p w14:paraId="3D8AD335" w14:textId="5394B6FE" w:rsidR="002150FE" w:rsidRPr="004D0DC2" w:rsidRDefault="002150FE" w:rsidP="00F67ED5">
      <w:pPr>
        <w:pStyle w:val="Heading3"/>
      </w:pPr>
      <w:r w:rsidRPr="004D0DC2">
        <w:t>1</w:t>
      </w:r>
      <w:r w:rsidR="00C426A0" w:rsidRPr="004D0DC2">
        <w:t>1</w:t>
      </w:r>
      <w:r w:rsidRPr="004D0DC2">
        <w:t>.6 Prohibition Against Outside Agreements</w:t>
      </w:r>
      <w:r w:rsidR="00890766" w:rsidRPr="004D0DC2">
        <w:t xml:space="preserve"> (Rev. 04/2025)</w:t>
      </w:r>
    </w:p>
    <w:p w14:paraId="3D8AD336" w14:textId="1BFF5A48" w:rsidR="002150FE" w:rsidRPr="004D0DC2" w:rsidRDefault="00890766" w:rsidP="00F6039A">
      <w:pPr>
        <w:keepNext/>
        <w:keepLines/>
        <w:spacing w:before="240" w:after="240"/>
        <w:rPr>
          <w:rFonts w:cs="Arial"/>
          <w:szCs w:val="24"/>
        </w:rPr>
      </w:pPr>
      <w:r w:rsidRPr="004D0DC2">
        <w:rPr>
          <w:rFonts w:cs="Arial"/>
          <w:szCs w:val="24"/>
        </w:rPr>
        <w:t>Except as expressly provided in the scope of work, t</w:t>
      </w:r>
      <w:r w:rsidR="002150FE" w:rsidRPr="004D0DC2">
        <w:rPr>
          <w:rFonts w:cs="Arial"/>
          <w:szCs w:val="24"/>
        </w:rPr>
        <w:t xml:space="preserve">he </w:t>
      </w:r>
      <w:r w:rsidR="00B435C6" w:rsidRPr="004D0DC2">
        <w:rPr>
          <w:rFonts w:cs="Arial"/>
          <w:szCs w:val="24"/>
        </w:rPr>
        <w:t>C</w:t>
      </w:r>
      <w:r w:rsidR="002150FE" w:rsidRPr="004D0DC2">
        <w:rPr>
          <w:rFonts w:cs="Arial"/>
          <w:szCs w:val="24"/>
        </w:rPr>
        <w:t>ontractor or subcontractor(s) shall not enter into agreements related to products and/or services of this contract with any out-of-state agency or organization. Any out-of-state agency or organization shall negotiate with the CDE for products and/or services pertaining to this contract.</w:t>
      </w:r>
    </w:p>
    <w:p w14:paraId="3D8AD337" w14:textId="2208237B" w:rsidR="002150FE" w:rsidRPr="004D0DC2" w:rsidRDefault="002150FE" w:rsidP="00F67ED5">
      <w:pPr>
        <w:pStyle w:val="Heading3"/>
      </w:pPr>
      <w:r w:rsidRPr="004D0DC2">
        <w:t>1</w:t>
      </w:r>
      <w:r w:rsidR="00C426A0" w:rsidRPr="004D0DC2">
        <w:t>1</w:t>
      </w:r>
      <w:r w:rsidRPr="004D0DC2">
        <w:t xml:space="preserve">.7 Material Developed Under </w:t>
      </w:r>
      <w:r w:rsidR="00B421E5" w:rsidRPr="004D0DC2">
        <w:t>t</w:t>
      </w:r>
      <w:r w:rsidRPr="004D0DC2">
        <w:t xml:space="preserve">he Terms </w:t>
      </w:r>
      <w:r w:rsidR="00B421E5" w:rsidRPr="004D0DC2">
        <w:t>o</w:t>
      </w:r>
      <w:r w:rsidRPr="004D0DC2">
        <w:t>f This Agreement</w:t>
      </w:r>
    </w:p>
    <w:p w14:paraId="49F441F6" w14:textId="46C7252D" w:rsidR="002150FE" w:rsidRPr="004D0DC2" w:rsidRDefault="002150FE" w:rsidP="54EA1D9A">
      <w:pPr>
        <w:spacing w:before="240" w:after="240"/>
        <w:rPr>
          <w:rFonts w:cs="Arial"/>
        </w:rPr>
      </w:pPr>
      <w:r w:rsidRPr="54EA1D9A">
        <w:rPr>
          <w:rFonts w:cs="Arial"/>
        </w:rPr>
        <w:t>All materials developed under the terms of this contract shall be considered a work made for hire. The State, therefore, reserves the exclusive right to copyright and publish, disseminate, and otherwise use the material developed under the terms of this agreement in whatever way it deems appropriate.</w:t>
      </w:r>
    </w:p>
    <w:p w14:paraId="3D8AD339" w14:textId="1946BF91" w:rsidR="002150FE" w:rsidRPr="004D0DC2" w:rsidRDefault="002150FE" w:rsidP="54EA1D9A">
      <w:pPr>
        <w:spacing w:after="240"/>
        <w:rPr>
          <w:rFonts w:cs="Arial"/>
        </w:rPr>
      </w:pPr>
      <w:r w:rsidRPr="54EA1D9A">
        <w:rPr>
          <w:rFonts w:cs="Arial"/>
        </w:rPr>
        <w:t>Any material that is not acceptable to the state may be rejected by the State at its discretion. Notice of such a rejection shall be given to the contractor by the state within</w:t>
      </w:r>
      <w:r w:rsidR="004B7C2C" w:rsidRPr="54EA1D9A">
        <w:rPr>
          <w:rFonts w:cs="Arial"/>
        </w:rPr>
        <w:t xml:space="preserve"> </w:t>
      </w:r>
      <w:r w:rsidRPr="54EA1D9A">
        <w:rPr>
          <w:rFonts w:cs="Arial"/>
        </w:rPr>
        <w:t>10</w:t>
      </w:r>
      <w:r w:rsidR="004B7C2C" w:rsidRPr="54EA1D9A">
        <w:rPr>
          <w:rFonts w:cs="Arial"/>
        </w:rPr>
        <w:t>-</w:t>
      </w:r>
      <w:r w:rsidRPr="54EA1D9A">
        <w:rPr>
          <w:rFonts w:cs="Arial"/>
        </w:rPr>
        <w:t>days of receipt of the materials, and final payment shall not be made for such material until substantial compliance has been obtained within the time and manner determined by the State.</w:t>
      </w:r>
    </w:p>
    <w:p w14:paraId="3D8AD33C" w14:textId="545449FF" w:rsidR="002150FE" w:rsidRPr="004D0DC2" w:rsidRDefault="002150FE" w:rsidP="00F67ED5">
      <w:pPr>
        <w:pStyle w:val="Heading3"/>
      </w:pPr>
      <w:r w:rsidRPr="004D0DC2">
        <w:t>1</w:t>
      </w:r>
      <w:r w:rsidR="00C426A0" w:rsidRPr="004D0DC2">
        <w:t>1</w:t>
      </w:r>
      <w:r w:rsidRPr="004D0DC2">
        <w:t>.</w:t>
      </w:r>
      <w:r w:rsidR="00AA6376" w:rsidRPr="004D0DC2">
        <w:t xml:space="preserve">8 </w:t>
      </w:r>
      <w:r w:rsidRPr="004D0DC2">
        <w:t>Potential Subcontractors</w:t>
      </w:r>
    </w:p>
    <w:p w14:paraId="3D8AD33D" w14:textId="6EEAACB3" w:rsidR="002150FE" w:rsidRPr="004D0DC2" w:rsidRDefault="002150FE" w:rsidP="00F6039A">
      <w:pPr>
        <w:spacing w:before="240" w:after="240"/>
        <w:rPr>
          <w:rFonts w:cs="Arial"/>
          <w:color w:val="000000"/>
          <w:szCs w:val="24"/>
        </w:rPr>
      </w:pPr>
      <w:r w:rsidRPr="004D0DC2">
        <w:rPr>
          <w:rFonts w:cs="Arial"/>
          <w:color w:val="000000"/>
          <w:szCs w:val="24"/>
        </w:rPr>
        <w:t xml:space="preserve">Nothing contained in this Contract or otherwise, shall create any contractual relation between the State and any subcontractors, and no subcontract shall relieve the Contractor of </w:t>
      </w:r>
      <w:r w:rsidR="00EF3B33" w:rsidRPr="004D0DC2">
        <w:rPr>
          <w:rFonts w:cs="Arial"/>
          <w:color w:val="000000"/>
          <w:szCs w:val="24"/>
        </w:rPr>
        <w:t>their</w:t>
      </w:r>
      <w:r w:rsidRPr="004D0DC2">
        <w:rPr>
          <w:rFonts w:cs="Arial"/>
          <w:color w:val="000000"/>
          <w:szCs w:val="24"/>
        </w:rPr>
        <w:t xml:space="preserve"> responsibilities and obligations hereunder. The Contractor agrees to be as fully responsible to the State for the acts and omissions of its subcontractors and of persons either directly or indirectly employed by any of them as it is for the acts and omissions of persons directly employed by the Contractor. The Contractor's obligation to pay its subcontractors is an independent obligation from the State's obligation to make payments to the Contractor. As a result, the State shall have no obligation to pay or to enforce the payment of any moneys to any subcontractor.</w:t>
      </w:r>
    </w:p>
    <w:p w14:paraId="3A9124DA" w14:textId="40A78B70" w:rsidR="00AA6376" w:rsidRPr="004D0DC2" w:rsidRDefault="00AA6376" w:rsidP="00F67ED5">
      <w:pPr>
        <w:pStyle w:val="Heading3"/>
      </w:pPr>
      <w:r w:rsidRPr="004D0DC2">
        <w:t>11.9 Staff Replacements</w:t>
      </w:r>
    </w:p>
    <w:p w14:paraId="6D3F9AC1" w14:textId="0D5019DB" w:rsidR="00AA6376" w:rsidRPr="004D0DC2" w:rsidRDefault="00AA6376" w:rsidP="00AA6376">
      <w:pPr>
        <w:spacing w:before="240" w:after="240"/>
        <w:rPr>
          <w:rFonts w:cs="Arial"/>
          <w:szCs w:val="24"/>
        </w:rPr>
      </w:pPr>
      <w:r w:rsidRPr="004D0DC2">
        <w:rPr>
          <w:rFonts w:cs="Arial"/>
          <w:szCs w:val="24"/>
        </w:rPr>
        <w:t xml:space="preserve">The </w:t>
      </w:r>
      <w:r w:rsidR="00EF3B33" w:rsidRPr="004D0DC2">
        <w:rPr>
          <w:rFonts w:cs="Arial"/>
          <w:szCs w:val="24"/>
        </w:rPr>
        <w:t>C</w:t>
      </w:r>
      <w:r w:rsidRPr="004D0DC2">
        <w:rPr>
          <w:rFonts w:cs="Arial"/>
          <w:szCs w:val="24"/>
        </w:rPr>
        <w:t xml:space="preserve">ontractor will be required to obtain prior approval from the CDE </w:t>
      </w:r>
      <w:r w:rsidR="00B435C6" w:rsidRPr="004D0DC2">
        <w:rPr>
          <w:rFonts w:cs="Arial"/>
          <w:szCs w:val="24"/>
        </w:rPr>
        <w:t>C</w:t>
      </w:r>
      <w:r w:rsidRPr="004D0DC2">
        <w:rPr>
          <w:rFonts w:cs="Arial"/>
          <w:szCs w:val="24"/>
        </w:rPr>
        <w:t xml:space="preserve">ontract </w:t>
      </w:r>
      <w:r w:rsidR="00B435C6" w:rsidRPr="004D0DC2">
        <w:rPr>
          <w:rFonts w:cs="Arial"/>
          <w:szCs w:val="24"/>
        </w:rPr>
        <w:t>M</w:t>
      </w:r>
      <w:r w:rsidRPr="004D0DC2">
        <w:rPr>
          <w:rFonts w:cs="Arial"/>
          <w:szCs w:val="24"/>
        </w:rPr>
        <w:t xml:space="preserve">onitor before changing named project personnel. </w:t>
      </w:r>
      <w:r w:rsidRPr="004D0DC2">
        <w:rPr>
          <w:rFonts w:eastAsia="Times New Roman" w:cs="Arial"/>
          <w:snapToGrid w:val="0"/>
          <w:szCs w:val="20"/>
        </w:rPr>
        <w:t xml:space="preserve">When changing or substituting named key personnel (including Project Manager, and Fiscal Manager, subcontractors, etc.), the </w:t>
      </w:r>
      <w:r w:rsidR="00B435C6" w:rsidRPr="004D0DC2">
        <w:rPr>
          <w:rFonts w:eastAsia="Times New Roman" w:cs="Arial"/>
          <w:snapToGrid w:val="0"/>
          <w:szCs w:val="20"/>
        </w:rPr>
        <w:t>C</w:t>
      </w:r>
      <w:r w:rsidRPr="004D0DC2">
        <w:rPr>
          <w:rFonts w:eastAsia="Times New Roman" w:cs="Arial"/>
          <w:snapToGrid w:val="0"/>
          <w:szCs w:val="20"/>
        </w:rPr>
        <w:t>ontractor must obtain prior approval from CDE Contract Monitor and formal amendment approved by the Department of General Services. The substitute personnel shall meet or exceed the qualifications and experience level of the previously assigned project staff/personnel.</w:t>
      </w:r>
    </w:p>
    <w:p w14:paraId="7FE2F9DB" w14:textId="5A670C5C" w:rsidR="00C82ABF" w:rsidRPr="004D0DC2" w:rsidRDefault="00C82ABF" w:rsidP="00F67ED5">
      <w:pPr>
        <w:pStyle w:val="Heading3"/>
        <w:rPr>
          <w:u w:val="single"/>
        </w:rPr>
      </w:pPr>
      <w:r w:rsidRPr="004D0DC2">
        <w:t>11.10 Follow-on Contracts</w:t>
      </w:r>
    </w:p>
    <w:p w14:paraId="4198487C" w14:textId="77777777" w:rsidR="00C82ABF" w:rsidRPr="004D0DC2" w:rsidRDefault="00C82ABF" w:rsidP="00C82ABF">
      <w:pPr>
        <w:pStyle w:val="NormalWeb"/>
        <w:spacing w:before="0" w:after="240"/>
        <w:rPr>
          <w:rFonts w:ascii="Arial" w:hAnsi="Arial"/>
        </w:rPr>
      </w:pPr>
      <w:r w:rsidRPr="004D0DC2">
        <w:rPr>
          <w:rFonts w:ascii="Arial" w:hAnsi="Arial"/>
        </w:rPr>
        <w:lastRenderedPageBreak/>
        <w:t xml:space="preserve">No contractor, subcontractor, person, firm, or subsidiary thereof who has been awarded a consulting services contract, or a contract which includes a consulting component, (see PCC </w:t>
      </w:r>
      <w:r w:rsidRPr="004D0DC2">
        <w:rPr>
          <w:rFonts w:ascii="Arial" w:hAnsi="Arial" w:cs="Arial"/>
        </w:rPr>
        <w:t>section</w:t>
      </w:r>
      <w:r w:rsidRPr="004D0DC2">
        <w:rPr>
          <w:rFonts w:ascii="Arial" w:hAnsi="Arial"/>
        </w:rPr>
        <w:t xml:space="preserve"> 10335.5) may be awarded a contract for the provision of services, delivery of goods or supplies, or any other related action, which is required, suggested, or otherwise deemed appropriate as an end product of the consulting services contract (see PCC </w:t>
      </w:r>
      <w:r w:rsidRPr="004D0DC2">
        <w:rPr>
          <w:rFonts w:ascii="Arial" w:hAnsi="Arial" w:cs="Arial"/>
        </w:rPr>
        <w:t>section</w:t>
      </w:r>
      <w:r w:rsidRPr="004D0DC2">
        <w:rPr>
          <w:rFonts w:ascii="Arial" w:hAnsi="Arial"/>
        </w:rPr>
        <w:t xml:space="preserve"> 10365.5).</w:t>
      </w:r>
    </w:p>
    <w:p w14:paraId="7D1F66A4" w14:textId="02E02649" w:rsidR="00A8796F" w:rsidRPr="004D0DC2" w:rsidRDefault="00A8796F" w:rsidP="00F67ED5">
      <w:pPr>
        <w:pStyle w:val="Heading3"/>
      </w:pPr>
      <w:r w:rsidRPr="004D0DC2">
        <w:t>1</w:t>
      </w:r>
      <w:r w:rsidR="00C426A0" w:rsidRPr="004D0DC2">
        <w:t>1</w:t>
      </w:r>
      <w:r w:rsidRPr="004D0DC2">
        <w:t>.1</w:t>
      </w:r>
      <w:r w:rsidR="00C82ABF" w:rsidRPr="004D0DC2">
        <w:t>1</w:t>
      </w:r>
      <w:r w:rsidRPr="004D0DC2">
        <w:t xml:space="preserve"> Contract Requirements Related to DVBE Participation </w:t>
      </w:r>
      <w:r w:rsidR="00AA6376" w:rsidRPr="004D0DC2">
        <w:t>Compliance</w:t>
      </w:r>
      <w:r w:rsidRPr="004D0DC2">
        <w:t xml:space="preserve"> </w:t>
      </w:r>
    </w:p>
    <w:p w14:paraId="299B41DF" w14:textId="77777777" w:rsidR="000954EF" w:rsidRDefault="00CA472D" w:rsidP="004F4F2E">
      <w:pPr>
        <w:pStyle w:val="ListParagraph"/>
        <w:numPr>
          <w:ilvl w:val="1"/>
          <w:numId w:val="21"/>
        </w:numPr>
        <w:spacing w:after="240"/>
        <w:ind w:left="360"/>
        <w:contextualSpacing w:val="0"/>
      </w:pPr>
      <w:bookmarkStart w:id="25" w:name="_Hlk101535423"/>
      <w:r w:rsidRPr="004D0DC2">
        <w:t xml:space="preserve">DVBE Substitution: </w:t>
      </w:r>
      <w:r w:rsidR="000954EF">
        <w:t xml:space="preserve">Contractor understands and agrees to comply with the requirements set forth in Military and Veterans Code, Section 999 et seq. that should award of this contract be based in part on their commitment to use the Disabled Veteran Business Enterprise (DVBE) subcontractor(s) identified in their bid or offer, per Military and Veterans Code, Section 999.5(f), a DVBE subcontractor may only be replaced by another DVBE subcontractor and must be approved by both the awarding department and the Department of General Services (DGS) prior to the commencement of any work by the proposed subcontractor. Changes to the scope of work that impact the DVBE subcontractor(s) identified in the bid or offer and approved DVBE substitutions will be documented by contract amendment. </w:t>
      </w:r>
    </w:p>
    <w:p w14:paraId="66DDC334" w14:textId="77777777" w:rsidR="000954EF" w:rsidRDefault="000954EF" w:rsidP="000954EF">
      <w:pPr>
        <w:pStyle w:val="ListParagraph"/>
        <w:spacing w:after="240"/>
        <w:ind w:left="360"/>
        <w:contextualSpacing w:val="0"/>
      </w:pPr>
      <w:r>
        <w:t>Failure of Contractor to seek substitution and adhere to the DVBE participation level identified in the bid or offer may be cause for contract termination, recovery of damages under rights and remedies due to the State, and penalties as outlined in MVC, Section 999.9; Public Contract Code (PCC), Section 10115.10.</w:t>
      </w:r>
    </w:p>
    <w:p w14:paraId="0A7B47B2" w14:textId="66DA6322" w:rsidR="00CA472D" w:rsidRPr="004D0DC2" w:rsidRDefault="00CA472D" w:rsidP="004F4F2E">
      <w:pPr>
        <w:pStyle w:val="ListParagraph"/>
        <w:spacing w:after="240"/>
        <w:ind w:left="360"/>
        <w:contextualSpacing w:val="0"/>
      </w:pPr>
      <w:r w:rsidRPr="004D0DC2">
        <w:t xml:space="preserve">If awarded the contract, the Contractor must use the DVBE subcontractors and/or supplier(s) in its proposal unless the </w:t>
      </w:r>
      <w:r w:rsidR="00B435C6" w:rsidRPr="004D0DC2">
        <w:t>C</w:t>
      </w:r>
      <w:r w:rsidRPr="004D0DC2">
        <w:t>ontractor requested substitution via prior written notice to the CDE and the CDE may consent to the substitution of another person as a subcontractor in any of the following situations</w:t>
      </w:r>
      <w:r w:rsidR="000954EF">
        <w:t xml:space="preserve"> (2 CCR 1896.73).</w:t>
      </w:r>
    </w:p>
    <w:p w14:paraId="367A2C44" w14:textId="7B09ED4A" w:rsidR="00CA472D" w:rsidRPr="004D0DC2" w:rsidRDefault="00CA472D" w:rsidP="00CA472D">
      <w:pPr>
        <w:pStyle w:val="ListParagraph"/>
        <w:numPr>
          <w:ilvl w:val="1"/>
          <w:numId w:val="27"/>
        </w:numPr>
        <w:spacing w:after="240"/>
        <w:ind w:left="720"/>
        <w:contextualSpacing w:val="0"/>
      </w:pPr>
      <w:r w:rsidRPr="004D0DC2">
        <w:t>When the subcontractor listed in the bid, after having had a reasonable opportunity to do so, fa</w:t>
      </w:r>
      <w:r w:rsidR="00EF3B33" w:rsidRPr="004D0DC2">
        <w:t>i</w:t>
      </w:r>
      <w:r w:rsidRPr="004D0DC2">
        <w:t>ls or refuses to execute a written contract, when that written contract based upon the general terms, conditions, plans and specifications for the project involved or the terms of that subcontractor's written bid, is presented to the subcontractor by the prime Contractor.</w:t>
      </w:r>
    </w:p>
    <w:p w14:paraId="0800F3D0" w14:textId="77777777" w:rsidR="00CA472D" w:rsidRPr="004D0DC2" w:rsidRDefault="00CA472D" w:rsidP="00CA472D">
      <w:pPr>
        <w:pStyle w:val="ListParagraph"/>
        <w:numPr>
          <w:ilvl w:val="1"/>
          <w:numId w:val="27"/>
        </w:numPr>
        <w:spacing w:after="240"/>
        <w:ind w:left="720"/>
        <w:contextualSpacing w:val="0"/>
      </w:pPr>
      <w:r w:rsidRPr="004D0DC2">
        <w:t>When the listed subcontractor becomes bankrupt or insolvent or goes out of business.</w:t>
      </w:r>
    </w:p>
    <w:p w14:paraId="27963480" w14:textId="77777777" w:rsidR="00CA472D" w:rsidRPr="004D0DC2" w:rsidRDefault="00CA472D" w:rsidP="00CA472D">
      <w:pPr>
        <w:pStyle w:val="ListParagraph"/>
        <w:numPr>
          <w:ilvl w:val="1"/>
          <w:numId w:val="27"/>
        </w:numPr>
        <w:spacing w:after="240"/>
        <w:ind w:left="720"/>
        <w:contextualSpacing w:val="0"/>
      </w:pPr>
      <w:r w:rsidRPr="004D0DC2">
        <w:t>When the listed subcontractor fails or refuses to perform the subcontract.</w:t>
      </w:r>
    </w:p>
    <w:p w14:paraId="4868E658" w14:textId="47F02E76" w:rsidR="00CA472D" w:rsidRPr="004D0DC2" w:rsidRDefault="00CA472D" w:rsidP="00CA472D">
      <w:pPr>
        <w:pStyle w:val="ListParagraph"/>
        <w:numPr>
          <w:ilvl w:val="1"/>
          <w:numId w:val="27"/>
        </w:numPr>
        <w:spacing w:after="240"/>
        <w:ind w:left="720"/>
        <w:contextualSpacing w:val="0"/>
      </w:pPr>
      <w:r w:rsidRPr="004D0DC2">
        <w:t xml:space="preserve">When the listed subcontractor fails or refuses to meet the bond requirements of the prime </w:t>
      </w:r>
      <w:r w:rsidR="00EF3B33" w:rsidRPr="004D0DC2">
        <w:t>C</w:t>
      </w:r>
      <w:r w:rsidRPr="004D0DC2">
        <w:t>ontractor.</w:t>
      </w:r>
    </w:p>
    <w:p w14:paraId="7B59A19F" w14:textId="770E5BD4" w:rsidR="00CA472D" w:rsidRPr="004D0DC2" w:rsidRDefault="00CA472D" w:rsidP="00CA472D">
      <w:pPr>
        <w:pStyle w:val="ListParagraph"/>
        <w:numPr>
          <w:ilvl w:val="1"/>
          <w:numId w:val="27"/>
        </w:numPr>
        <w:spacing w:after="240"/>
        <w:ind w:left="720"/>
        <w:contextualSpacing w:val="0"/>
      </w:pPr>
      <w:r w:rsidRPr="004D0DC2">
        <w:t>When the prime Contractor demonstrates to the CDE that the name of the subcontractor was listed as a result of an inadvertent clerical error.</w:t>
      </w:r>
    </w:p>
    <w:p w14:paraId="389A40EE" w14:textId="77777777" w:rsidR="00CA472D" w:rsidRPr="004D0DC2" w:rsidRDefault="00CA472D" w:rsidP="00CA472D">
      <w:pPr>
        <w:pStyle w:val="ListParagraph"/>
        <w:numPr>
          <w:ilvl w:val="1"/>
          <w:numId w:val="27"/>
        </w:numPr>
        <w:spacing w:after="240"/>
        <w:ind w:left="720"/>
        <w:contextualSpacing w:val="0"/>
      </w:pPr>
      <w:r w:rsidRPr="004D0DC2">
        <w:t>When the listed subcontractor is not licensed pursuant to the Contractor’s License Law, if applicable, or any applicable licensing requirement of any regulatory agency of the State of California.</w:t>
      </w:r>
    </w:p>
    <w:p w14:paraId="10B9C128" w14:textId="77777777" w:rsidR="00CA472D" w:rsidRPr="004D0DC2" w:rsidRDefault="00CA472D" w:rsidP="00CA472D">
      <w:pPr>
        <w:pStyle w:val="ListParagraph"/>
        <w:numPr>
          <w:ilvl w:val="1"/>
          <w:numId w:val="27"/>
        </w:numPr>
        <w:spacing w:after="240"/>
        <w:ind w:left="720"/>
        <w:contextualSpacing w:val="0"/>
      </w:pPr>
      <w:r w:rsidRPr="004D0DC2">
        <w:lastRenderedPageBreak/>
        <w:t>When the CDE determines that the work performed by the listed subcontractor is substantially unsatisfactory and not in substantial accordance with the plans and specifications, or that the subcontractor is substantially delaying or disrupting the progress of the work.</w:t>
      </w:r>
    </w:p>
    <w:p w14:paraId="4133D514" w14:textId="77777777" w:rsidR="00CA472D" w:rsidRPr="004D0DC2" w:rsidRDefault="00CA472D" w:rsidP="00CA472D">
      <w:pPr>
        <w:pStyle w:val="ListParagraph"/>
        <w:spacing w:after="240"/>
        <w:ind w:left="360"/>
        <w:contextualSpacing w:val="0"/>
      </w:pPr>
      <w:r w:rsidRPr="004D0DC2">
        <w:t>The request and the State's approval or disapproval is NOT to be construed as an excuse for noncompliance with any other provision of law, including but not limited to the Subletting and Subcontracting Fair Practices Act or any other contract requirements relating to substitution of subcontractors.</w:t>
      </w:r>
    </w:p>
    <w:p w14:paraId="7C8226EB" w14:textId="7CE5C108" w:rsidR="00CA472D" w:rsidRPr="004D0DC2" w:rsidRDefault="00CA472D" w:rsidP="00CA472D">
      <w:pPr>
        <w:spacing w:after="240"/>
        <w:ind w:left="360"/>
      </w:pPr>
      <w:r w:rsidRPr="004D0DC2">
        <w:t>Failure to adhere to at least the DVBE participation proposed by the Contractor may be cause for contract termination and recovery of damages under the rights and remedies due the State under the default section of the contract.</w:t>
      </w:r>
    </w:p>
    <w:p w14:paraId="57B53736" w14:textId="1C559ECD" w:rsidR="00CA472D" w:rsidRPr="004D0DC2" w:rsidRDefault="00CA472D" w:rsidP="00CA472D">
      <w:pPr>
        <w:pStyle w:val="ListParagraph"/>
        <w:numPr>
          <w:ilvl w:val="0"/>
          <w:numId w:val="28"/>
        </w:numPr>
        <w:spacing w:after="240"/>
        <w:ind w:left="360"/>
        <w:contextualSpacing w:val="0"/>
      </w:pPr>
      <w:r w:rsidRPr="004D0DC2">
        <w:t>Reporting: The Contractor must complete and provide an accurate Prime Contractor’s Certification – DVBE Subcontracting Report (STD. 817) and proof of payment to DVBE(s) upon contract completion with the final invoice. The Contractor must provide any additional report(s) of actual participation by DVBE</w:t>
      </w:r>
      <w:r w:rsidR="00EF3B33" w:rsidRPr="004D0DC2">
        <w:t>(</w:t>
      </w:r>
      <w:r w:rsidRPr="004D0DC2">
        <w:t>s</w:t>
      </w:r>
      <w:r w:rsidR="00EF3B33" w:rsidRPr="004D0DC2">
        <w:t>)</w:t>
      </w:r>
      <w:r w:rsidRPr="004D0DC2">
        <w:t xml:space="preserve"> (by dollar amount and category) as may be required by the CDE to document compliance.</w:t>
      </w:r>
    </w:p>
    <w:p w14:paraId="5E1401F6" w14:textId="2AC209DB" w:rsidR="00CA472D" w:rsidRPr="004D0DC2" w:rsidRDefault="00CA472D" w:rsidP="00CA472D">
      <w:pPr>
        <w:pStyle w:val="ListParagraph"/>
        <w:spacing w:after="240"/>
        <w:ind w:left="360"/>
        <w:contextualSpacing w:val="0"/>
      </w:pPr>
      <w:r w:rsidRPr="004D0DC2">
        <w:t>An amount of $10,000.00, or full amount of the final invoice if less than $10,000.00, from the Contractor’s final payment will be withheld pending receipt of a complete and accurate STD. 817 and proof of payment to the DVBE(s).</w:t>
      </w:r>
    </w:p>
    <w:p w14:paraId="409C110F" w14:textId="1E0F0C4E" w:rsidR="00CA472D" w:rsidRPr="004D0DC2" w:rsidRDefault="00CA472D" w:rsidP="00CA472D">
      <w:pPr>
        <w:pStyle w:val="ListParagraph"/>
        <w:spacing w:after="240"/>
        <w:ind w:left="360"/>
        <w:contextualSpacing w:val="0"/>
        <w:rPr>
          <w:rFonts w:cs="Arial"/>
          <w:szCs w:val="24"/>
        </w:rPr>
      </w:pPr>
      <w:r w:rsidRPr="004D0DC2">
        <w:rPr>
          <w:rFonts w:cs="Arial"/>
          <w:szCs w:val="24"/>
        </w:rPr>
        <w:t xml:space="preserve">If the </w:t>
      </w:r>
      <w:r w:rsidR="00B435C6" w:rsidRPr="004D0DC2">
        <w:rPr>
          <w:rFonts w:cs="Arial"/>
          <w:szCs w:val="24"/>
        </w:rPr>
        <w:t>STD</w:t>
      </w:r>
      <w:r w:rsidRPr="004D0DC2">
        <w:rPr>
          <w:rFonts w:cs="Arial"/>
          <w:szCs w:val="24"/>
        </w:rPr>
        <w:t>. 817 form is late or incomplete, the State will allow the Contractor to cure within 30 days to meet the certification requirements.</w:t>
      </w:r>
    </w:p>
    <w:p w14:paraId="38015C2B" w14:textId="77777777" w:rsidR="00CA472D" w:rsidRPr="004D0DC2" w:rsidRDefault="00CA472D" w:rsidP="00CA472D">
      <w:pPr>
        <w:pStyle w:val="ListParagraph"/>
        <w:spacing w:after="240"/>
        <w:ind w:left="360"/>
        <w:contextualSpacing w:val="0"/>
        <w:rPr>
          <w:rFonts w:cs="Arial"/>
          <w:szCs w:val="24"/>
        </w:rPr>
      </w:pPr>
      <w:r w:rsidRPr="004D0DC2">
        <w:rPr>
          <w:rFonts w:cs="Arial"/>
          <w:szCs w:val="24"/>
        </w:rPr>
        <w:t>If the Contractor does not comply by the given deadline, the withheld amount will be permanently deducted.</w:t>
      </w:r>
    </w:p>
    <w:p w14:paraId="7A2D5063" w14:textId="4FBAF864" w:rsidR="00CB24BA" w:rsidRPr="004D0DC2" w:rsidRDefault="00CA472D" w:rsidP="00CA472D">
      <w:pPr>
        <w:pStyle w:val="ListParagraph"/>
        <w:numPr>
          <w:ilvl w:val="0"/>
          <w:numId w:val="28"/>
        </w:numPr>
        <w:spacing w:after="240"/>
        <w:ind w:left="360"/>
        <w:contextualSpacing w:val="0"/>
      </w:pPr>
      <w:r w:rsidRPr="004D0DC2">
        <w:t>Compliance Audit: The Contractor must agree that the State or its designee will have the right to review, obtain, and copy all records pertaining to performance of the contract. The Contractor must agree to provide the State or its designee with any relevant information requested and shall permit the State or its designee access to its premises, upon reasonable notice, during normal business hours for the purpose of interviewing employees and inspecting and copying such books, records, accounts, and other material that may be relevant to a matter under investigation for the purpose of determining compliance with this requirement. The Contractor must further agree to maintain such records for a period of six years after final payment under the contract.</w:t>
      </w:r>
      <w:bookmarkEnd w:id="25"/>
    </w:p>
    <w:p w14:paraId="66175518" w14:textId="77777777" w:rsidR="009C0B7D" w:rsidRPr="00CA472D" w:rsidRDefault="009C0B7D" w:rsidP="005F0064">
      <w:pPr>
        <w:spacing w:after="240"/>
      </w:pPr>
    </w:p>
    <w:sectPr w:rsidR="009C0B7D" w:rsidRPr="00CA472D" w:rsidSect="003616B1">
      <w:footerReference w:type="default" r:id="rId51"/>
      <w:type w:val="continuous"/>
      <w:pgSz w:w="12240" w:h="15840"/>
      <w:pgMar w:top="720" w:right="116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EA2" w14:textId="77777777" w:rsidR="001D387E" w:rsidRDefault="001D387E" w:rsidP="002113D4">
      <w:r>
        <w:separator/>
      </w:r>
    </w:p>
    <w:p w14:paraId="217D8CA0" w14:textId="77777777" w:rsidR="001D387E" w:rsidRDefault="001D387E"/>
    <w:p w14:paraId="68888A33" w14:textId="77777777" w:rsidR="001D387E" w:rsidRDefault="001D387E"/>
  </w:endnote>
  <w:endnote w:type="continuationSeparator" w:id="0">
    <w:p w14:paraId="56E07F15" w14:textId="77777777" w:rsidR="001D387E" w:rsidRDefault="001D387E" w:rsidP="002113D4">
      <w:r>
        <w:continuationSeparator/>
      </w:r>
    </w:p>
    <w:p w14:paraId="7D78283C" w14:textId="77777777" w:rsidR="001D387E" w:rsidRDefault="001D387E"/>
    <w:p w14:paraId="05AC7D50" w14:textId="77777777" w:rsidR="001D387E" w:rsidRDefault="001D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683973"/>
      <w:docPartObj>
        <w:docPartGallery w:val="Page Numbers (Bottom of Page)"/>
        <w:docPartUnique/>
      </w:docPartObj>
    </w:sdtPr>
    <w:sdtEndPr>
      <w:rPr>
        <w:noProof/>
      </w:rPr>
    </w:sdtEndPr>
    <w:sdtContent>
      <w:p w14:paraId="3D8AD3A4" w14:textId="77777777" w:rsidR="002408FB" w:rsidRDefault="002408FB">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133485DB" w14:textId="77777777" w:rsidR="002408FB" w:rsidRDefault="002408FB"/>
  <w:p w14:paraId="69CAAEB5" w14:textId="77777777" w:rsidR="002408FB" w:rsidRDefault="002408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3DC2" w14:textId="77777777" w:rsidR="001D387E" w:rsidRDefault="001D387E" w:rsidP="002113D4">
      <w:r>
        <w:separator/>
      </w:r>
    </w:p>
    <w:p w14:paraId="64A33FB9" w14:textId="77777777" w:rsidR="001D387E" w:rsidRDefault="001D387E"/>
    <w:p w14:paraId="65D08CF9" w14:textId="77777777" w:rsidR="001D387E" w:rsidRDefault="001D387E"/>
  </w:footnote>
  <w:footnote w:type="continuationSeparator" w:id="0">
    <w:p w14:paraId="4CC6AAD7" w14:textId="77777777" w:rsidR="001D387E" w:rsidRDefault="001D387E" w:rsidP="002113D4">
      <w:r>
        <w:continuationSeparator/>
      </w:r>
    </w:p>
    <w:p w14:paraId="7C94C7E1" w14:textId="77777777" w:rsidR="001D387E" w:rsidRDefault="001D387E"/>
    <w:p w14:paraId="72C4F168" w14:textId="77777777" w:rsidR="001D387E" w:rsidRDefault="001D38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81"/>
    <w:multiLevelType w:val="hybridMultilevel"/>
    <w:tmpl w:val="CFF80A2E"/>
    <w:lvl w:ilvl="0" w:tplc="E46201BE">
      <w:start w:val="1"/>
      <w:numFmt w:val="decimal"/>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00FEF"/>
    <w:multiLevelType w:val="hybridMultilevel"/>
    <w:tmpl w:val="55CA8A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8B8395D"/>
    <w:multiLevelType w:val="hybridMultilevel"/>
    <w:tmpl w:val="316672B4"/>
    <w:lvl w:ilvl="0" w:tplc="CD082BDA">
      <w:start w:val="1"/>
      <w:numFmt w:val="upperLetter"/>
      <w:lvlText w:val="%1."/>
      <w:lvlJc w:val="left"/>
      <w:pPr>
        <w:ind w:left="720" w:hanging="360"/>
      </w:pPr>
      <w:rPr>
        <w:rFonts w:eastAsia="Times New Roman"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57A7C"/>
    <w:multiLevelType w:val="hybridMultilevel"/>
    <w:tmpl w:val="ACD043EC"/>
    <w:lvl w:ilvl="0" w:tplc="04090015">
      <w:start w:val="1"/>
      <w:numFmt w:val="upperLetter"/>
      <w:lvlText w:val="%1."/>
      <w:lvlJc w:val="left"/>
      <w:pPr>
        <w:ind w:left="360" w:hanging="720"/>
      </w:pPr>
      <w:rPr>
        <w:rFonts w:hint="default"/>
      </w:rPr>
    </w:lvl>
    <w:lvl w:ilvl="1" w:tplc="6FB2766A">
      <w:start w:val="1"/>
      <w:numFmt w:val="decimal"/>
      <w:lvlText w:val="%2."/>
      <w:lvlJc w:val="left"/>
      <w:pPr>
        <w:ind w:left="1080" w:hanging="72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B5A34AA"/>
    <w:multiLevelType w:val="hybridMultilevel"/>
    <w:tmpl w:val="2A42A2C0"/>
    <w:lvl w:ilvl="0" w:tplc="E14A730A">
      <w:start w:val="1"/>
      <w:numFmt w:val="decimal"/>
      <w:lvlText w:val="%1."/>
      <w:lvlJc w:val="left"/>
      <w:pPr>
        <w:ind w:left="2160" w:hanging="180"/>
      </w:pPr>
      <w:rPr>
        <w:b w:val="0"/>
        <w:color w:val="auto"/>
      </w:rPr>
    </w:lvl>
    <w:lvl w:ilvl="1" w:tplc="2FC89700">
      <w:start w:val="1"/>
      <w:numFmt w:val="upperLetter"/>
      <w:lvlText w:val="%2."/>
      <w:lvlJc w:val="left"/>
      <w:pPr>
        <w:ind w:left="18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D7C4C"/>
    <w:multiLevelType w:val="hybridMultilevel"/>
    <w:tmpl w:val="B7826D54"/>
    <w:lvl w:ilvl="0" w:tplc="04090015">
      <w:start w:val="1"/>
      <w:numFmt w:val="upperLetter"/>
      <w:lvlText w:val="%1."/>
      <w:lvlJc w:val="left"/>
      <w:pPr>
        <w:ind w:left="720" w:hanging="360"/>
      </w:pPr>
    </w:lvl>
    <w:lvl w:ilvl="1" w:tplc="98847454">
      <w:start w:val="1"/>
      <w:numFmt w:val="upp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2021C"/>
    <w:multiLevelType w:val="hybridMultilevel"/>
    <w:tmpl w:val="22E04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C7894"/>
    <w:multiLevelType w:val="hybridMultilevel"/>
    <w:tmpl w:val="332C69D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6D208D"/>
    <w:multiLevelType w:val="hybridMultilevel"/>
    <w:tmpl w:val="38B85928"/>
    <w:lvl w:ilvl="0" w:tplc="C60EC0EC">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3214F"/>
    <w:multiLevelType w:val="hybridMultilevel"/>
    <w:tmpl w:val="1E18E922"/>
    <w:lvl w:ilvl="0" w:tplc="D062E90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C66BD"/>
    <w:multiLevelType w:val="hybridMultilevel"/>
    <w:tmpl w:val="CE624306"/>
    <w:lvl w:ilvl="0" w:tplc="8ADA6C38">
      <w:start w:val="1"/>
      <w:numFmt w:val="upp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46C3D"/>
    <w:multiLevelType w:val="hybridMultilevel"/>
    <w:tmpl w:val="7ED2CF4A"/>
    <w:lvl w:ilvl="0" w:tplc="7974D49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2632C2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24573"/>
    <w:multiLevelType w:val="hybridMultilevel"/>
    <w:tmpl w:val="101C5084"/>
    <w:lvl w:ilvl="0" w:tplc="E09EAA8C">
      <w:start w:val="2"/>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D6108"/>
    <w:multiLevelType w:val="hybridMultilevel"/>
    <w:tmpl w:val="4FDC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C0D70"/>
    <w:multiLevelType w:val="hybridMultilevel"/>
    <w:tmpl w:val="707837A0"/>
    <w:lvl w:ilvl="0" w:tplc="DBEC92E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B5ABC"/>
    <w:multiLevelType w:val="hybridMultilevel"/>
    <w:tmpl w:val="518E3C5C"/>
    <w:lvl w:ilvl="0" w:tplc="BAA83C64">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680602"/>
    <w:multiLevelType w:val="hybridMultilevel"/>
    <w:tmpl w:val="6A886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74D34"/>
    <w:multiLevelType w:val="hybridMultilevel"/>
    <w:tmpl w:val="056C7386"/>
    <w:lvl w:ilvl="0" w:tplc="6DB0593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506072"/>
    <w:multiLevelType w:val="hybridMultilevel"/>
    <w:tmpl w:val="27822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736C9"/>
    <w:multiLevelType w:val="hybridMultilevel"/>
    <w:tmpl w:val="16B2EE4A"/>
    <w:lvl w:ilvl="0" w:tplc="0409000F">
      <w:start w:val="1"/>
      <w:numFmt w:val="decimal"/>
      <w:lvlText w:val="%1."/>
      <w:lvlJc w:val="left"/>
      <w:pPr>
        <w:tabs>
          <w:tab w:val="num" w:pos="1095"/>
        </w:tabs>
        <w:ind w:left="1095"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0" w15:restartNumberingAfterBreak="0">
    <w:nsid w:val="32F17FBB"/>
    <w:multiLevelType w:val="hybridMultilevel"/>
    <w:tmpl w:val="10AA967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D80041"/>
    <w:multiLevelType w:val="hybridMultilevel"/>
    <w:tmpl w:val="FE5A6C72"/>
    <w:lvl w:ilvl="0" w:tplc="0409000F">
      <w:start w:val="1"/>
      <w:numFmt w:val="decimal"/>
      <w:lvlText w:val="%1."/>
      <w:lvlJc w:val="left"/>
      <w:pPr>
        <w:ind w:left="720" w:hanging="360"/>
      </w:pPr>
    </w:lvl>
    <w:lvl w:ilvl="1" w:tplc="DF76616C">
      <w:start w:val="1"/>
      <w:numFmt w:val="upperLetter"/>
      <w:lvlText w:val="%2."/>
      <w:lvlJc w:val="left"/>
      <w:pPr>
        <w:ind w:left="3870" w:hanging="720"/>
      </w:pPr>
      <w:rPr>
        <w:rFonts w:hint="default"/>
        <w:b w:val="0"/>
        <w:sz w:val="24"/>
        <w:szCs w:val="24"/>
      </w:rPr>
    </w:lvl>
    <w:lvl w:ilvl="2" w:tplc="CFCA0AD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E51C1"/>
    <w:multiLevelType w:val="hybridMultilevel"/>
    <w:tmpl w:val="1C6E132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FF1298"/>
    <w:multiLevelType w:val="hybridMultilevel"/>
    <w:tmpl w:val="FACC0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A0251D"/>
    <w:multiLevelType w:val="hybridMultilevel"/>
    <w:tmpl w:val="5362554E"/>
    <w:lvl w:ilvl="0" w:tplc="097E92C2">
      <w:start w:val="1"/>
      <w:numFmt w:val="decimal"/>
      <w:lvlText w:val="%1."/>
      <w:lvlJc w:val="left"/>
      <w:pPr>
        <w:ind w:left="1170" w:hanging="360"/>
      </w:pPr>
      <w:rPr>
        <w:rFonts w:ascii="Arial" w:eastAsia="Calibri" w:hAnsi="Arial" w:cs="Times New Roman"/>
      </w:rPr>
    </w:lvl>
    <w:lvl w:ilvl="1" w:tplc="F802E9B0">
      <w:start w:val="1"/>
      <w:numFmt w:val="upperLetter"/>
      <w:lvlText w:val="%2."/>
      <w:lvlJc w:val="left"/>
      <w:pPr>
        <w:ind w:left="2250" w:hanging="720"/>
      </w:pPr>
      <w:rPr>
        <w:rFonts w:hint="default"/>
        <w:color w:val="auto"/>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85C5EBC"/>
    <w:multiLevelType w:val="hybridMultilevel"/>
    <w:tmpl w:val="8F6CC0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050E6"/>
    <w:multiLevelType w:val="hybridMultilevel"/>
    <w:tmpl w:val="3036E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965EAA"/>
    <w:multiLevelType w:val="hybridMultilevel"/>
    <w:tmpl w:val="9DAEAE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76414"/>
    <w:multiLevelType w:val="hybridMultilevel"/>
    <w:tmpl w:val="CBBECE9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571F8C"/>
    <w:multiLevelType w:val="hybridMultilevel"/>
    <w:tmpl w:val="D4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91C7D"/>
    <w:multiLevelType w:val="hybridMultilevel"/>
    <w:tmpl w:val="16A4D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C34351"/>
    <w:multiLevelType w:val="hybridMultilevel"/>
    <w:tmpl w:val="6038B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03F49"/>
    <w:multiLevelType w:val="hybridMultilevel"/>
    <w:tmpl w:val="4C7ECE34"/>
    <w:lvl w:ilvl="0" w:tplc="DBEC92E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5B50F2"/>
    <w:multiLevelType w:val="hybridMultilevel"/>
    <w:tmpl w:val="419081F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A436CE"/>
    <w:multiLevelType w:val="hybridMultilevel"/>
    <w:tmpl w:val="861A312C"/>
    <w:lvl w:ilvl="0" w:tplc="63845AD4">
      <w:start w:val="11"/>
      <w:numFmt w:val="decimal"/>
      <w:lvlText w:val="%1."/>
      <w:lvlJc w:val="left"/>
      <w:pPr>
        <w:ind w:left="360" w:hanging="360"/>
      </w:pPr>
      <w:rPr>
        <w:rFonts w:hint="default"/>
      </w:rPr>
    </w:lvl>
    <w:lvl w:ilvl="1" w:tplc="CF301308">
      <w:start w:val="1"/>
      <w:numFmt w:val="upperLetter"/>
      <w:lvlText w:val="%2."/>
      <w:lvlJc w:val="left"/>
      <w:pPr>
        <w:ind w:left="18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1C135D"/>
    <w:multiLevelType w:val="hybridMultilevel"/>
    <w:tmpl w:val="81E6CE82"/>
    <w:lvl w:ilvl="0" w:tplc="04090015">
      <w:start w:val="1"/>
      <w:numFmt w:val="upperLetter"/>
      <w:lvlText w:val="%1."/>
      <w:lvlJc w:val="left"/>
      <w:pPr>
        <w:ind w:left="2160" w:hanging="360"/>
      </w:pPr>
    </w:lvl>
    <w:lvl w:ilvl="1" w:tplc="D6B8E1A8">
      <w:start w:val="1"/>
      <w:numFmt w:val="decimal"/>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6FC4B73"/>
    <w:multiLevelType w:val="hybridMultilevel"/>
    <w:tmpl w:val="BCA6AF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CE5550"/>
    <w:multiLevelType w:val="hybridMultilevel"/>
    <w:tmpl w:val="330E27CA"/>
    <w:lvl w:ilvl="0" w:tplc="F802E9B0">
      <w:start w:val="1"/>
      <w:numFmt w:val="upperLetter"/>
      <w:lvlText w:val="%1."/>
      <w:lvlJc w:val="left"/>
      <w:pPr>
        <w:ind w:left="225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11F60"/>
    <w:multiLevelType w:val="hybridMultilevel"/>
    <w:tmpl w:val="5FCA4628"/>
    <w:lvl w:ilvl="0" w:tplc="1ACC480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5BCC5FF6"/>
    <w:multiLevelType w:val="hybridMultilevel"/>
    <w:tmpl w:val="4C50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200388"/>
    <w:multiLevelType w:val="hybridMultilevel"/>
    <w:tmpl w:val="447CCFA2"/>
    <w:lvl w:ilvl="0" w:tplc="DBEC92EE">
      <w:numFmt w:val="bullet"/>
      <w:lvlText w:val="•"/>
      <w:lvlJc w:val="left"/>
      <w:pPr>
        <w:ind w:left="1800" w:hanging="72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C446A9F"/>
    <w:multiLevelType w:val="hybridMultilevel"/>
    <w:tmpl w:val="23328640"/>
    <w:lvl w:ilvl="0" w:tplc="0409000F">
      <w:start w:val="1"/>
      <w:numFmt w:val="decimal"/>
      <w:lvlText w:val="%1."/>
      <w:lvlJc w:val="left"/>
      <w:pPr>
        <w:ind w:left="42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D5F18"/>
    <w:multiLevelType w:val="multilevel"/>
    <w:tmpl w:val="D578F850"/>
    <w:lvl w:ilvl="0">
      <w:start w:val="1"/>
      <w:numFmt w:val="upperLetter"/>
      <w:lvlText w:val="%1."/>
      <w:lvlJc w:val="lef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F4A7442"/>
    <w:multiLevelType w:val="multilevel"/>
    <w:tmpl w:val="63226D78"/>
    <w:lvl w:ilvl="0">
      <w:start w:val="1"/>
      <w:numFmt w:val="upperLetter"/>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0FF5040"/>
    <w:multiLevelType w:val="hybridMultilevel"/>
    <w:tmpl w:val="EBC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0B4BE6"/>
    <w:multiLevelType w:val="multilevel"/>
    <w:tmpl w:val="9E9086B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4607430"/>
    <w:multiLevelType w:val="hybridMultilevel"/>
    <w:tmpl w:val="917CEE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A53886"/>
    <w:multiLevelType w:val="hybridMultilevel"/>
    <w:tmpl w:val="EAEE3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9467D8B"/>
    <w:multiLevelType w:val="hybridMultilevel"/>
    <w:tmpl w:val="3D4E2A7E"/>
    <w:lvl w:ilvl="0" w:tplc="7DBE8624">
      <w:start w:val="1"/>
      <w:numFmt w:val="lowerLetter"/>
      <w:lvlText w:val="%1."/>
      <w:lvlJc w:val="left"/>
      <w:pPr>
        <w:ind w:left="1080" w:hanging="360"/>
      </w:pPr>
      <w:rPr>
        <w:rFonts w:hint="default"/>
        <w:b w:val="0"/>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A4E6FC8"/>
    <w:multiLevelType w:val="hybridMultilevel"/>
    <w:tmpl w:val="E8C8D0E2"/>
    <w:lvl w:ilvl="0" w:tplc="1944C0AC">
      <w:start w:val="1"/>
      <w:numFmt w:val="lowerLetter"/>
      <w:lvlText w:val="%1."/>
      <w:lvlJc w:val="left"/>
      <w:pPr>
        <w:ind w:left="1080" w:hanging="360"/>
      </w:pPr>
      <w:rPr>
        <w:rFonts w:hint="default"/>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6D5025"/>
    <w:multiLevelType w:val="hybridMultilevel"/>
    <w:tmpl w:val="A920CF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7C15DF"/>
    <w:multiLevelType w:val="hybridMultilevel"/>
    <w:tmpl w:val="9A1CC4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336952">
    <w:abstractNumId w:val="24"/>
  </w:num>
  <w:num w:numId="2" w16cid:durableId="610476148">
    <w:abstractNumId w:val="13"/>
  </w:num>
  <w:num w:numId="3" w16cid:durableId="2043431309">
    <w:abstractNumId w:val="2"/>
  </w:num>
  <w:num w:numId="4" w16cid:durableId="1894850202">
    <w:abstractNumId w:val="27"/>
  </w:num>
  <w:num w:numId="5" w16cid:durableId="1117286656">
    <w:abstractNumId w:val="41"/>
  </w:num>
  <w:num w:numId="6" w16cid:durableId="1271744933">
    <w:abstractNumId w:val="11"/>
  </w:num>
  <w:num w:numId="7" w16cid:durableId="32468525">
    <w:abstractNumId w:val="49"/>
  </w:num>
  <w:num w:numId="8" w16cid:durableId="1922788699">
    <w:abstractNumId w:val="35"/>
  </w:num>
  <w:num w:numId="9" w16cid:durableId="534732624">
    <w:abstractNumId w:val="34"/>
  </w:num>
  <w:num w:numId="10" w16cid:durableId="1368875914">
    <w:abstractNumId w:val="38"/>
  </w:num>
  <w:num w:numId="11" w16cid:durableId="1522664118">
    <w:abstractNumId w:val="6"/>
  </w:num>
  <w:num w:numId="12" w16cid:durableId="492601164">
    <w:abstractNumId w:val="8"/>
  </w:num>
  <w:num w:numId="13" w16cid:durableId="1687515627">
    <w:abstractNumId w:val="10"/>
  </w:num>
  <w:num w:numId="14" w16cid:durableId="1813674821">
    <w:abstractNumId w:val="29"/>
  </w:num>
  <w:num w:numId="15" w16cid:durableId="175995943">
    <w:abstractNumId w:val="48"/>
  </w:num>
  <w:num w:numId="16" w16cid:durableId="63113773">
    <w:abstractNumId w:val="0"/>
  </w:num>
  <w:num w:numId="17" w16cid:durableId="1761178930">
    <w:abstractNumId w:val="23"/>
  </w:num>
  <w:num w:numId="18" w16cid:durableId="288708230">
    <w:abstractNumId w:val="50"/>
  </w:num>
  <w:num w:numId="19" w16cid:durableId="1663045486">
    <w:abstractNumId w:val="36"/>
  </w:num>
  <w:num w:numId="20" w16cid:durableId="1609846169">
    <w:abstractNumId w:val="1"/>
  </w:num>
  <w:num w:numId="21" w16cid:durableId="1209105039">
    <w:abstractNumId w:val="4"/>
  </w:num>
  <w:num w:numId="22" w16cid:durableId="1783498630">
    <w:abstractNumId w:val="14"/>
  </w:num>
  <w:num w:numId="23" w16cid:durableId="2084328012">
    <w:abstractNumId w:val="18"/>
  </w:num>
  <w:num w:numId="24" w16cid:durableId="1458910271">
    <w:abstractNumId w:val="28"/>
  </w:num>
  <w:num w:numId="25" w16cid:durableId="1136946046">
    <w:abstractNumId w:val="51"/>
  </w:num>
  <w:num w:numId="26" w16cid:durableId="1808473321">
    <w:abstractNumId w:val="15"/>
  </w:num>
  <w:num w:numId="27" w16cid:durableId="906694238">
    <w:abstractNumId w:val="20"/>
  </w:num>
  <w:num w:numId="28" w16cid:durableId="150946096">
    <w:abstractNumId w:val="12"/>
  </w:num>
  <w:num w:numId="29" w16cid:durableId="2144035856">
    <w:abstractNumId w:val="19"/>
  </w:num>
  <w:num w:numId="30" w16cid:durableId="1081411365">
    <w:abstractNumId w:val="21"/>
  </w:num>
  <w:num w:numId="31" w16cid:durableId="1896819717">
    <w:abstractNumId w:val="45"/>
  </w:num>
  <w:num w:numId="32" w16cid:durableId="885677470">
    <w:abstractNumId w:val="43"/>
  </w:num>
  <w:num w:numId="33" w16cid:durableId="782654717">
    <w:abstractNumId w:val="37"/>
  </w:num>
  <w:num w:numId="34" w16cid:durableId="461117548">
    <w:abstractNumId w:val="46"/>
  </w:num>
  <w:num w:numId="35" w16cid:durableId="1481456962">
    <w:abstractNumId w:val="3"/>
  </w:num>
  <w:num w:numId="36" w16cid:durableId="428237203">
    <w:abstractNumId w:val="32"/>
  </w:num>
  <w:num w:numId="37" w16cid:durableId="216086554">
    <w:abstractNumId w:val="40"/>
  </w:num>
  <w:num w:numId="38" w16cid:durableId="206917776">
    <w:abstractNumId w:val="30"/>
  </w:num>
  <w:num w:numId="39" w16cid:durableId="1198592202">
    <w:abstractNumId w:val="44"/>
  </w:num>
  <w:num w:numId="40" w16cid:durableId="1815754146">
    <w:abstractNumId w:val="9"/>
  </w:num>
  <w:num w:numId="41" w16cid:durableId="2058314736">
    <w:abstractNumId w:val="17"/>
  </w:num>
  <w:num w:numId="42" w16cid:durableId="183443509">
    <w:abstractNumId w:val="47"/>
  </w:num>
  <w:num w:numId="43" w16cid:durableId="1871260934">
    <w:abstractNumId w:val="39"/>
  </w:num>
  <w:num w:numId="44" w16cid:durableId="44380059">
    <w:abstractNumId w:val="5"/>
  </w:num>
  <w:num w:numId="45" w16cid:durableId="1671827674">
    <w:abstractNumId w:val="42"/>
  </w:num>
  <w:num w:numId="46" w16cid:durableId="113402918">
    <w:abstractNumId w:val="7"/>
  </w:num>
  <w:num w:numId="47" w16cid:durableId="1317300715">
    <w:abstractNumId w:val="25"/>
  </w:num>
  <w:num w:numId="48" w16cid:durableId="905258021">
    <w:abstractNumId w:val="33"/>
  </w:num>
  <w:num w:numId="49" w16cid:durableId="2083982320">
    <w:abstractNumId w:val="16"/>
  </w:num>
  <w:num w:numId="50" w16cid:durableId="1576165116">
    <w:abstractNumId w:val="22"/>
  </w:num>
  <w:num w:numId="51" w16cid:durableId="117795218">
    <w:abstractNumId w:val="31"/>
  </w:num>
  <w:num w:numId="52" w16cid:durableId="926697381">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NDM0MjY3MTA0sTBV0lEKTi0uzszPAykwrAUARTT72iwAAAA="/>
  </w:docVars>
  <w:rsids>
    <w:rsidRoot w:val="00D658A4"/>
    <w:rsid w:val="00000DAE"/>
    <w:rsid w:val="0000104B"/>
    <w:rsid w:val="000016F6"/>
    <w:rsid w:val="00001A5F"/>
    <w:rsid w:val="00001B93"/>
    <w:rsid w:val="00001FA2"/>
    <w:rsid w:val="000021F4"/>
    <w:rsid w:val="00002C3F"/>
    <w:rsid w:val="00002CB5"/>
    <w:rsid w:val="00002DEF"/>
    <w:rsid w:val="00003514"/>
    <w:rsid w:val="00003FC4"/>
    <w:rsid w:val="000055B7"/>
    <w:rsid w:val="00005D24"/>
    <w:rsid w:val="000072DC"/>
    <w:rsid w:val="00007383"/>
    <w:rsid w:val="00010284"/>
    <w:rsid w:val="0001056B"/>
    <w:rsid w:val="0001088D"/>
    <w:rsid w:val="0001121F"/>
    <w:rsid w:val="000131E7"/>
    <w:rsid w:val="000137BA"/>
    <w:rsid w:val="00014869"/>
    <w:rsid w:val="000152A8"/>
    <w:rsid w:val="00015B76"/>
    <w:rsid w:val="000160E1"/>
    <w:rsid w:val="00016FB2"/>
    <w:rsid w:val="0001784B"/>
    <w:rsid w:val="00017DAE"/>
    <w:rsid w:val="00020686"/>
    <w:rsid w:val="00020BDC"/>
    <w:rsid w:val="00020D63"/>
    <w:rsid w:val="00021415"/>
    <w:rsid w:val="0002167F"/>
    <w:rsid w:val="0002172F"/>
    <w:rsid w:val="00021B70"/>
    <w:rsid w:val="00022538"/>
    <w:rsid w:val="000232D7"/>
    <w:rsid w:val="00023440"/>
    <w:rsid w:val="00024503"/>
    <w:rsid w:val="00024530"/>
    <w:rsid w:val="000252BD"/>
    <w:rsid w:val="0002661D"/>
    <w:rsid w:val="00026DF4"/>
    <w:rsid w:val="00027857"/>
    <w:rsid w:val="00027966"/>
    <w:rsid w:val="00027EED"/>
    <w:rsid w:val="00031AFF"/>
    <w:rsid w:val="000320A4"/>
    <w:rsid w:val="00032588"/>
    <w:rsid w:val="00032D2D"/>
    <w:rsid w:val="00034C06"/>
    <w:rsid w:val="000357CD"/>
    <w:rsid w:val="00035ED4"/>
    <w:rsid w:val="00037E92"/>
    <w:rsid w:val="0004146B"/>
    <w:rsid w:val="0004324B"/>
    <w:rsid w:val="00043CFE"/>
    <w:rsid w:val="0004531E"/>
    <w:rsid w:val="00045FBD"/>
    <w:rsid w:val="00050212"/>
    <w:rsid w:val="00050DF5"/>
    <w:rsid w:val="000513AD"/>
    <w:rsid w:val="000522BA"/>
    <w:rsid w:val="00052D25"/>
    <w:rsid w:val="00052F3C"/>
    <w:rsid w:val="00053344"/>
    <w:rsid w:val="00053AD6"/>
    <w:rsid w:val="00053E23"/>
    <w:rsid w:val="00054FC3"/>
    <w:rsid w:val="0005585A"/>
    <w:rsid w:val="00060BFC"/>
    <w:rsid w:val="00062916"/>
    <w:rsid w:val="00062A42"/>
    <w:rsid w:val="00063A91"/>
    <w:rsid w:val="00063F5C"/>
    <w:rsid w:val="000640C1"/>
    <w:rsid w:val="000653A0"/>
    <w:rsid w:val="000662B8"/>
    <w:rsid w:val="0006632F"/>
    <w:rsid w:val="000670D5"/>
    <w:rsid w:val="0006751E"/>
    <w:rsid w:val="00070726"/>
    <w:rsid w:val="00070BFC"/>
    <w:rsid w:val="00071351"/>
    <w:rsid w:val="00071C10"/>
    <w:rsid w:val="000735B5"/>
    <w:rsid w:val="00073DCB"/>
    <w:rsid w:val="0007503A"/>
    <w:rsid w:val="00075567"/>
    <w:rsid w:val="00076443"/>
    <w:rsid w:val="000776AB"/>
    <w:rsid w:val="000807D7"/>
    <w:rsid w:val="000808A8"/>
    <w:rsid w:val="00080B36"/>
    <w:rsid w:val="000813E9"/>
    <w:rsid w:val="000814AF"/>
    <w:rsid w:val="00082AB0"/>
    <w:rsid w:val="00082C3F"/>
    <w:rsid w:val="000831FF"/>
    <w:rsid w:val="0008572D"/>
    <w:rsid w:val="0009140F"/>
    <w:rsid w:val="0009408F"/>
    <w:rsid w:val="00094214"/>
    <w:rsid w:val="00094231"/>
    <w:rsid w:val="000945FF"/>
    <w:rsid w:val="000954EF"/>
    <w:rsid w:val="00096132"/>
    <w:rsid w:val="00096626"/>
    <w:rsid w:val="000A1E8B"/>
    <w:rsid w:val="000A1F69"/>
    <w:rsid w:val="000A2447"/>
    <w:rsid w:val="000A2C70"/>
    <w:rsid w:val="000A34AC"/>
    <w:rsid w:val="000A7609"/>
    <w:rsid w:val="000A7DBF"/>
    <w:rsid w:val="000B0643"/>
    <w:rsid w:val="000B16E7"/>
    <w:rsid w:val="000B1AB1"/>
    <w:rsid w:val="000B3F0D"/>
    <w:rsid w:val="000B4902"/>
    <w:rsid w:val="000B7C14"/>
    <w:rsid w:val="000C00DF"/>
    <w:rsid w:val="000C113F"/>
    <w:rsid w:val="000C1D70"/>
    <w:rsid w:val="000C3472"/>
    <w:rsid w:val="000C34EE"/>
    <w:rsid w:val="000C3DCA"/>
    <w:rsid w:val="000C3E27"/>
    <w:rsid w:val="000C44B6"/>
    <w:rsid w:val="000C4DF7"/>
    <w:rsid w:val="000C528D"/>
    <w:rsid w:val="000C7F5F"/>
    <w:rsid w:val="000D0658"/>
    <w:rsid w:val="000D0F08"/>
    <w:rsid w:val="000D3F49"/>
    <w:rsid w:val="000D4677"/>
    <w:rsid w:val="000D4ADC"/>
    <w:rsid w:val="000D5680"/>
    <w:rsid w:val="000D5A75"/>
    <w:rsid w:val="000D6297"/>
    <w:rsid w:val="000D71E4"/>
    <w:rsid w:val="000E07AD"/>
    <w:rsid w:val="000E0E5B"/>
    <w:rsid w:val="000E23E9"/>
    <w:rsid w:val="000E3E73"/>
    <w:rsid w:val="000E4D27"/>
    <w:rsid w:val="000E526B"/>
    <w:rsid w:val="000E67D3"/>
    <w:rsid w:val="000E7360"/>
    <w:rsid w:val="000E76B3"/>
    <w:rsid w:val="000E79BB"/>
    <w:rsid w:val="000F01DF"/>
    <w:rsid w:val="000F073C"/>
    <w:rsid w:val="000F18CF"/>
    <w:rsid w:val="000F25C3"/>
    <w:rsid w:val="000F27E4"/>
    <w:rsid w:val="000F2C95"/>
    <w:rsid w:val="000F4372"/>
    <w:rsid w:val="000F4793"/>
    <w:rsid w:val="000F508A"/>
    <w:rsid w:val="000F5197"/>
    <w:rsid w:val="000F600A"/>
    <w:rsid w:val="000F624C"/>
    <w:rsid w:val="000F7665"/>
    <w:rsid w:val="000F7674"/>
    <w:rsid w:val="000F7964"/>
    <w:rsid w:val="00100D9C"/>
    <w:rsid w:val="00100E3F"/>
    <w:rsid w:val="00100FBA"/>
    <w:rsid w:val="00103FA1"/>
    <w:rsid w:val="001043EA"/>
    <w:rsid w:val="001046DA"/>
    <w:rsid w:val="00105693"/>
    <w:rsid w:val="00106192"/>
    <w:rsid w:val="00107A95"/>
    <w:rsid w:val="001101BB"/>
    <w:rsid w:val="00110C57"/>
    <w:rsid w:val="0011128B"/>
    <w:rsid w:val="001117D8"/>
    <w:rsid w:val="0011254C"/>
    <w:rsid w:val="0011324D"/>
    <w:rsid w:val="00113776"/>
    <w:rsid w:val="00113F3A"/>
    <w:rsid w:val="00114249"/>
    <w:rsid w:val="001144D1"/>
    <w:rsid w:val="0011522E"/>
    <w:rsid w:val="00115963"/>
    <w:rsid w:val="00116C41"/>
    <w:rsid w:val="0011739B"/>
    <w:rsid w:val="00117BF5"/>
    <w:rsid w:val="00117F9B"/>
    <w:rsid w:val="001200DC"/>
    <w:rsid w:val="00120397"/>
    <w:rsid w:val="00120758"/>
    <w:rsid w:val="00120EC6"/>
    <w:rsid w:val="001216E1"/>
    <w:rsid w:val="001249C1"/>
    <w:rsid w:val="00125273"/>
    <w:rsid w:val="00126838"/>
    <w:rsid w:val="00127D53"/>
    <w:rsid w:val="00130038"/>
    <w:rsid w:val="00130B8F"/>
    <w:rsid w:val="00132985"/>
    <w:rsid w:val="0013350F"/>
    <w:rsid w:val="0013592A"/>
    <w:rsid w:val="001359F8"/>
    <w:rsid w:val="00135D6D"/>
    <w:rsid w:val="00143234"/>
    <w:rsid w:val="001436ED"/>
    <w:rsid w:val="00143D82"/>
    <w:rsid w:val="0014533F"/>
    <w:rsid w:val="00145A72"/>
    <w:rsid w:val="0014725A"/>
    <w:rsid w:val="0014767B"/>
    <w:rsid w:val="001479D5"/>
    <w:rsid w:val="00147FF2"/>
    <w:rsid w:val="0015076D"/>
    <w:rsid w:val="001509FD"/>
    <w:rsid w:val="00152C31"/>
    <w:rsid w:val="00153759"/>
    <w:rsid w:val="00154CF6"/>
    <w:rsid w:val="00155A44"/>
    <w:rsid w:val="00156170"/>
    <w:rsid w:val="00156348"/>
    <w:rsid w:val="00156B96"/>
    <w:rsid w:val="00157238"/>
    <w:rsid w:val="001633DA"/>
    <w:rsid w:val="001642B5"/>
    <w:rsid w:val="00165694"/>
    <w:rsid w:val="00166636"/>
    <w:rsid w:val="00167090"/>
    <w:rsid w:val="00171DAE"/>
    <w:rsid w:val="001733A7"/>
    <w:rsid w:val="00173B98"/>
    <w:rsid w:val="00173DE4"/>
    <w:rsid w:val="00173E22"/>
    <w:rsid w:val="001747D9"/>
    <w:rsid w:val="00174895"/>
    <w:rsid w:val="00174A81"/>
    <w:rsid w:val="00175AC1"/>
    <w:rsid w:val="0017651E"/>
    <w:rsid w:val="00177E8B"/>
    <w:rsid w:val="0018193C"/>
    <w:rsid w:val="001819E2"/>
    <w:rsid w:val="00181FC4"/>
    <w:rsid w:val="0018359F"/>
    <w:rsid w:val="001835DF"/>
    <w:rsid w:val="0018369A"/>
    <w:rsid w:val="00185002"/>
    <w:rsid w:val="0018585B"/>
    <w:rsid w:val="0018588B"/>
    <w:rsid w:val="0018661F"/>
    <w:rsid w:val="001903DA"/>
    <w:rsid w:val="0019042F"/>
    <w:rsid w:val="0019080F"/>
    <w:rsid w:val="00192CD2"/>
    <w:rsid w:val="00193833"/>
    <w:rsid w:val="00194BBE"/>
    <w:rsid w:val="00195399"/>
    <w:rsid w:val="00195975"/>
    <w:rsid w:val="00197061"/>
    <w:rsid w:val="001976B1"/>
    <w:rsid w:val="00197AA9"/>
    <w:rsid w:val="001A04B8"/>
    <w:rsid w:val="001A06D4"/>
    <w:rsid w:val="001A277B"/>
    <w:rsid w:val="001A3719"/>
    <w:rsid w:val="001A3C14"/>
    <w:rsid w:val="001A51AB"/>
    <w:rsid w:val="001A5806"/>
    <w:rsid w:val="001A5E83"/>
    <w:rsid w:val="001B0C97"/>
    <w:rsid w:val="001B2169"/>
    <w:rsid w:val="001B23D5"/>
    <w:rsid w:val="001B2966"/>
    <w:rsid w:val="001B2DC8"/>
    <w:rsid w:val="001B2F21"/>
    <w:rsid w:val="001B4899"/>
    <w:rsid w:val="001B4D04"/>
    <w:rsid w:val="001B59DB"/>
    <w:rsid w:val="001B5A0D"/>
    <w:rsid w:val="001B6103"/>
    <w:rsid w:val="001B75A3"/>
    <w:rsid w:val="001C0635"/>
    <w:rsid w:val="001C08FE"/>
    <w:rsid w:val="001C1825"/>
    <w:rsid w:val="001C3207"/>
    <w:rsid w:val="001C3355"/>
    <w:rsid w:val="001C39E5"/>
    <w:rsid w:val="001C3A44"/>
    <w:rsid w:val="001C40F4"/>
    <w:rsid w:val="001C4196"/>
    <w:rsid w:val="001C61E8"/>
    <w:rsid w:val="001C6591"/>
    <w:rsid w:val="001C6D38"/>
    <w:rsid w:val="001C7324"/>
    <w:rsid w:val="001C7BB1"/>
    <w:rsid w:val="001D004A"/>
    <w:rsid w:val="001D06B2"/>
    <w:rsid w:val="001D0B64"/>
    <w:rsid w:val="001D0C55"/>
    <w:rsid w:val="001D0D4B"/>
    <w:rsid w:val="001D2B2B"/>
    <w:rsid w:val="001D2E4E"/>
    <w:rsid w:val="001D387E"/>
    <w:rsid w:val="001D3DF9"/>
    <w:rsid w:val="001D527A"/>
    <w:rsid w:val="001D6F29"/>
    <w:rsid w:val="001D7D81"/>
    <w:rsid w:val="001E1715"/>
    <w:rsid w:val="001E25C9"/>
    <w:rsid w:val="001E2CAB"/>
    <w:rsid w:val="001E2DDA"/>
    <w:rsid w:val="001E42A7"/>
    <w:rsid w:val="001E6443"/>
    <w:rsid w:val="001E6451"/>
    <w:rsid w:val="001E6AB5"/>
    <w:rsid w:val="001E74A8"/>
    <w:rsid w:val="001E7DBA"/>
    <w:rsid w:val="001F018C"/>
    <w:rsid w:val="001F10C7"/>
    <w:rsid w:val="001F1198"/>
    <w:rsid w:val="001F375B"/>
    <w:rsid w:val="001F3DFC"/>
    <w:rsid w:val="001F3EBA"/>
    <w:rsid w:val="001F3F42"/>
    <w:rsid w:val="001F47C2"/>
    <w:rsid w:val="001F57DD"/>
    <w:rsid w:val="001F7561"/>
    <w:rsid w:val="001F7F80"/>
    <w:rsid w:val="002026E2"/>
    <w:rsid w:val="002030FB"/>
    <w:rsid w:val="0020337F"/>
    <w:rsid w:val="00203A56"/>
    <w:rsid w:val="0020496C"/>
    <w:rsid w:val="00204D85"/>
    <w:rsid w:val="002055FC"/>
    <w:rsid w:val="00205F25"/>
    <w:rsid w:val="002113D4"/>
    <w:rsid w:val="00212A4F"/>
    <w:rsid w:val="0021404C"/>
    <w:rsid w:val="00214105"/>
    <w:rsid w:val="00214799"/>
    <w:rsid w:val="00214B68"/>
    <w:rsid w:val="00214F4E"/>
    <w:rsid w:val="00215059"/>
    <w:rsid w:val="002150FE"/>
    <w:rsid w:val="00216279"/>
    <w:rsid w:val="002171EE"/>
    <w:rsid w:val="00220684"/>
    <w:rsid w:val="002210BE"/>
    <w:rsid w:val="00221202"/>
    <w:rsid w:val="00222221"/>
    <w:rsid w:val="00223F23"/>
    <w:rsid w:val="00225095"/>
    <w:rsid w:val="002256BE"/>
    <w:rsid w:val="00225F90"/>
    <w:rsid w:val="00226E2A"/>
    <w:rsid w:val="00227FE2"/>
    <w:rsid w:val="00233944"/>
    <w:rsid w:val="0023573F"/>
    <w:rsid w:val="00235DA9"/>
    <w:rsid w:val="00240400"/>
    <w:rsid w:val="002408FB"/>
    <w:rsid w:val="00240A74"/>
    <w:rsid w:val="00240AB7"/>
    <w:rsid w:val="002411DF"/>
    <w:rsid w:val="00241403"/>
    <w:rsid w:val="00241481"/>
    <w:rsid w:val="00242207"/>
    <w:rsid w:val="0024281D"/>
    <w:rsid w:val="002432C1"/>
    <w:rsid w:val="00243D04"/>
    <w:rsid w:val="00245744"/>
    <w:rsid w:val="0024677C"/>
    <w:rsid w:val="00247824"/>
    <w:rsid w:val="00250D7C"/>
    <w:rsid w:val="002510E0"/>
    <w:rsid w:val="00251133"/>
    <w:rsid w:val="00251432"/>
    <w:rsid w:val="00251A80"/>
    <w:rsid w:val="00252775"/>
    <w:rsid w:val="00253C69"/>
    <w:rsid w:val="002547C3"/>
    <w:rsid w:val="002549ED"/>
    <w:rsid w:val="00255B2F"/>
    <w:rsid w:val="0025775B"/>
    <w:rsid w:val="00260A83"/>
    <w:rsid w:val="00260CF5"/>
    <w:rsid w:val="00260EDE"/>
    <w:rsid w:val="00262632"/>
    <w:rsid w:val="002656A6"/>
    <w:rsid w:val="00266AB4"/>
    <w:rsid w:val="00266D37"/>
    <w:rsid w:val="002704A7"/>
    <w:rsid w:val="002705C8"/>
    <w:rsid w:val="0027123F"/>
    <w:rsid w:val="00271ED4"/>
    <w:rsid w:val="00272B77"/>
    <w:rsid w:val="00272FD4"/>
    <w:rsid w:val="002730D0"/>
    <w:rsid w:val="00273A60"/>
    <w:rsid w:val="0027406A"/>
    <w:rsid w:val="002752FF"/>
    <w:rsid w:val="002756A2"/>
    <w:rsid w:val="002759E8"/>
    <w:rsid w:val="00275F8C"/>
    <w:rsid w:val="002767F1"/>
    <w:rsid w:val="002769C5"/>
    <w:rsid w:val="0028040C"/>
    <w:rsid w:val="00280F75"/>
    <w:rsid w:val="00281477"/>
    <w:rsid w:val="002830BC"/>
    <w:rsid w:val="002832AC"/>
    <w:rsid w:val="0028389D"/>
    <w:rsid w:val="00283B6E"/>
    <w:rsid w:val="00283C92"/>
    <w:rsid w:val="00283F93"/>
    <w:rsid w:val="00284E6B"/>
    <w:rsid w:val="00284FAF"/>
    <w:rsid w:val="002867D5"/>
    <w:rsid w:val="00286A93"/>
    <w:rsid w:val="00287947"/>
    <w:rsid w:val="00287AD4"/>
    <w:rsid w:val="00287AD5"/>
    <w:rsid w:val="00287D4C"/>
    <w:rsid w:val="002910E6"/>
    <w:rsid w:val="002915EC"/>
    <w:rsid w:val="00292129"/>
    <w:rsid w:val="002944DF"/>
    <w:rsid w:val="0029554E"/>
    <w:rsid w:val="00296105"/>
    <w:rsid w:val="00296A02"/>
    <w:rsid w:val="002970E9"/>
    <w:rsid w:val="0029744E"/>
    <w:rsid w:val="002A2DC7"/>
    <w:rsid w:val="002A501B"/>
    <w:rsid w:val="002A7917"/>
    <w:rsid w:val="002B0539"/>
    <w:rsid w:val="002B0F54"/>
    <w:rsid w:val="002B145A"/>
    <w:rsid w:val="002B25AC"/>
    <w:rsid w:val="002B386C"/>
    <w:rsid w:val="002B4278"/>
    <w:rsid w:val="002B4AE3"/>
    <w:rsid w:val="002B4B01"/>
    <w:rsid w:val="002B5630"/>
    <w:rsid w:val="002B5835"/>
    <w:rsid w:val="002B61E5"/>
    <w:rsid w:val="002C4AD2"/>
    <w:rsid w:val="002C4F08"/>
    <w:rsid w:val="002C5090"/>
    <w:rsid w:val="002C63B7"/>
    <w:rsid w:val="002C7460"/>
    <w:rsid w:val="002C762F"/>
    <w:rsid w:val="002C76E5"/>
    <w:rsid w:val="002D0906"/>
    <w:rsid w:val="002D0A13"/>
    <w:rsid w:val="002D135C"/>
    <w:rsid w:val="002D1B87"/>
    <w:rsid w:val="002D27D4"/>
    <w:rsid w:val="002D2C28"/>
    <w:rsid w:val="002D3D91"/>
    <w:rsid w:val="002D474B"/>
    <w:rsid w:val="002D4BA9"/>
    <w:rsid w:val="002D62BB"/>
    <w:rsid w:val="002E0181"/>
    <w:rsid w:val="002E090F"/>
    <w:rsid w:val="002E09E1"/>
    <w:rsid w:val="002E265E"/>
    <w:rsid w:val="002E26D7"/>
    <w:rsid w:val="002E29D2"/>
    <w:rsid w:val="002E5811"/>
    <w:rsid w:val="002E6367"/>
    <w:rsid w:val="002E6501"/>
    <w:rsid w:val="002E7939"/>
    <w:rsid w:val="002F0482"/>
    <w:rsid w:val="002F1E9A"/>
    <w:rsid w:val="002F290C"/>
    <w:rsid w:val="002F2927"/>
    <w:rsid w:val="002F329F"/>
    <w:rsid w:val="002F350B"/>
    <w:rsid w:val="002F3792"/>
    <w:rsid w:val="002F6A82"/>
    <w:rsid w:val="002F78C6"/>
    <w:rsid w:val="00302C47"/>
    <w:rsid w:val="00304155"/>
    <w:rsid w:val="00305057"/>
    <w:rsid w:val="003101DD"/>
    <w:rsid w:val="00310DFF"/>
    <w:rsid w:val="003112FE"/>
    <w:rsid w:val="00311528"/>
    <w:rsid w:val="0031208C"/>
    <w:rsid w:val="003121F7"/>
    <w:rsid w:val="00312D92"/>
    <w:rsid w:val="0031408E"/>
    <w:rsid w:val="003141F3"/>
    <w:rsid w:val="00314EAD"/>
    <w:rsid w:val="00315ACA"/>
    <w:rsid w:val="00316941"/>
    <w:rsid w:val="00316FE9"/>
    <w:rsid w:val="003176D0"/>
    <w:rsid w:val="0031794A"/>
    <w:rsid w:val="00317ABD"/>
    <w:rsid w:val="00317C6D"/>
    <w:rsid w:val="00317C89"/>
    <w:rsid w:val="003203FB"/>
    <w:rsid w:val="0032062C"/>
    <w:rsid w:val="00320DD2"/>
    <w:rsid w:val="003210FD"/>
    <w:rsid w:val="00321B7C"/>
    <w:rsid w:val="00321C61"/>
    <w:rsid w:val="0032218E"/>
    <w:rsid w:val="00322A7C"/>
    <w:rsid w:val="003264F9"/>
    <w:rsid w:val="003267C7"/>
    <w:rsid w:val="00326E4C"/>
    <w:rsid w:val="00326FB2"/>
    <w:rsid w:val="00327288"/>
    <w:rsid w:val="0032738C"/>
    <w:rsid w:val="00327694"/>
    <w:rsid w:val="00327E04"/>
    <w:rsid w:val="00330876"/>
    <w:rsid w:val="003308E1"/>
    <w:rsid w:val="00330DB3"/>
    <w:rsid w:val="00331131"/>
    <w:rsid w:val="00331A58"/>
    <w:rsid w:val="003329C0"/>
    <w:rsid w:val="00333AC2"/>
    <w:rsid w:val="00334AEE"/>
    <w:rsid w:val="00334E02"/>
    <w:rsid w:val="003352CA"/>
    <w:rsid w:val="003353AB"/>
    <w:rsid w:val="003356AB"/>
    <w:rsid w:val="003356C7"/>
    <w:rsid w:val="003361B2"/>
    <w:rsid w:val="00336821"/>
    <w:rsid w:val="003407E7"/>
    <w:rsid w:val="00340B11"/>
    <w:rsid w:val="00341020"/>
    <w:rsid w:val="00341744"/>
    <w:rsid w:val="00342097"/>
    <w:rsid w:val="003421AB"/>
    <w:rsid w:val="00343669"/>
    <w:rsid w:val="003442DD"/>
    <w:rsid w:val="0034446E"/>
    <w:rsid w:val="00344906"/>
    <w:rsid w:val="003467D3"/>
    <w:rsid w:val="00347EB1"/>
    <w:rsid w:val="0035153D"/>
    <w:rsid w:val="0035323E"/>
    <w:rsid w:val="0035441A"/>
    <w:rsid w:val="00354A58"/>
    <w:rsid w:val="00357236"/>
    <w:rsid w:val="003579DA"/>
    <w:rsid w:val="003616B1"/>
    <w:rsid w:val="00363020"/>
    <w:rsid w:val="00363E7E"/>
    <w:rsid w:val="00363F64"/>
    <w:rsid w:val="00363FC1"/>
    <w:rsid w:val="00364292"/>
    <w:rsid w:val="0036491C"/>
    <w:rsid w:val="0036495E"/>
    <w:rsid w:val="00364B81"/>
    <w:rsid w:val="0036546A"/>
    <w:rsid w:val="0036598B"/>
    <w:rsid w:val="00365F76"/>
    <w:rsid w:val="00367F56"/>
    <w:rsid w:val="00371361"/>
    <w:rsid w:val="00371468"/>
    <w:rsid w:val="00371695"/>
    <w:rsid w:val="00372192"/>
    <w:rsid w:val="0037274B"/>
    <w:rsid w:val="00373113"/>
    <w:rsid w:val="00373732"/>
    <w:rsid w:val="00374D5B"/>
    <w:rsid w:val="00374F10"/>
    <w:rsid w:val="0037603E"/>
    <w:rsid w:val="00376C7D"/>
    <w:rsid w:val="00377319"/>
    <w:rsid w:val="00377FA5"/>
    <w:rsid w:val="00380CA7"/>
    <w:rsid w:val="00381692"/>
    <w:rsid w:val="00382410"/>
    <w:rsid w:val="003832E8"/>
    <w:rsid w:val="0038379F"/>
    <w:rsid w:val="003850B5"/>
    <w:rsid w:val="00385309"/>
    <w:rsid w:val="0038564D"/>
    <w:rsid w:val="003859C5"/>
    <w:rsid w:val="003909D4"/>
    <w:rsid w:val="00393937"/>
    <w:rsid w:val="00393B13"/>
    <w:rsid w:val="00393DE6"/>
    <w:rsid w:val="00394B8C"/>
    <w:rsid w:val="00394EC6"/>
    <w:rsid w:val="0039571C"/>
    <w:rsid w:val="00395BF7"/>
    <w:rsid w:val="003A096C"/>
    <w:rsid w:val="003A13DB"/>
    <w:rsid w:val="003A1A30"/>
    <w:rsid w:val="003A236F"/>
    <w:rsid w:val="003A45A5"/>
    <w:rsid w:val="003B04EF"/>
    <w:rsid w:val="003B1376"/>
    <w:rsid w:val="003B1564"/>
    <w:rsid w:val="003B1588"/>
    <w:rsid w:val="003B4489"/>
    <w:rsid w:val="003B6A39"/>
    <w:rsid w:val="003C0700"/>
    <w:rsid w:val="003C2710"/>
    <w:rsid w:val="003C3A82"/>
    <w:rsid w:val="003C40AA"/>
    <w:rsid w:val="003C46CF"/>
    <w:rsid w:val="003D0102"/>
    <w:rsid w:val="003D1F9A"/>
    <w:rsid w:val="003D2B45"/>
    <w:rsid w:val="003D2B70"/>
    <w:rsid w:val="003D318B"/>
    <w:rsid w:val="003D3C5F"/>
    <w:rsid w:val="003D42A0"/>
    <w:rsid w:val="003D4E25"/>
    <w:rsid w:val="003D5ED7"/>
    <w:rsid w:val="003D62B7"/>
    <w:rsid w:val="003D6AB4"/>
    <w:rsid w:val="003D6B53"/>
    <w:rsid w:val="003D71CB"/>
    <w:rsid w:val="003D7DF8"/>
    <w:rsid w:val="003E02A2"/>
    <w:rsid w:val="003E1148"/>
    <w:rsid w:val="003E15C9"/>
    <w:rsid w:val="003E2AC2"/>
    <w:rsid w:val="003E2D60"/>
    <w:rsid w:val="003E3744"/>
    <w:rsid w:val="003E4A17"/>
    <w:rsid w:val="003E4AE7"/>
    <w:rsid w:val="003E5727"/>
    <w:rsid w:val="003E5BFD"/>
    <w:rsid w:val="003E5FD2"/>
    <w:rsid w:val="003E62C0"/>
    <w:rsid w:val="003E668C"/>
    <w:rsid w:val="003F0F12"/>
    <w:rsid w:val="003F21AF"/>
    <w:rsid w:val="003F2FA9"/>
    <w:rsid w:val="003F404A"/>
    <w:rsid w:val="003F4555"/>
    <w:rsid w:val="003F465E"/>
    <w:rsid w:val="003F56C1"/>
    <w:rsid w:val="003F6FB8"/>
    <w:rsid w:val="003F791C"/>
    <w:rsid w:val="00401139"/>
    <w:rsid w:val="00401B08"/>
    <w:rsid w:val="00401B74"/>
    <w:rsid w:val="00401DC2"/>
    <w:rsid w:val="00402974"/>
    <w:rsid w:val="00402C52"/>
    <w:rsid w:val="00402F89"/>
    <w:rsid w:val="0040393F"/>
    <w:rsid w:val="00404327"/>
    <w:rsid w:val="00405741"/>
    <w:rsid w:val="0040608A"/>
    <w:rsid w:val="00406179"/>
    <w:rsid w:val="00407052"/>
    <w:rsid w:val="00407AE0"/>
    <w:rsid w:val="00410793"/>
    <w:rsid w:val="00410AC9"/>
    <w:rsid w:val="00411AE6"/>
    <w:rsid w:val="00412620"/>
    <w:rsid w:val="00414D03"/>
    <w:rsid w:val="004157A8"/>
    <w:rsid w:val="00415D24"/>
    <w:rsid w:val="00416F17"/>
    <w:rsid w:val="00420652"/>
    <w:rsid w:val="004213C2"/>
    <w:rsid w:val="00421578"/>
    <w:rsid w:val="00421988"/>
    <w:rsid w:val="00421CCC"/>
    <w:rsid w:val="004230C3"/>
    <w:rsid w:val="0042374C"/>
    <w:rsid w:val="004248C9"/>
    <w:rsid w:val="00425AA2"/>
    <w:rsid w:val="00426AA5"/>
    <w:rsid w:val="00426C0F"/>
    <w:rsid w:val="00426E9C"/>
    <w:rsid w:val="0042729D"/>
    <w:rsid w:val="004272EB"/>
    <w:rsid w:val="00427838"/>
    <w:rsid w:val="00433373"/>
    <w:rsid w:val="00443D78"/>
    <w:rsid w:val="0044508A"/>
    <w:rsid w:val="00445EB4"/>
    <w:rsid w:val="00446061"/>
    <w:rsid w:val="00446F86"/>
    <w:rsid w:val="00454663"/>
    <w:rsid w:val="00454CCE"/>
    <w:rsid w:val="004553AE"/>
    <w:rsid w:val="0045633A"/>
    <w:rsid w:val="004564C9"/>
    <w:rsid w:val="00457162"/>
    <w:rsid w:val="00464A03"/>
    <w:rsid w:val="00466248"/>
    <w:rsid w:val="00467160"/>
    <w:rsid w:val="00467E3D"/>
    <w:rsid w:val="00470965"/>
    <w:rsid w:val="00471BC1"/>
    <w:rsid w:val="00472F60"/>
    <w:rsid w:val="0047459D"/>
    <w:rsid w:val="00476809"/>
    <w:rsid w:val="00482E3A"/>
    <w:rsid w:val="0048366F"/>
    <w:rsid w:val="00483D58"/>
    <w:rsid w:val="004915D6"/>
    <w:rsid w:val="004919EA"/>
    <w:rsid w:val="00491BBA"/>
    <w:rsid w:val="00491F09"/>
    <w:rsid w:val="004930C8"/>
    <w:rsid w:val="004945B6"/>
    <w:rsid w:val="004965DC"/>
    <w:rsid w:val="00496E79"/>
    <w:rsid w:val="004A09DD"/>
    <w:rsid w:val="004A1E8D"/>
    <w:rsid w:val="004A22B7"/>
    <w:rsid w:val="004A2349"/>
    <w:rsid w:val="004A24F7"/>
    <w:rsid w:val="004A2A3F"/>
    <w:rsid w:val="004A2EBF"/>
    <w:rsid w:val="004A3AAC"/>
    <w:rsid w:val="004A3CCE"/>
    <w:rsid w:val="004A4075"/>
    <w:rsid w:val="004A5A01"/>
    <w:rsid w:val="004A7B5D"/>
    <w:rsid w:val="004A7E99"/>
    <w:rsid w:val="004B1197"/>
    <w:rsid w:val="004B2E1F"/>
    <w:rsid w:val="004B3116"/>
    <w:rsid w:val="004B3238"/>
    <w:rsid w:val="004B4F2C"/>
    <w:rsid w:val="004B65D9"/>
    <w:rsid w:val="004B7688"/>
    <w:rsid w:val="004B7BEB"/>
    <w:rsid w:val="004B7BFD"/>
    <w:rsid w:val="004B7C2C"/>
    <w:rsid w:val="004C0414"/>
    <w:rsid w:val="004C076F"/>
    <w:rsid w:val="004C0872"/>
    <w:rsid w:val="004C0AF6"/>
    <w:rsid w:val="004C0F5A"/>
    <w:rsid w:val="004C1C79"/>
    <w:rsid w:val="004C23F0"/>
    <w:rsid w:val="004C287D"/>
    <w:rsid w:val="004C326A"/>
    <w:rsid w:val="004C34B2"/>
    <w:rsid w:val="004C3962"/>
    <w:rsid w:val="004C3DC3"/>
    <w:rsid w:val="004C3FAB"/>
    <w:rsid w:val="004C5091"/>
    <w:rsid w:val="004C587F"/>
    <w:rsid w:val="004C696A"/>
    <w:rsid w:val="004C6C1A"/>
    <w:rsid w:val="004C6C32"/>
    <w:rsid w:val="004C7057"/>
    <w:rsid w:val="004C72DF"/>
    <w:rsid w:val="004C7480"/>
    <w:rsid w:val="004C7515"/>
    <w:rsid w:val="004C7AD6"/>
    <w:rsid w:val="004C7EAE"/>
    <w:rsid w:val="004D0595"/>
    <w:rsid w:val="004D0DC2"/>
    <w:rsid w:val="004D19F6"/>
    <w:rsid w:val="004D20EE"/>
    <w:rsid w:val="004D308E"/>
    <w:rsid w:val="004D364F"/>
    <w:rsid w:val="004D504F"/>
    <w:rsid w:val="004D5912"/>
    <w:rsid w:val="004D5A99"/>
    <w:rsid w:val="004D71D0"/>
    <w:rsid w:val="004D7CC8"/>
    <w:rsid w:val="004E0736"/>
    <w:rsid w:val="004E1A74"/>
    <w:rsid w:val="004E1EAE"/>
    <w:rsid w:val="004E2AF8"/>
    <w:rsid w:val="004E38B9"/>
    <w:rsid w:val="004E4033"/>
    <w:rsid w:val="004E43F9"/>
    <w:rsid w:val="004E4B97"/>
    <w:rsid w:val="004E5C06"/>
    <w:rsid w:val="004E5C32"/>
    <w:rsid w:val="004E6B20"/>
    <w:rsid w:val="004F178D"/>
    <w:rsid w:val="004F20FE"/>
    <w:rsid w:val="004F2A9B"/>
    <w:rsid w:val="004F4F2E"/>
    <w:rsid w:val="004F505E"/>
    <w:rsid w:val="004F7209"/>
    <w:rsid w:val="004F730F"/>
    <w:rsid w:val="00500228"/>
    <w:rsid w:val="00500391"/>
    <w:rsid w:val="0050046B"/>
    <w:rsid w:val="0050230A"/>
    <w:rsid w:val="00503146"/>
    <w:rsid w:val="005033A8"/>
    <w:rsid w:val="00503B4D"/>
    <w:rsid w:val="00503EDF"/>
    <w:rsid w:val="00504E7D"/>
    <w:rsid w:val="00506CEA"/>
    <w:rsid w:val="00507035"/>
    <w:rsid w:val="005074B8"/>
    <w:rsid w:val="00507719"/>
    <w:rsid w:val="00507D48"/>
    <w:rsid w:val="00507E46"/>
    <w:rsid w:val="00510BE0"/>
    <w:rsid w:val="00511517"/>
    <w:rsid w:val="005117C7"/>
    <w:rsid w:val="005133AE"/>
    <w:rsid w:val="00514390"/>
    <w:rsid w:val="00514E74"/>
    <w:rsid w:val="00516628"/>
    <w:rsid w:val="005171D1"/>
    <w:rsid w:val="00517619"/>
    <w:rsid w:val="0052068A"/>
    <w:rsid w:val="005210DB"/>
    <w:rsid w:val="005214FB"/>
    <w:rsid w:val="0052167D"/>
    <w:rsid w:val="00522D0B"/>
    <w:rsid w:val="00522D63"/>
    <w:rsid w:val="0052343B"/>
    <w:rsid w:val="005263C6"/>
    <w:rsid w:val="00530143"/>
    <w:rsid w:val="00530556"/>
    <w:rsid w:val="0053093B"/>
    <w:rsid w:val="00530C44"/>
    <w:rsid w:val="00530C9E"/>
    <w:rsid w:val="00532C2F"/>
    <w:rsid w:val="00532D97"/>
    <w:rsid w:val="005331A3"/>
    <w:rsid w:val="005338A4"/>
    <w:rsid w:val="00533BB3"/>
    <w:rsid w:val="00533DB5"/>
    <w:rsid w:val="00533EB9"/>
    <w:rsid w:val="00534F67"/>
    <w:rsid w:val="00536209"/>
    <w:rsid w:val="00537458"/>
    <w:rsid w:val="0054009B"/>
    <w:rsid w:val="0054064E"/>
    <w:rsid w:val="005420EF"/>
    <w:rsid w:val="00545CCA"/>
    <w:rsid w:val="005479EA"/>
    <w:rsid w:val="00551BB4"/>
    <w:rsid w:val="00551C53"/>
    <w:rsid w:val="005520DE"/>
    <w:rsid w:val="0055379D"/>
    <w:rsid w:val="00553BDD"/>
    <w:rsid w:val="00555DB2"/>
    <w:rsid w:val="005562BE"/>
    <w:rsid w:val="00560C83"/>
    <w:rsid w:val="005616F1"/>
    <w:rsid w:val="005619F3"/>
    <w:rsid w:val="00562122"/>
    <w:rsid w:val="0056216B"/>
    <w:rsid w:val="0056300F"/>
    <w:rsid w:val="00565C71"/>
    <w:rsid w:val="005670E3"/>
    <w:rsid w:val="00570B44"/>
    <w:rsid w:val="00571DFC"/>
    <w:rsid w:val="00572101"/>
    <w:rsid w:val="0057296C"/>
    <w:rsid w:val="00574A80"/>
    <w:rsid w:val="0057565E"/>
    <w:rsid w:val="0057588F"/>
    <w:rsid w:val="00575A66"/>
    <w:rsid w:val="005811E9"/>
    <w:rsid w:val="00581C34"/>
    <w:rsid w:val="00582C2F"/>
    <w:rsid w:val="00582E2C"/>
    <w:rsid w:val="00584181"/>
    <w:rsid w:val="00584756"/>
    <w:rsid w:val="0058491F"/>
    <w:rsid w:val="00585533"/>
    <w:rsid w:val="00585602"/>
    <w:rsid w:val="005867E4"/>
    <w:rsid w:val="00587235"/>
    <w:rsid w:val="005875D3"/>
    <w:rsid w:val="00587ABC"/>
    <w:rsid w:val="00587AD1"/>
    <w:rsid w:val="00591584"/>
    <w:rsid w:val="00591588"/>
    <w:rsid w:val="005920D1"/>
    <w:rsid w:val="00592F04"/>
    <w:rsid w:val="00593C2A"/>
    <w:rsid w:val="00596350"/>
    <w:rsid w:val="00597B20"/>
    <w:rsid w:val="005A0C4A"/>
    <w:rsid w:val="005A1224"/>
    <w:rsid w:val="005A197E"/>
    <w:rsid w:val="005A28A6"/>
    <w:rsid w:val="005A390C"/>
    <w:rsid w:val="005A4AF5"/>
    <w:rsid w:val="005A4ED9"/>
    <w:rsid w:val="005A5580"/>
    <w:rsid w:val="005A763B"/>
    <w:rsid w:val="005A7954"/>
    <w:rsid w:val="005B0106"/>
    <w:rsid w:val="005B025E"/>
    <w:rsid w:val="005B0A8B"/>
    <w:rsid w:val="005B0B3A"/>
    <w:rsid w:val="005B16FC"/>
    <w:rsid w:val="005B225C"/>
    <w:rsid w:val="005B267D"/>
    <w:rsid w:val="005B4652"/>
    <w:rsid w:val="005B51B3"/>
    <w:rsid w:val="005B5C96"/>
    <w:rsid w:val="005B6A98"/>
    <w:rsid w:val="005B6BCA"/>
    <w:rsid w:val="005B714C"/>
    <w:rsid w:val="005B7F17"/>
    <w:rsid w:val="005C070D"/>
    <w:rsid w:val="005C0AC2"/>
    <w:rsid w:val="005C1186"/>
    <w:rsid w:val="005C4143"/>
    <w:rsid w:val="005C4994"/>
    <w:rsid w:val="005C528E"/>
    <w:rsid w:val="005C6B2F"/>
    <w:rsid w:val="005C6EAD"/>
    <w:rsid w:val="005C70ED"/>
    <w:rsid w:val="005C76A5"/>
    <w:rsid w:val="005D0DC0"/>
    <w:rsid w:val="005D1C60"/>
    <w:rsid w:val="005D27C7"/>
    <w:rsid w:val="005D332D"/>
    <w:rsid w:val="005D38D2"/>
    <w:rsid w:val="005D40DD"/>
    <w:rsid w:val="005D4DA8"/>
    <w:rsid w:val="005D516A"/>
    <w:rsid w:val="005D6AA1"/>
    <w:rsid w:val="005E122B"/>
    <w:rsid w:val="005E28D7"/>
    <w:rsid w:val="005E2E75"/>
    <w:rsid w:val="005E3A25"/>
    <w:rsid w:val="005E544C"/>
    <w:rsid w:val="005E7F9B"/>
    <w:rsid w:val="005F0064"/>
    <w:rsid w:val="005F1D6F"/>
    <w:rsid w:val="005F56E3"/>
    <w:rsid w:val="005F64AC"/>
    <w:rsid w:val="005F6A54"/>
    <w:rsid w:val="005F6B60"/>
    <w:rsid w:val="005F7177"/>
    <w:rsid w:val="005F71D9"/>
    <w:rsid w:val="005F7FE5"/>
    <w:rsid w:val="006002A8"/>
    <w:rsid w:val="0060045F"/>
    <w:rsid w:val="006007AD"/>
    <w:rsid w:val="00603291"/>
    <w:rsid w:val="00603DD4"/>
    <w:rsid w:val="00603E33"/>
    <w:rsid w:val="00604411"/>
    <w:rsid w:val="00604DCF"/>
    <w:rsid w:val="00605C83"/>
    <w:rsid w:val="00606835"/>
    <w:rsid w:val="00606A90"/>
    <w:rsid w:val="00607A4B"/>
    <w:rsid w:val="00610632"/>
    <w:rsid w:val="0061366B"/>
    <w:rsid w:val="00615DB0"/>
    <w:rsid w:val="00615F8F"/>
    <w:rsid w:val="00616BDA"/>
    <w:rsid w:val="00616CD3"/>
    <w:rsid w:val="00616DA2"/>
    <w:rsid w:val="00617A85"/>
    <w:rsid w:val="0062059A"/>
    <w:rsid w:val="00620948"/>
    <w:rsid w:val="00620D1B"/>
    <w:rsid w:val="006218CB"/>
    <w:rsid w:val="00622F9A"/>
    <w:rsid w:val="00624463"/>
    <w:rsid w:val="006244AA"/>
    <w:rsid w:val="00625963"/>
    <w:rsid w:val="00625C15"/>
    <w:rsid w:val="00625E2B"/>
    <w:rsid w:val="00625F7B"/>
    <w:rsid w:val="00626A2A"/>
    <w:rsid w:val="00626B81"/>
    <w:rsid w:val="006304FC"/>
    <w:rsid w:val="00630D0A"/>
    <w:rsid w:val="006322C5"/>
    <w:rsid w:val="00632F4F"/>
    <w:rsid w:val="006348CF"/>
    <w:rsid w:val="00634905"/>
    <w:rsid w:val="00635FF9"/>
    <w:rsid w:val="00636CD9"/>
    <w:rsid w:val="00640AF8"/>
    <w:rsid w:val="0064110A"/>
    <w:rsid w:val="00644A87"/>
    <w:rsid w:val="00644F29"/>
    <w:rsid w:val="0064520A"/>
    <w:rsid w:val="00645B5B"/>
    <w:rsid w:val="00645DE6"/>
    <w:rsid w:val="00646EE8"/>
    <w:rsid w:val="00651087"/>
    <w:rsid w:val="0065120F"/>
    <w:rsid w:val="00651250"/>
    <w:rsid w:val="00652475"/>
    <w:rsid w:val="00652CC2"/>
    <w:rsid w:val="00655847"/>
    <w:rsid w:val="00655F0E"/>
    <w:rsid w:val="00660824"/>
    <w:rsid w:val="00660FEE"/>
    <w:rsid w:val="0066101C"/>
    <w:rsid w:val="00662853"/>
    <w:rsid w:val="00662AEA"/>
    <w:rsid w:val="00662C8B"/>
    <w:rsid w:val="00663853"/>
    <w:rsid w:val="00663875"/>
    <w:rsid w:val="00663D8F"/>
    <w:rsid w:val="006641D9"/>
    <w:rsid w:val="006651F1"/>
    <w:rsid w:val="0066521F"/>
    <w:rsid w:val="00665552"/>
    <w:rsid w:val="00665E21"/>
    <w:rsid w:val="006663E8"/>
    <w:rsid w:val="0066642F"/>
    <w:rsid w:val="0066718A"/>
    <w:rsid w:val="0067045D"/>
    <w:rsid w:val="006723AF"/>
    <w:rsid w:val="00672A18"/>
    <w:rsid w:val="00673DE5"/>
    <w:rsid w:val="006746F4"/>
    <w:rsid w:val="00675877"/>
    <w:rsid w:val="00676930"/>
    <w:rsid w:val="00680738"/>
    <w:rsid w:val="00681E90"/>
    <w:rsid w:val="006823FB"/>
    <w:rsid w:val="0068291F"/>
    <w:rsid w:val="00682D1E"/>
    <w:rsid w:val="006844F1"/>
    <w:rsid w:val="006846BF"/>
    <w:rsid w:val="00686BEF"/>
    <w:rsid w:val="00691846"/>
    <w:rsid w:val="00691BEE"/>
    <w:rsid w:val="00691D3D"/>
    <w:rsid w:val="006927B6"/>
    <w:rsid w:val="00692F75"/>
    <w:rsid w:val="00693698"/>
    <w:rsid w:val="00693CDF"/>
    <w:rsid w:val="00695553"/>
    <w:rsid w:val="00697267"/>
    <w:rsid w:val="00697B9C"/>
    <w:rsid w:val="006A0010"/>
    <w:rsid w:val="006A04AB"/>
    <w:rsid w:val="006A1F25"/>
    <w:rsid w:val="006A2E64"/>
    <w:rsid w:val="006A3DB3"/>
    <w:rsid w:val="006A6103"/>
    <w:rsid w:val="006A6788"/>
    <w:rsid w:val="006A7E7B"/>
    <w:rsid w:val="006B0180"/>
    <w:rsid w:val="006B0813"/>
    <w:rsid w:val="006B235C"/>
    <w:rsid w:val="006B250E"/>
    <w:rsid w:val="006B330E"/>
    <w:rsid w:val="006B33FB"/>
    <w:rsid w:val="006B3574"/>
    <w:rsid w:val="006B3C2F"/>
    <w:rsid w:val="006B47C4"/>
    <w:rsid w:val="006B4A8C"/>
    <w:rsid w:val="006B5200"/>
    <w:rsid w:val="006B523D"/>
    <w:rsid w:val="006B5C0B"/>
    <w:rsid w:val="006C2173"/>
    <w:rsid w:val="006C2BA0"/>
    <w:rsid w:val="006C2D85"/>
    <w:rsid w:val="006C46E9"/>
    <w:rsid w:val="006C4A12"/>
    <w:rsid w:val="006C4A30"/>
    <w:rsid w:val="006C4ED0"/>
    <w:rsid w:val="006C61FD"/>
    <w:rsid w:val="006C6950"/>
    <w:rsid w:val="006D0715"/>
    <w:rsid w:val="006D2DBE"/>
    <w:rsid w:val="006D49ED"/>
    <w:rsid w:val="006D5BBA"/>
    <w:rsid w:val="006E12B9"/>
    <w:rsid w:val="006E1782"/>
    <w:rsid w:val="006E3080"/>
    <w:rsid w:val="006E4261"/>
    <w:rsid w:val="006E44A4"/>
    <w:rsid w:val="006E4B59"/>
    <w:rsid w:val="006E5FC5"/>
    <w:rsid w:val="006E6F31"/>
    <w:rsid w:val="006E723A"/>
    <w:rsid w:val="006F059A"/>
    <w:rsid w:val="006F1291"/>
    <w:rsid w:val="006F2267"/>
    <w:rsid w:val="006F2D8A"/>
    <w:rsid w:val="006F3E2D"/>
    <w:rsid w:val="006F4AA2"/>
    <w:rsid w:val="006F510B"/>
    <w:rsid w:val="006F55B3"/>
    <w:rsid w:val="006F5895"/>
    <w:rsid w:val="006F5A9E"/>
    <w:rsid w:val="006F6A59"/>
    <w:rsid w:val="006F7D6B"/>
    <w:rsid w:val="006F7F36"/>
    <w:rsid w:val="006F7FC9"/>
    <w:rsid w:val="0070133C"/>
    <w:rsid w:val="00701C66"/>
    <w:rsid w:val="00702AC3"/>
    <w:rsid w:val="0070309D"/>
    <w:rsid w:val="00704398"/>
    <w:rsid w:val="007073D4"/>
    <w:rsid w:val="00713087"/>
    <w:rsid w:val="00713796"/>
    <w:rsid w:val="007140CF"/>
    <w:rsid w:val="00715553"/>
    <w:rsid w:val="00716565"/>
    <w:rsid w:val="00716B24"/>
    <w:rsid w:val="00716F03"/>
    <w:rsid w:val="00717995"/>
    <w:rsid w:val="00720444"/>
    <w:rsid w:val="00720EAC"/>
    <w:rsid w:val="00721E75"/>
    <w:rsid w:val="007220A2"/>
    <w:rsid w:val="0072229D"/>
    <w:rsid w:val="00723332"/>
    <w:rsid w:val="00723413"/>
    <w:rsid w:val="00723416"/>
    <w:rsid w:val="0072464D"/>
    <w:rsid w:val="00725B0F"/>
    <w:rsid w:val="00725BF1"/>
    <w:rsid w:val="007274BD"/>
    <w:rsid w:val="00730AE0"/>
    <w:rsid w:val="00731AEE"/>
    <w:rsid w:val="00731DF1"/>
    <w:rsid w:val="00732294"/>
    <w:rsid w:val="007322F4"/>
    <w:rsid w:val="0073322E"/>
    <w:rsid w:val="007334AE"/>
    <w:rsid w:val="00734573"/>
    <w:rsid w:val="00734B50"/>
    <w:rsid w:val="00734F4B"/>
    <w:rsid w:val="00736E15"/>
    <w:rsid w:val="00737303"/>
    <w:rsid w:val="00743AE7"/>
    <w:rsid w:val="00744C9F"/>
    <w:rsid w:val="0074546D"/>
    <w:rsid w:val="007467A0"/>
    <w:rsid w:val="0074797B"/>
    <w:rsid w:val="00750AF7"/>
    <w:rsid w:val="007511ED"/>
    <w:rsid w:val="00751222"/>
    <w:rsid w:val="00753494"/>
    <w:rsid w:val="007536CE"/>
    <w:rsid w:val="00753B68"/>
    <w:rsid w:val="00753F20"/>
    <w:rsid w:val="007567D9"/>
    <w:rsid w:val="00756A5B"/>
    <w:rsid w:val="00756BF8"/>
    <w:rsid w:val="00756EC6"/>
    <w:rsid w:val="00756F61"/>
    <w:rsid w:val="007579AD"/>
    <w:rsid w:val="00757D8A"/>
    <w:rsid w:val="0076058D"/>
    <w:rsid w:val="00760E07"/>
    <w:rsid w:val="00761EE4"/>
    <w:rsid w:val="007640F7"/>
    <w:rsid w:val="00764534"/>
    <w:rsid w:val="00765683"/>
    <w:rsid w:val="00765BAE"/>
    <w:rsid w:val="00766190"/>
    <w:rsid w:val="00770124"/>
    <w:rsid w:val="00770267"/>
    <w:rsid w:val="0077160A"/>
    <w:rsid w:val="00771A39"/>
    <w:rsid w:val="00772A8C"/>
    <w:rsid w:val="00774594"/>
    <w:rsid w:val="0077462C"/>
    <w:rsid w:val="00774BEA"/>
    <w:rsid w:val="007758AF"/>
    <w:rsid w:val="00775FE2"/>
    <w:rsid w:val="00777014"/>
    <w:rsid w:val="00781078"/>
    <w:rsid w:val="007813DC"/>
    <w:rsid w:val="007830C8"/>
    <w:rsid w:val="007839C2"/>
    <w:rsid w:val="00783C43"/>
    <w:rsid w:val="00784292"/>
    <w:rsid w:val="00784CEA"/>
    <w:rsid w:val="0078554A"/>
    <w:rsid w:val="0078638C"/>
    <w:rsid w:val="00787453"/>
    <w:rsid w:val="00787656"/>
    <w:rsid w:val="00787B96"/>
    <w:rsid w:val="00790C2D"/>
    <w:rsid w:val="0079306A"/>
    <w:rsid w:val="00793C5B"/>
    <w:rsid w:val="007943FF"/>
    <w:rsid w:val="00794835"/>
    <w:rsid w:val="00796F8A"/>
    <w:rsid w:val="00797903"/>
    <w:rsid w:val="00797A36"/>
    <w:rsid w:val="007A1C3D"/>
    <w:rsid w:val="007A2A45"/>
    <w:rsid w:val="007A3940"/>
    <w:rsid w:val="007A4266"/>
    <w:rsid w:val="007A46EA"/>
    <w:rsid w:val="007A5BAB"/>
    <w:rsid w:val="007A67BF"/>
    <w:rsid w:val="007A6BDA"/>
    <w:rsid w:val="007A793A"/>
    <w:rsid w:val="007A7AE3"/>
    <w:rsid w:val="007B05DA"/>
    <w:rsid w:val="007B0EF6"/>
    <w:rsid w:val="007B0F58"/>
    <w:rsid w:val="007B2524"/>
    <w:rsid w:val="007B3C99"/>
    <w:rsid w:val="007B4777"/>
    <w:rsid w:val="007B4B86"/>
    <w:rsid w:val="007B681A"/>
    <w:rsid w:val="007B6D75"/>
    <w:rsid w:val="007C07A0"/>
    <w:rsid w:val="007C2195"/>
    <w:rsid w:val="007C2D86"/>
    <w:rsid w:val="007C6E65"/>
    <w:rsid w:val="007C7377"/>
    <w:rsid w:val="007D0A43"/>
    <w:rsid w:val="007D1143"/>
    <w:rsid w:val="007D34A7"/>
    <w:rsid w:val="007D4A09"/>
    <w:rsid w:val="007D4E4E"/>
    <w:rsid w:val="007D63B4"/>
    <w:rsid w:val="007D679B"/>
    <w:rsid w:val="007E1438"/>
    <w:rsid w:val="007E1E78"/>
    <w:rsid w:val="007E21F1"/>
    <w:rsid w:val="007E3743"/>
    <w:rsid w:val="007E3E26"/>
    <w:rsid w:val="007E4390"/>
    <w:rsid w:val="007E464F"/>
    <w:rsid w:val="007E5A30"/>
    <w:rsid w:val="007E61B7"/>
    <w:rsid w:val="007E6494"/>
    <w:rsid w:val="007E6B27"/>
    <w:rsid w:val="007E71B9"/>
    <w:rsid w:val="007F03DD"/>
    <w:rsid w:val="007F0FF4"/>
    <w:rsid w:val="007F10A8"/>
    <w:rsid w:val="007F26A4"/>
    <w:rsid w:val="007F3C09"/>
    <w:rsid w:val="007F442C"/>
    <w:rsid w:val="007F4B44"/>
    <w:rsid w:val="007F4B5E"/>
    <w:rsid w:val="007F51A6"/>
    <w:rsid w:val="007F5258"/>
    <w:rsid w:val="007F61F3"/>
    <w:rsid w:val="007F6760"/>
    <w:rsid w:val="007F700E"/>
    <w:rsid w:val="007F75EE"/>
    <w:rsid w:val="0080119E"/>
    <w:rsid w:val="008015D9"/>
    <w:rsid w:val="00803079"/>
    <w:rsid w:val="008039C9"/>
    <w:rsid w:val="008039D5"/>
    <w:rsid w:val="00804060"/>
    <w:rsid w:val="00804307"/>
    <w:rsid w:val="00805945"/>
    <w:rsid w:val="00806ECC"/>
    <w:rsid w:val="008075EE"/>
    <w:rsid w:val="00810CEC"/>
    <w:rsid w:val="008117BE"/>
    <w:rsid w:val="008129E8"/>
    <w:rsid w:val="00812C4C"/>
    <w:rsid w:val="00813151"/>
    <w:rsid w:val="00813A8D"/>
    <w:rsid w:val="00814956"/>
    <w:rsid w:val="008165D2"/>
    <w:rsid w:val="008177F0"/>
    <w:rsid w:val="0082265F"/>
    <w:rsid w:val="008237C0"/>
    <w:rsid w:val="00824442"/>
    <w:rsid w:val="00825FDC"/>
    <w:rsid w:val="00826B11"/>
    <w:rsid w:val="00826B8D"/>
    <w:rsid w:val="008270A2"/>
    <w:rsid w:val="008302B7"/>
    <w:rsid w:val="00830F4C"/>
    <w:rsid w:val="0083124F"/>
    <w:rsid w:val="008318F5"/>
    <w:rsid w:val="0083324D"/>
    <w:rsid w:val="00833BE0"/>
    <w:rsid w:val="00833F05"/>
    <w:rsid w:val="0083400E"/>
    <w:rsid w:val="0083409E"/>
    <w:rsid w:val="00834406"/>
    <w:rsid w:val="0083481A"/>
    <w:rsid w:val="0084007A"/>
    <w:rsid w:val="008420B9"/>
    <w:rsid w:val="0084219B"/>
    <w:rsid w:val="00842D14"/>
    <w:rsid w:val="008431E5"/>
    <w:rsid w:val="008434B5"/>
    <w:rsid w:val="00844114"/>
    <w:rsid w:val="00845079"/>
    <w:rsid w:val="008452D2"/>
    <w:rsid w:val="0084550E"/>
    <w:rsid w:val="0084696B"/>
    <w:rsid w:val="008469CC"/>
    <w:rsid w:val="008501D0"/>
    <w:rsid w:val="00850636"/>
    <w:rsid w:val="00850790"/>
    <w:rsid w:val="00850D81"/>
    <w:rsid w:val="008528F3"/>
    <w:rsid w:val="0085316A"/>
    <w:rsid w:val="008552CB"/>
    <w:rsid w:val="008556C3"/>
    <w:rsid w:val="008564E8"/>
    <w:rsid w:val="00857328"/>
    <w:rsid w:val="00857414"/>
    <w:rsid w:val="00857E76"/>
    <w:rsid w:val="00857EA5"/>
    <w:rsid w:val="00860659"/>
    <w:rsid w:val="0086070C"/>
    <w:rsid w:val="00861220"/>
    <w:rsid w:val="00861C70"/>
    <w:rsid w:val="008625A7"/>
    <w:rsid w:val="00863250"/>
    <w:rsid w:val="0086591D"/>
    <w:rsid w:val="00866CFE"/>
    <w:rsid w:val="00866F0A"/>
    <w:rsid w:val="008707A8"/>
    <w:rsid w:val="00871006"/>
    <w:rsid w:val="008724A0"/>
    <w:rsid w:val="008736C4"/>
    <w:rsid w:val="008737C6"/>
    <w:rsid w:val="00873B0A"/>
    <w:rsid w:val="00873C21"/>
    <w:rsid w:val="00873CCA"/>
    <w:rsid w:val="0087414C"/>
    <w:rsid w:val="00874D40"/>
    <w:rsid w:val="00875132"/>
    <w:rsid w:val="00875B7E"/>
    <w:rsid w:val="00875DDC"/>
    <w:rsid w:val="008760B2"/>
    <w:rsid w:val="008765B2"/>
    <w:rsid w:val="00876BA3"/>
    <w:rsid w:val="00880622"/>
    <w:rsid w:val="008816D4"/>
    <w:rsid w:val="0088344C"/>
    <w:rsid w:val="008849E7"/>
    <w:rsid w:val="00887203"/>
    <w:rsid w:val="0089068D"/>
    <w:rsid w:val="00890766"/>
    <w:rsid w:val="008909A6"/>
    <w:rsid w:val="00890CA7"/>
    <w:rsid w:val="00891866"/>
    <w:rsid w:val="00891A12"/>
    <w:rsid w:val="00892EFE"/>
    <w:rsid w:val="0089329F"/>
    <w:rsid w:val="008933DB"/>
    <w:rsid w:val="008936D9"/>
    <w:rsid w:val="00893E9A"/>
    <w:rsid w:val="00894157"/>
    <w:rsid w:val="0089438D"/>
    <w:rsid w:val="008946E6"/>
    <w:rsid w:val="00895135"/>
    <w:rsid w:val="00896595"/>
    <w:rsid w:val="00897B48"/>
    <w:rsid w:val="008A0594"/>
    <w:rsid w:val="008A27EB"/>
    <w:rsid w:val="008A35E5"/>
    <w:rsid w:val="008A4309"/>
    <w:rsid w:val="008A49B6"/>
    <w:rsid w:val="008A5553"/>
    <w:rsid w:val="008A68ED"/>
    <w:rsid w:val="008A7671"/>
    <w:rsid w:val="008B1F8E"/>
    <w:rsid w:val="008B2677"/>
    <w:rsid w:val="008B2963"/>
    <w:rsid w:val="008B2F39"/>
    <w:rsid w:val="008B3325"/>
    <w:rsid w:val="008B3B22"/>
    <w:rsid w:val="008B4EE2"/>
    <w:rsid w:val="008B5808"/>
    <w:rsid w:val="008B60EA"/>
    <w:rsid w:val="008B61B9"/>
    <w:rsid w:val="008B6A18"/>
    <w:rsid w:val="008C0ACA"/>
    <w:rsid w:val="008C557F"/>
    <w:rsid w:val="008C5616"/>
    <w:rsid w:val="008C57B6"/>
    <w:rsid w:val="008C63C9"/>
    <w:rsid w:val="008C67A3"/>
    <w:rsid w:val="008C7DCF"/>
    <w:rsid w:val="008D003B"/>
    <w:rsid w:val="008D0885"/>
    <w:rsid w:val="008D0B80"/>
    <w:rsid w:val="008D0BEF"/>
    <w:rsid w:val="008D0CCF"/>
    <w:rsid w:val="008D1415"/>
    <w:rsid w:val="008D1A92"/>
    <w:rsid w:val="008D2E5B"/>
    <w:rsid w:val="008D3596"/>
    <w:rsid w:val="008D3EAB"/>
    <w:rsid w:val="008D60E8"/>
    <w:rsid w:val="008D746E"/>
    <w:rsid w:val="008E108A"/>
    <w:rsid w:val="008E1AD9"/>
    <w:rsid w:val="008E39F4"/>
    <w:rsid w:val="008E464B"/>
    <w:rsid w:val="008E469A"/>
    <w:rsid w:val="008E5335"/>
    <w:rsid w:val="008F17B1"/>
    <w:rsid w:val="008F2561"/>
    <w:rsid w:val="008F2F1B"/>
    <w:rsid w:val="008F4234"/>
    <w:rsid w:val="008F4B03"/>
    <w:rsid w:val="008F501E"/>
    <w:rsid w:val="008F724F"/>
    <w:rsid w:val="008F79F9"/>
    <w:rsid w:val="0090118F"/>
    <w:rsid w:val="0090126B"/>
    <w:rsid w:val="00901ABF"/>
    <w:rsid w:val="00901D10"/>
    <w:rsid w:val="00904075"/>
    <w:rsid w:val="00904ED1"/>
    <w:rsid w:val="00905607"/>
    <w:rsid w:val="0090614E"/>
    <w:rsid w:val="009114A1"/>
    <w:rsid w:val="009120E9"/>
    <w:rsid w:val="00912777"/>
    <w:rsid w:val="00912F1C"/>
    <w:rsid w:val="009136E7"/>
    <w:rsid w:val="009136FD"/>
    <w:rsid w:val="00913806"/>
    <w:rsid w:val="0091545B"/>
    <w:rsid w:val="00915FB7"/>
    <w:rsid w:val="009167AC"/>
    <w:rsid w:val="009169E0"/>
    <w:rsid w:val="00916D0C"/>
    <w:rsid w:val="009173AA"/>
    <w:rsid w:val="00920AB1"/>
    <w:rsid w:val="00921BCD"/>
    <w:rsid w:val="009229BF"/>
    <w:rsid w:val="00923F53"/>
    <w:rsid w:val="00925D88"/>
    <w:rsid w:val="009279F8"/>
    <w:rsid w:val="00931148"/>
    <w:rsid w:val="0093418E"/>
    <w:rsid w:val="009350B3"/>
    <w:rsid w:val="00936BBF"/>
    <w:rsid w:val="00936EC2"/>
    <w:rsid w:val="009374E2"/>
    <w:rsid w:val="00937AC7"/>
    <w:rsid w:val="00940611"/>
    <w:rsid w:val="009409E2"/>
    <w:rsid w:val="00940CAB"/>
    <w:rsid w:val="00941DE2"/>
    <w:rsid w:val="009436F8"/>
    <w:rsid w:val="00943F88"/>
    <w:rsid w:val="00944CF0"/>
    <w:rsid w:val="0094538F"/>
    <w:rsid w:val="00946CF8"/>
    <w:rsid w:val="0094738E"/>
    <w:rsid w:val="00947E80"/>
    <w:rsid w:val="0095027B"/>
    <w:rsid w:val="00950F49"/>
    <w:rsid w:val="00951A77"/>
    <w:rsid w:val="009523D2"/>
    <w:rsid w:val="00952917"/>
    <w:rsid w:val="00954B09"/>
    <w:rsid w:val="00955861"/>
    <w:rsid w:val="0095632A"/>
    <w:rsid w:val="009577DD"/>
    <w:rsid w:val="009604D8"/>
    <w:rsid w:val="0096086D"/>
    <w:rsid w:val="00961190"/>
    <w:rsid w:val="0096153B"/>
    <w:rsid w:val="009624F9"/>
    <w:rsid w:val="00963AD8"/>
    <w:rsid w:val="0096414A"/>
    <w:rsid w:val="0096680F"/>
    <w:rsid w:val="00966EFE"/>
    <w:rsid w:val="0096760F"/>
    <w:rsid w:val="00967EA5"/>
    <w:rsid w:val="009705DE"/>
    <w:rsid w:val="009715D3"/>
    <w:rsid w:val="00971D90"/>
    <w:rsid w:val="00971DC4"/>
    <w:rsid w:val="009724A9"/>
    <w:rsid w:val="009729A7"/>
    <w:rsid w:val="00972E1E"/>
    <w:rsid w:val="0097310A"/>
    <w:rsid w:val="00974717"/>
    <w:rsid w:val="00974EA8"/>
    <w:rsid w:val="00975258"/>
    <w:rsid w:val="00977E1B"/>
    <w:rsid w:val="0098074B"/>
    <w:rsid w:val="00982288"/>
    <w:rsid w:val="0098490B"/>
    <w:rsid w:val="009849E5"/>
    <w:rsid w:val="00984FE1"/>
    <w:rsid w:val="0098630B"/>
    <w:rsid w:val="009866D5"/>
    <w:rsid w:val="00986BFD"/>
    <w:rsid w:val="00986F04"/>
    <w:rsid w:val="00987991"/>
    <w:rsid w:val="00990320"/>
    <w:rsid w:val="00991038"/>
    <w:rsid w:val="00991342"/>
    <w:rsid w:val="00993476"/>
    <w:rsid w:val="00994A7C"/>
    <w:rsid w:val="00994BCC"/>
    <w:rsid w:val="0099526F"/>
    <w:rsid w:val="00995547"/>
    <w:rsid w:val="00995A32"/>
    <w:rsid w:val="00996AC1"/>
    <w:rsid w:val="00996B4F"/>
    <w:rsid w:val="00997177"/>
    <w:rsid w:val="009A013A"/>
    <w:rsid w:val="009A0351"/>
    <w:rsid w:val="009A0F6D"/>
    <w:rsid w:val="009A25BE"/>
    <w:rsid w:val="009A3F28"/>
    <w:rsid w:val="009A4462"/>
    <w:rsid w:val="009A6136"/>
    <w:rsid w:val="009A6AB7"/>
    <w:rsid w:val="009A6FC3"/>
    <w:rsid w:val="009B0022"/>
    <w:rsid w:val="009B034B"/>
    <w:rsid w:val="009B0A36"/>
    <w:rsid w:val="009B14E9"/>
    <w:rsid w:val="009B1BD8"/>
    <w:rsid w:val="009B3F7D"/>
    <w:rsid w:val="009B4303"/>
    <w:rsid w:val="009B534F"/>
    <w:rsid w:val="009B72EF"/>
    <w:rsid w:val="009B75B7"/>
    <w:rsid w:val="009B7CAD"/>
    <w:rsid w:val="009B7F98"/>
    <w:rsid w:val="009C0B7D"/>
    <w:rsid w:val="009C1CA7"/>
    <w:rsid w:val="009C2737"/>
    <w:rsid w:val="009C2BFF"/>
    <w:rsid w:val="009C379D"/>
    <w:rsid w:val="009C43CD"/>
    <w:rsid w:val="009C7711"/>
    <w:rsid w:val="009C7BC8"/>
    <w:rsid w:val="009D11A9"/>
    <w:rsid w:val="009D24C3"/>
    <w:rsid w:val="009D2832"/>
    <w:rsid w:val="009D2E63"/>
    <w:rsid w:val="009D2EC2"/>
    <w:rsid w:val="009D342A"/>
    <w:rsid w:val="009D37C9"/>
    <w:rsid w:val="009D389D"/>
    <w:rsid w:val="009D5D2E"/>
    <w:rsid w:val="009D792D"/>
    <w:rsid w:val="009E0196"/>
    <w:rsid w:val="009E18D6"/>
    <w:rsid w:val="009E19F9"/>
    <w:rsid w:val="009E270F"/>
    <w:rsid w:val="009E444C"/>
    <w:rsid w:val="009E44AD"/>
    <w:rsid w:val="009E527C"/>
    <w:rsid w:val="009E57A8"/>
    <w:rsid w:val="009E7B1C"/>
    <w:rsid w:val="009E7C07"/>
    <w:rsid w:val="009F14FB"/>
    <w:rsid w:val="009F3523"/>
    <w:rsid w:val="009F4688"/>
    <w:rsid w:val="009F475D"/>
    <w:rsid w:val="009F49B9"/>
    <w:rsid w:val="009F569C"/>
    <w:rsid w:val="009F73F0"/>
    <w:rsid w:val="009F7937"/>
    <w:rsid w:val="00A000C1"/>
    <w:rsid w:val="00A0036B"/>
    <w:rsid w:val="00A01037"/>
    <w:rsid w:val="00A014CE"/>
    <w:rsid w:val="00A014E4"/>
    <w:rsid w:val="00A0171A"/>
    <w:rsid w:val="00A022D4"/>
    <w:rsid w:val="00A02FC0"/>
    <w:rsid w:val="00A03840"/>
    <w:rsid w:val="00A0414D"/>
    <w:rsid w:val="00A04B51"/>
    <w:rsid w:val="00A053DB"/>
    <w:rsid w:val="00A05B44"/>
    <w:rsid w:val="00A060FB"/>
    <w:rsid w:val="00A06870"/>
    <w:rsid w:val="00A06FBC"/>
    <w:rsid w:val="00A07E19"/>
    <w:rsid w:val="00A07FB0"/>
    <w:rsid w:val="00A10D1E"/>
    <w:rsid w:val="00A10FF5"/>
    <w:rsid w:val="00A114D7"/>
    <w:rsid w:val="00A11545"/>
    <w:rsid w:val="00A12815"/>
    <w:rsid w:val="00A12D6A"/>
    <w:rsid w:val="00A12ECC"/>
    <w:rsid w:val="00A15675"/>
    <w:rsid w:val="00A15846"/>
    <w:rsid w:val="00A15D1C"/>
    <w:rsid w:val="00A15E67"/>
    <w:rsid w:val="00A16613"/>
    <w:rsid w:val="00A170C2"/>
    <w:rsid w:val="00A20051"/>
    <w:rsid w:val="00A204F5"/>
    <w:rsid w:val="00A214C5"/>
    <w:rsid w:val="00A22ED1"/>
    <w:rsid w:val="00A23544"/>
    <w:rsid w:val="00A23759"/>
    <w:rsid w:val="00A239F4"/>
    <w:rsid w:val="00A24219"/>
    <w:rsid w:val="00A2430E"/>
    <w:rsid w:val="00A24A0F"/>
    <w:rsid w:val="00A2568E"/>
    <w:rsid w:val="00A25933"/>
    <w:rsid w:val="00A262B4"/>
    <w:rsid w:val="00A26955"/>
    <w:rsid w:val="00A26FB8"/>
    <w:rsid w:val="00A3025F"/>
    <w:rsid w:val="00A30526"/>
    <w:rsid w:val="00A30D3E"/>
    <w:rsid w:val="00A317E0"/>
    <w:rsid w:val="00A31926"/>
    <w:rsid w:val="00A31CDD"/>
    <w:rsid w:val="00A34460"/>
    <w:rsid w:val="00A357CE"/>
    <w:rsid w:val="00A3610A"/>
    <w:rsid w:val="00A36F51"/>
    <w:rsid w:val="00A37018"/>
    <w:rsid w:val="00A37665"/>
    <w:rsid w:val="00A37A06"/>
    <w:rsid w:val="00A406D0"/>
    <w:rsid w:val="00A40EF1"/>
    <w:rsid w:val="00A41686"/>
    <w:rsid w:val="00A41CDA"/>
    <w:rsid w:val="00A42DC7"/>
    <w:rsid w:val="00A43475"/>
    <w:rsid w:val="00A43E24"/>
    <w:rsid w:val="00A4446B"/>
    <w:rsid w:val="00A44923"/>
    <w:rsid w:val="00A44AA9"/>
    <w:rsid w:val="00A45266"/>
    <w:rsid w:val="00A46630"/>
    <w:rsid w:val="00A47109"/>
    <w:rsid w:val="00A47EDF"/>
    <w:rsid w:val="00A50991"/>
    <w:rsid w:val="00A5109D"/>
    <w:rsid w:val="00A512B4"/>
    <w:rsid w:val="00A533F0"/>
    <w:rsid w:val="00A54076"/>
    <w:rsid w:val="00A544B1"/>
    <w:rsid w:val="00A5477A"/>
    <w:rsid w:val="00A54B7C"/>
    <w:rsid w:val="00A5635D"/>
    <w:rsid w:val="00A56D54"/>
    <w:rsid w:val="00A574CA"/>
    <w:rsid w:val="00A577A1"/>
    <w:rsid w:val="00A608D4"/>
    <w:rsid w:val="00A60E9E"/>
    <w:rsid w:val="00A61B2A"/>
    <w:rsid w:val="00A623D7"/>
    <w:rsid w:val="00A635EA"/>
    <w:rsid w:val="00A65D75"/>
    <w:rsid w:val="00A662B9"/>
    <w:rsid w:val="00A675D9"/>
    <w:rsid w:val="00A70613"/>
    <w:rsid w:val="00A70DA6"/>
    <w:rsid w:val="00A718B8"/>
    <w:rsid w:val="00A7288B"/>
    <w:rsid w:val="00A73A67"/>
    <w:rsid w:val="00A73A95"/>
    <w:rsid w:val="00A74CA1"/>
    <w:rsid w:val="00A76A2B"/>
    <w:rsid w:val="00A76FF6"/>
    <w:rsid w:val="00A77124"/>
    <w:rsid w:val="00A775DE"/>
    <w:rsid w:val="00A81348"/>
    <w:rsid w:val="00A81C19"/>
    <w:rsid w:val="00A82191"/>
    <w:rsid w:val="00A824C2"/>
    <w:rsid w:val="00A83196"/>
    <w:rsid w:val="00A84CCD"/>
    <w:rsid w:val="00A84EB7"/>
    <w:rsid w:val="00A86D54"/>
    <w:rsid w:val="00A86F69"/>
    <w:rsid w:val="00A8796F"/>
    <w:rsid w:val="00A87ED5"/>
    <w:rsid w:val="00A91542"/>
    <w:rsid w:val="00A92DDC"/>
    <w:rsid w:val="00A9311D"/>
    <w:rsid w:val="00A95542"/>
    <w:rsid w:val="00A955A7"/>
    <w:rsid w:val="00A95A2D"/>
    <w:rsid w:val="00A95AFA"/>
    <w:rsid w:val="00AA0139"/>
    <w:rsid w:val="00AA0B79"/>
    <w:rsid w:val="00AA13FF"/>
    <w:rsid w:val="00AA16F5"/>
    <w:rsid w:val="00AA219A"/>
    <w:rsid w:val="00AA27F1"/>
    <w:rsid w:val="00AA30B1"/>
    <w:rsid w:val="00AA3238"/>
    <w:rsid w:val="00AA3808"/>
    <w:rsid w:val="00AA3835"/>
    <w:rsid w:val="00AA3B0F"/>
    <w:rsid w:val="00AA547A"/>
    <w:rsid w:val="00AA6376"/>
    <w:rsid w:val="00AA64A9"/>
    <w:rsid w:val="00AA6970"/>
    <w:rsid w:val="00AA7AB8"/>
    <w:rsid w:val="00AB26E3"/>
    <w:rsid w:val="00AB392F"/>
    <w:rsid w:val="00AB4921"/>
    <w:rsid w:val="00AB5807"/>
    <w:rsid w:val="00AC007C"/>
    <w:rsid w:val="00AC0156"/>
    <w:rsid w:val="00AC125E"/>
    <w:rsid w:val="00AC163A"/>
    <w:rsid w:val="00AC1C62"/>
    <w:rsid w:val="00AC2C07"/>
    <w:rsid w:val="00AC4068"/>
    <w:rsid w:val="00AC587F"/>
    <w:rsid w:val="00AC593E"/>
    <w:rsid w:val="00AC7043"/>
    <w:rsid w:val="00AD0D83"/>
    <w:rsid w:val="00AD0F04"/>
    <w:rsid w:val="00AD344B"/>
    <w:rsid w:val="00AD48F4"/>
    <w:rsid w:val="00AD4AD5"/>
    <w:rsid w:val="00AD743D"/>
    <w:rsid w:val="00AE0FE5"/>
    <w:rsid w:val="00AE11BC"/>
    <w:rsid w:val="00AE1622"/>
    <w:rsid w:val="00AE2A47"/>
    <w:rsid w:val="00AE2BC8"/>
    <w:rsid w:val="00AE39BA"/>
    <w:rsid w:val="00AE50E9"/>
    <w:rsid w:val="00AE5945"/>
    <w:rsid w:val="00AE5E00"/>
    <w:rsid w:val="00AE5F88"/>
    <w:rsid w:val="00AF096C"/>
    <w:rsid w:val="00AF3309"/>
    <w:rsid w:val="00AF4635"/>
    <w:rsid w:val="00AF4BFF"/>
    <w:rsid w:val="00AF5432"/>
    <w:rsid w:val="00AF73AA"/>
    <w:rsid w:val="00AF7AC5"/>
    <w:rsid w:val="00B003B0"/>
    <w:rsid w:val="00B005A5"/>
    <w:rsid w:val="00B0491D"/>
    <w:rsid w:val="00B06E98"/>
    <w:rsid w:val="00B06F26"/>
    <w:rsid w:val="00B07308"/>
    <w:rsid w:val="00B07A23"/>
    <w:rsid w:val="00B07EE3"/>
    <w:rsid w:val="00B11481"/>
    <w:rsid w:val="00B120B0"/>
    <w:rsid w:val="00B12330"/>
    <w:rsid w:val="00B133F3"/>
    <w:rsid w:val="00B14128"/>
    <w:rsid w:val="00B14288"/>
    <w:rsid w:val="00B16992"/>
    <w:rsid w:val="00B16AD9"/>
    <w:rsid w:val="00B204EA"/>
    <w:rsid w:val="00B206BD"/>
    <w:rsid w:val="00B23666"/>
    <w:rsid w:val="00B236A5"/>
    <w:rsid w:val="00B24835"/>
    <w:rsid w:val="00B25C01"/>
    <w:rsid w:val="00B26A00"/>
    <w:rsid w:val="00B27436"/>
    <w:rsid w:val="00B277B5"/>
    <w:rsid w:val="00B277F7"/>
    <w:rsid w:val="00B304E3"/>
    <w:rsid w:val="00B318D0"/>
    <w:rsid w:val="00B31B64"/>
    <w:rsid w:val="00B31D2B"/>
    <w:rsid w:val="00B3213F"/>
    <w:rsid w:val="00B32A0B"/>
    <w:rsid w:val="00B337E6"/>
    <w:rsid w:val="00B345BC"/>
    <w:rsid w:val="00B34C36"/>
    <w:rsid w:val="00B37930"/>
    <w:rsid w:val="00B37A33"/>
    <w:rsid w:val="00B409EF"/>
    <w:rsid w:val="00B41E03"/>
    <w:rsid w:val="00B421E5"/>
    <w:rsid w:val="00B426D5"/>
    <w:rsid w:val="00B43151"/>
    <w:rsid w:val="00B435C6"/>
    <w:rsid w:val="00B45B0D"/>
    <w:rsid w:val="00B465C1"/>
    <w:rsid w:val="00B473A5"/>
    <w:rsid w:val="00B47EFA"/>
    <w:rsid w:val="00B50424"/>
    <w:rsid w:val="00B52D10"/>
    <w:rsid w:val="00B54798"/>
    <w:rsid w:val="00B54C0C"/>
    <w:rsid w:val="00B555B8"/>
    <w:rsid w:val="00B555F7"/>
    <w:rsid w:val="00B55CB6"/>
    <w:rsid w:val="00B55D03"/>
    <w:rsid w:val="00B5732C"/>
    <w:rsid w:val="00B5735A"/>
    <w:rsid w:val="00B60676"/>
    <w:rsid w:val="00B607B1"/>
    <w:rsid w:val="00B6118E"/>
    <w:rsid w:val="00B62AB8"/>
    <w:rsid w:val="00B63248"/>
    <w:rsid w:val="00B6339B"/>
    <w:rsid w:val="00B634EE"/>
    <w:rsid w:val="00B64110"/>
    <w:rsid w:val="00B6440D"/>
    <w:rsid w:val="00B651BC"/>
    <w:rsid w:val="00B65E40"/>
    <w:rsid w:val="00B6633B"/>
    <w:rsid w:val="00B6643D"/>
    <w:rsid w:val="00B66827"/>
    <w:rsid w:val="00B674DE"/>
    <w:rsid w:val="00B67902"/>
    <w:rsid w:val="00B67C77"/>
    <w:rsid w:val="00B70437"/>
    <w:rsid w:val="00B7255E"/>
    <w:rsid w:val="00B726CA"/>
    <w:rsid w:val="00B73AFB"/>
    <w:rsid w:val="00B76989"/>
    <w:rsid w:val="00B76BB1"/>
    <w:rsid w:val="00B76BC1"/>
    <w:rsid w:val="00B802C9"/>
    <w:rsid w:val="00B8037C"/>
    <w:rsid w:val="00B80BDF"/>
    <w:rsid w:val="00B810F9"/>
    <w:rsid w:val="00B82D8B"/>
    <w:rsid w:val="00B8324A"/>
    <w:rsid w:val="00B84CE6"/>
    <w:rsid w:val="00B85B4D"/>
    <w:rsid w:val="00B874F1"/>
    <w:rsid w:val="00B90E80"/>
    <w:rsid w:val="00B911A3"/>
    <w:rsid w:val="00B9173A"/>
    <w:rsid w:val="00B92667"/>
    <w:rsid w:val="00B9267D"/>
    <w:rsid w:val="00B92FB1"/>
    <w:rsid w:val="00B958EA"/>
    <w:rsid w:val="00B95BD3"/>
    <w:rsid w:val="00B966F1"/>
    <w:rsid w:val="00B97712"/>
    <w:rsid w:val="00BA008A"/>
    <w:rsid w:val="00BA17AA"/>
    <w:rsid w:val="00BA3573"/>
    <w:rsid w:val="00BA45B4"/>
    <w:rsid w:val="00BA5B26"/>
    <w:rsid w:val="00BA6260"/>
    <w:rsid w:val="00BA6B77"/>
    <w:rsid w:val="00BB03FE"/>
    <w:rsid w:val="00BB0639"/>
    <w:rsid w:val="00BB0DBE"/>
    <w:rsid w:val="00BB2976"/>
    <w:rsid w:val="00BB323C"/>
    <w:rsid w:val="00BB3999"/>
    <w:rsid w:val="00BB3B2D"/>
    <w:rsid w:val="00BB3FBC"/>
    <w:rsid w:val="00BB4926"/>
    <w:rsid w:val="00BB4DCF"/>
    <w:rsid w:val="00BB5C8E"/>
    <w:rsid w:val="00BB7539"/>
    <w:rsid w:val="00BB7907"/>
    <w:rsid w:val="00BC06E2"/>
    <w:rsid w:val="00BC218D"/>
    <w:rsid w:val="00BC3C65"/>
    <w:rsid w:val="00BC417F"/>
    <w:rsid w:val="00BC514B"/>
    <w:rsid w:val="00BC6898"/>
    <w:rsid w:val="00BD088C"/>
    <w:rsid w:val="00BD184F"/>
    <w:rsid w:val="00BD285D"/>
    <w:rsid w:val="00BD355C"/>
    <w:rsid w:val="00BD59C9"/>
    <w:rsid w:val="00BD64F1"/>
    <w:rsid w:val="00BD7FA6"/>
    <w:rsid w:val="00BE092E"/>
    <w:rsid w:val="00BE1C32"/>
    <w:rsid w:val="00BE3354"/>
    <w:rsid w:val="00BE416D"/>
    <w:rsid w:val="00BE4223"/>
    <w:rsid w:val="00BE5261"/>
    <w:rsid w:val="00BE60E2"/>
    <w:rsid w:val="00BE7698"/>
    <w:rsid w:val="00BE7A16"/>
    <w:rsid w:val="00BE7ACC"/>
    <w:rsid w:val="00BE7D48"/>
    <w:rsid w:val="00BF0263"/>
    <w:rsid w:val="00BF07E8"/>
    <w:rsid w:val="00BF0902"/>
    <w:rsid w:val="00BF099F"/>
    <w:rsid w:val="00BF1A66"/>
    <w:rsid w:val="00BF2B9B"/>
    <w:rsid w:val="00BF534C"/>
    <w:rsid w:val="00BF7221"/>
    <w:rsid w:val="00BF75F1"/>
    <w:rsid w:val="00C02484"/>
    <w:rsid w:val="00C0314B"/>
    <w:rsid w:val="00C03E62"/>
    <w:rsid w:val="00C040CA"/>
    <w:rsid w:val="00C05A71"/>
    <w:rsid w:val="00C07AA8"/>
    <w:rsid w:val="00C10F90"/>
    <w:rsid w:val="00C12780"/>
    <w:rsid w:val="00C14843"/>
    <w:rsid w:val="00C14966"/>
    <w:rsid w:val="00C1528D"/>
    <w:rsid w:val="00C154CC"/>
    <w:rsid w:val="00C15A6F"/>
    <w:rsid w:val="00C1612E"/>
    <w:rsid w:val="00C1658E"/>
    <w:rsid w:val="00C16CC2"/>
    <w:rsid w:val="00C16DB8"/>
    <w:rsid w:val="00C175F4"/>
    <w:rsid w:val="00C1761B"/>
    <w:rsid w:val="00C17D65"/>
    <w:rsid w:val="00C21A23"/>
    <w:rsid w:val="00C22D49"/>
    <w:rsid w:val="00C2476A"/>
    <w:rsid w:val="00C25144"/>
    <w:rsid w:val="00C25C25"/>
    <w:rsid w:val="00C2606C"/>
    <w:rsid w:val="00C2638D"/>
    <w:rsid w:val="00C2671A"/>
    <w:rsid w:val="00C26B94"/>
    <w:rsid w:val="00C276B4"/>
    <w:rsid w:val="00C27E1C"/>
    <w:rsid w:val="00C30BE6"/>
    <w:rsid w:val="00C31E1C"/>
    <w:rsid w:val="00C31ED2"/>
    <w:rsid w:val="00C31EF0"/>
    <w:rsid w:val="00C32975"/>
    <w:rsid w:val="00C34746"/>
    <w:rsid w:val="00C37623"/>
    <w:rsid w:val="00C40213"/>
    <w:rsid w:val="00C40D72"/>
    <w:rsid w:val="00C40EFC"/>
    <w:rsid w:val="00C4144C"/>
    <w:rsid w:val="00C41948"/>
    <w:rsid w:val="00C426A0"/>
    <w:rsid w:val="00C42969"/>
    <w:rsid w:val="00C449A7"/>
    <w:rsid w:val="00C44B39"/>
    <w:rsid w:val="00C44FEB"/>
    <w:rsid w:val="00C459C1"/>
    <w:rsid w:val="00C466EE"/>
    <w:rsid w:val="00C46D82"/>
    <w:rsid w:val="00C50058"/>
    <w:rsid w:val="00C50211"/>
    <w:rsid w:val="00C50859"/>
    <w:rsid w:val="00C5219D"/>
    <w:rsid w:val="00C53A41"/>
    <w:rsid w:val="00C53B9A"/>
    <w:rsid w:val="00C551C5"/>
    <w:rsid w:val="00C55374"/>
    <w:rsid w:val="00C55645"/>
    <w:rsid w:val="00C561C4"/>
    <w:rsid w:val="00C56F96"/>
    <w:rsid w:val="00C57404"/>
    <w:rsid w:val="00C578C0"/>
    <w:rsid w:val="00C6027B"/>
    <w:rsid w:val="00C60923"/>
    <w:rsid w:val="00C6156C"/>
    <w:rsid w:val="00C61916"/>
    <w:rsid w:val="00C619CA"/>
    <w:rsid w:val="00C61A75"/>
    <w:rsid w:val="00C61B69"/>
    <w:rsid w:val="00C64609"/>
    <w:rsid w:val="00C65477"/>
    <w:rsid w:val="00C673B3"/>
    <w:rsid w:val="00C70176"/>
    <w:rsid w:val="00C718FF"/>
    <w:rsid w:val="00C724AF"/>
    <w:rsid w:val="00C75525"/>
    <w:rsid w:val="00C7559B"/>
    <w:rsid w:val="00C75695"/>
    <w:rsid w:val="00C75B57"/>
    <w:rsid w:val="00C770BD"/>
    <w:rsid w:val="00C8242D"/>
    <w:rsid w:val="00C82ABF"/>
    <w:rsid w:val="00C84254"/>
    <w:rsid w:val="00C8510F"/>
    <w:rsid w:val="00C8543B"/>
    <w:rsid w:val="00C87236"/>
    <w:rsid w:val="00C8729D"/>
    <w:rsid w:val="00C87E54"/>
    <w:rsid w:val="00C90594"/>
    <w:rsid w:val="00C91765"/>
    <w:rsid w:val="00C93F13"/>
    <w:rsid w:val="00C93F2B"/>
    <w:rsid w:val="00C94448"/>
    <w:rsid w:val="00C95731"/>
    <w:rsid w:val="00C9678D"/>
    <w:rsid w:val="00C970D9"/>
    <w:rsid w:val="00C975DE"/>
    <w:rsid w:val="00CA043A"/>
    <w:rsid w:val="00CA07B1"/>
    <w:rsid w:val="00CA472D"/>
    <w:rsid w:val="00CA6895"/>
    <w:rsid w:val="00CB0058"/>
    <w:rsid w:val="00CB010B"/>
    <w:rsid w:val="00CB1402"/>
    <w:rsid w:val="00CB1B58"/>
    <w:rsid w:val="00CB1BA1"/>
    <w:rsid w:val="00CB24BA"/>
    <w:rsid w:val="00CB46E0"/>
    <w:rsid w:val="00CB7235"/>
    <w:rsid w:val="00CC22C2"/>
    <w:rsid w:val="00CC301B"/>
    <w:rsid w:val="00CC3174"/>
    <w:rsid w:val="00CC4B38"/>
    <w:rsid w:val="00CC580B"/>
    <w:rsid w:val="00CC5C83"/>
    <w:rsid w:val="00CC6B48"/>
    <w:rsid w:val="00CC7662"/>
    <w:rsid w:val="00CC7C41"/>
    <w:rsid w:val="00CD11EC"/>
    <w:rsid w:val="00CD2F48"/>
    <w:rsid w:val="00CD3071"/>
    <w:rsid w:val="00CD30A3"/>
    <w:rsid w:val="00CD32D4"/>
    <w:rsid w:val="00CD45ED"/>
    <w:rsid w:val="00CD5C50"/>
    <w:rsid w:val="00CD5CB0"/>
    <w:rsid w:val="00CD6CE2"/>
    <w:rsid w:val="00CE04D7"/>
    <w:rsid w:val="00CE1881"/>
    <w:rsid w:val="00CE19E2"/>
    <w:rsid w:val="00CE4744"/>
    <w:rsid w:val="00CE4777"/>
    <w:rsid w:val="00CE5B91"/>
    <w:rsid w:val="00CE5F4B"/>
    <w:rsid w:val="00CE64F5"/>
    <w:rsid w:val="00CE6F6A"/>
    <w:rsid w:val="00CE7182"/>
    <w:rsid w:val="00CE7C87"/>
    <w:rsid w:val="00CF0661"/>
    <w:rsid w:val="00CF1AF9"/>
    <w:rsid w:val="00CF34C8"/>
    <w:rsid w:val="00CF40F0"/>
    <w:rsid w:val="00CF4606"/>
    <w:rsid w:val="00CF56C6"/>
    <w:rsid w:val="00CF7CA2"/>
    <w:rsid w:val="00CF7E66"/>
    <w:rsid w:val="00CF7F33"/>
    <w:rsid w:val="00D01795"/>
    <w:rsid w:val="00D03A06"/>
    <w:rsid w:val="00D053BA"/>
    <w:rsid w:val="00D072AF"/>
    <w:rsid w:val="00D07C68"/>
    <w:rsid w:val="00D11838"/>
    <w:rsid w:val="00D11E8B"/>
    <w:rsid w:val="00D1369E"/>
    <w:rsid w:val="00D14C8F"/>
    <w:rsid w:val="00D14CDD"/>
    <w:rsid w:val="00D15B08"/>
    <w:rsid w:val="00D15DB4"/>
    <w:rsid w:val="00D16020"/>
    <w:rsid w:val="00D16902"/>
    <w:rsid w:val="00D169CF"/>
    <w:rsid w:val="00D16DBB"/>
    <w:rsid w:val="00D17889"/>
    <w:rsid w:val="00D20136"/>
    <w:rsid w:val="00D207C6"/>
    <w:rsid w:val="00D21D83"/>
    <w:rsid w:val="00D22A88"/>
    <w:rsid w:val="00D22E55"/>
    <w:rsid w:val="00D24729"/>
    <w:rsid w:val="00D2514E"/>
    <w:rsid w:val="00D26438"/>
    <w:rsid w:val="00D26A26"/>
    <w:rsid w:val="00D26CBE"/>
    <w:rsid w:val="00D30605"/>
    <w:rsid w:val="00D32413"/>
    <w:rsid w:val="00D33C4F"/>
    <w:rsid w:val="00D342D2"/>
    <w:rsid w:val="00D348AA"/>
    <w:rsid w:val="00D36242"/>
    <w:rsid w:val="00D365D6"/>
    <w:rsid w:val="00D36A65"/>
    <w:rsid w:val="00D37949"/>
    <w:rsid w:val="00D40A81"/>
    <w:rsid w:val="00D40F81"/>
    <w:rsid w:val="00D40FA9"/>
    <w:rsid w:val="00D42157"/>
    <w:rsid w:val="00D422C9"/>
    <w:rsid w:val="00D4238B"/>
    <w:rsid w:val="00D4344B"/>
    <w:rsid w:val="00D43454"/>
    <w:rsid w:val="00D44495"/>
    <w:rsid w:val="00D44505"/>
    <w:rsid w:val="00D44A4A"/>
    <w:rsid w:val="00D4520D"/>
    <w:rsid w:val="00D45A1A"/>
    <w:rsid w:val="00D45C5B"/>
    <w:rsid w:val="00D45E47"/>
    <w:rsid w:val="00D46109"/>
    <w:rsid w:val="00D46618"/>
    <w:rsid w:val="00D50C5F"/>
    <w:rsid w:val="00D5188E"/>
    <w:rsid w:val="00D52853"/>
    <w:rsid w:val="00D52AEA"/>
    <w:rsid w:val="00D52C49"/>
    <w:rsid w:val="00D54069"/>
    <w:rsid w:val="00D56873"/>
    <w:rsid w:val="00D57A33"/>
    <w:rsid w:val="00D57A87"/>
    <w:rsid w:val="00D60193"/>
    <w:rsid w:val="00D609DD"/>
    <w:rsid w:val="00D60E5A"/>
    <w:rsid w:val="00D62D25"/>
    <w:rsid w:val="00D63493"/>
    <w:rsid w:val="00D63A24"/>
    <w:rsid w:val="00D6432C"/>
    <w:rsid w:val="00D6522A"/>
    <w:rsid w:val="00D658A4"/>
    <w:rsid w:val="00D660B8"/>
    <w:rsid w:val="00D66B5D"/>
    <w:rsid w:val="00D70C0B"/>
    <w:rsid w:val="00D71005"/>
    <w:rsid w:val="00D7106E"/>
    <w:rsid w:val="00D71478"/>
    <w:rsid w:val="00D719A4"/>
    <w:rsid w:val="00D728E4"/>
    <w:rsid w:val="00D7316C"/>
    <w:rsid w:val="00D73191"/>
    <w:rsid w:val="00D75864"/>
    <w:rsid w:val="00D760EE"/>
    <w:rsid w:val="00D774F5"/>
    <w:rsid w:val="00D77ADE"/>
    <w:rsid w:val="00D801CB"/>
    <w:rsid w:val="00D81C40"/>
    <w:rsid w:val="00D82C26"/>
    <w:rsid w:val="00D8386E"/>
    <w:rsid w:val="00D84075"/>
    <w:rsid w:val="00D855F5"/>
    <w:rsid w:val="00D85B18"/>
    <w:rsid w:val="00D85EEB"/>
    <w:rsid w:val="00D86299"/>
    <w:rsid w:val="00D86B89"/>
    <w:rsid w:val="00D86C4D"/>
    <w:rsid w:val="00D876FE"/>
    <w:rsid w:val="00D926C6"/>
    <w:rsid w:val="00D93A94"/>
    <w:rsid w:val="00D93C4D"/>
    <w:rsid w:val="00D94362"/>
    <w:rsid w:val="00D94968"/>
    <w:rsid w:val="00D9600E"/>
    <w:rsid w:val="00D9718E"/>
    <w:rsid w:val="00DA1CC1"/>
    <w:rsid w:val="00DA4EC0"/>
    <w:rsid w:val="00DB0C28"/>
    <w:rsid w:val="00DB0ECB"/>
    <w:rsid w:val="00DB22A6"/>
    <w:rsid w:val="00DB2591"/>
    <w:rsid w:val="00DB2B3F"/>
    <w:rsid w:val="00DB3C35"/>
    <w:rsid w:val="00DB4048"/>
    <w:rsid w:val="00DB420D"/>
    <w:rsid w:val="00DB457A"/>
    <w:rsid w:val="00DB4ABA"/>
    <w:rsid w:val="00DB5EE8"/>
    <w:rsid w:val="00DB61BE"/>
    <w:rsid w:val="00DB6372"/>
    <w:rsid w:val="00DB6D36"/>
    <w:rsid w:val="00DB77A8"/>
    <w:rsid w:val="00DB7BA2"/>
    <w:rsid w:val="00DB7C32"/>
    <w:rsid w:val="00DB7EFC"/>
    <w:rsid w:val="00DC05A3"/>
    <w:rsid w:val="00DC1391"/>
    <w:rsid w:val="00DC1484"/>
    <w:rsid w:val="00DC168F"/>
    <w:rsid w:val="00DC211A"/>
    <w:rsid w:val="00DC2B49"/>
    <w:rsid w:val="00DC2F6C"/>
    <w:rsid w:val="00DC3064"/>
    <w:rsid w:val="00DC33A0"/>
    <w:rsid w:val="00DC390D"/>
    <w:rsid w:val="00DC395C"/>
    <w:rsid w:val="00DC4A42"/>
    <w:rsid w:val="00DC5540"/>
    <w:rsid w:val="00DC5B8D"/>
    <w:rsid w:val="00DC5E8A"/>
    <w:rsid w:val="00DC6141"/>
    <w:rsid w:val="00DC649E"/>
    <w:rsid w:val="00DC6720"/>
    <w:rsid w:val="00DC7165"/>
    <w:rsid w:val="00DC74D7"/>
    <w:rsid w:val="00DD13FA"/>
    <w:rsid w:val="00DD1C7F"/>
    <w:rsid w:val="00DD23FE"/>
    <w:rsid w:val="00DD35BF"/>
    <w:rsid w:val="00DD385D"/>
    <w:rsid w:val="00DD4BAE"/>
    <w:rsid w:val="00DD6544"/>
    <w:rsid w:val="00DD77A6"/>
    <w:rsid w:val="00DE164F"/>
    <w:rsid w:val="00DE1C3C"/>
    <w:rsid w:val="00DE1CC5"/>
    <w:rsid w:val="00DE2038"/>
    <w:rsid w:val="00DE2F91"/>
    <w:rsid w:val="00DE5BB9"/>
    <w:rsid w:val="00DE7F70"/>
    <w:rsid w:val="00DF0A57"/>
    <w:rsid w:val="00DF2B6D"/>
    <w:rsid w:val="00DF3E0B"/>
    <w:rsid w:val="00DF5576"/>
    <w:rsid w:val="00DF5702"/>
    <w:rsid w:val="00DF5AC2"/>
    <w:rsid w:val="00DF6736"/>
    <w:rsid w:val="00E00D8F"/>
    <w:rsid w:val="00E00E5A"/>
    <w:rsid w:val="00E01168"/>
    <w:rsid w:val="00E0170C"/>
    <w:rsid w:val="00E01BFD"/>
    <w:rsid w:val="00E04267"/>
    <w:rsid w:val="00E043D1"/>
    <w:rsid w:val="00E05AA0"/>
    <w:rsid w:val="00E07A55"/>
    <w:rsid w:val="00E10B18"/>
    <w:rsid w:val="00E14283"/>
    <w:rsid w:val="00E142E4"/>
    <w:rsid w:val="00E1483D"/>
    <w:rsid w:val="00E16B4A"/>
    <w:rsid w:val="00E21225"/>
    <w:rsid w:val="00E2174B"/>
    <w:rsid w:val="00E2245D"/>
    <w:rsid w:val="00E23627"/>
    <w:rsid w:val="00E23BE0"/>
    <w:rsid w:val="00E25ED8"/>
    <w:rsid w:val="00E26B60"/>
    <w:rsid w:val="00E30288"/>
    <w:rsid w:val="00E302C6"/>
    <w:rsid w:val="00E302EA"/>
    <w:rsid w:val="00E3083F"/>
    <w:rsid w:val="00E30BE8"/>
    <w:rsid w:val="00E31305"/>
    <w:rsid w:val="00E34DED"/>
    <w:rsid w:val="00E3510B"/>
    <w:rsid w:val="00E362CC"/>
    <w:rsid w:val="00E3649E"/>
    <w:rsid w:val="00E36BF9"/>
    <w:rsid w:val="00E40472"/>
    <w:rsid w:val="00E4342D"/>
    <w:rsid w:val="00E43B4A"/>
    <w:rsid w:val="00E45035"/>
    <w:rsid w:val="00E45887"/>
    <w:rsid w:val="00E4600C"/>
    <w:rsid w:val="00E46B55"/>
    <w:rsid w:val="00E507AD"/>
    <w:rsid w:val="00E51F7C"/>
    <w:rsid w:val="00E52765"/>
    <w:rsid w:val="00E54297"/>
    <w:rsid w:val="00E556BF"/>
    <w:rsid w:val="00E56F58"/>
    <w:rsid w:val="00E60343"/>
    <w:rsid w:val="00E611E0"/>
    <w:rsid w:val="00E62439"/>
    <w:rsid w:val="00E63E2B"/>
    <w:rsid w:val="00E653B9"/>
    <w:rsid w:val="00E65D17"/>
    <w:rsid w:val="00E666E3"/>
    <w:rsid w:val="00E67354"/>
    <w:rsid w:val="00E67FA9"/>
    <w:rsid w:val="00E70409"/>
    <w:rsid w:val="00E714F2"/>
    <w:rsid w:val="00E71FAA"/>
    <w:rsid w:val="00E727E5"/>
    <w:rsid w:val="00E72CB1"/>
    <w:rsid w:val="00E72D7A"/>
    <w:rsid w:val="00E7333F"/>
    <w:rsid w:val="00E737AF"/>
    <w:rsid w:val="00E738FC"/>
    <w:rsid w:val="00E7394B"/>
    <w:rsid w:val="00E73E54"/>
    <w:rsid w:val="00E74609"/>
    <w:rsid w:val="00E74764"/>
    <w:rsid w:val="00E7483F"/>
    <w:rsid w:val="00E7524E"/>
    <w:rsid w:val="00E752E1"/>
    <w:rsid w:val="00E75884"/>
    <w:rsid w:val="00E7590B"/>
    <w:rsid w:val="00E75A73"/>
    <w:rsid w:val="00E802F2"/>
    <w:rsid w:val="00E806BE"/>
    <w:rsid w:val="00E8091C"/>
    <w:rsid w:val="00E80C8E"/>
    <w:rsid w:val="00E80D18"/>
    <w:rsid w:val="00E81C04"/>
    <w:rsid w:val="00E81F09"/>
    <w:rsid w:val="00E82799"/>
    <w:rsid w:val="00E8451E"/>
    <w:rsid w:val="00E85B4A"/>
    <w:rsid w:val="00E86384"/>
    <w:rsid w:val="00E90711"/>
    <w:rsid w:val="00E91CE2"/>
    <w:rsid w:val="00E945E5"/>
    <w:rsid w:val="00E947C4"/>
    <w:rsid w:val="00E947E4"/>
    <w:rsid w:val="00E963FB"/>
    <w:rsid w:val="00EA06F8"/>
    <w:rsid w:val="00EA0AEC"/>
    <w:rsid w:val="00EA0E6B"/>
    <w:rsid w:val="00EA2115"/>
    <w:rsid w:val="00EA2339"/>
    <w:rsid w:val="00EA29E7"/>
    <w:rsid w:val="00EA2FF4"/>
    <w:rsid w:val="00EA3166"/>
    <w:rsid w:val="00EA3E30"/>
    <w:rsid w:val="00EA4A40"/>
    <w:rsid w:val="00EA4BE6"/>
    <w:rsid w:val="00EA5575"/>
    <w:rsid w:val="00EA6760"/>
    <w:rsid w:val="00EA76D6"/>
    <w:rsid w:val="00EB0CA6"/>
    <w:rsid w:val="00EB416D"/>
    <w:rsid w:val="00EB60D4"/>
    <w:rsid w:val="00EB669D"/>
    <w:rsid w:val="00EC0297"/>
    <w:rsid w:val="00EC10F7"/>
    <w:rsid w:val="00EC1D93"/>
    <w:rsid w:val="00EC22BB"/>
    <w:rsid w:val="00EC4FE9"/>
    <w:rsid w:val="00EC52D2"/>
    <w:rsid w:val="00EC56AE"/>
    <w:rsid w:val="00EC58E1"/>
    <w:rsid w:val="00EC7A2F"/>
    <w:rsid w:val="00ED0DBC"/>
    <w:rsid w:val="00ED1AC0"/>
    <w:rsid w:val="00ED1D74"/>
    <w:rsid w:val="00ED297A"/>
    <w:rsid w:val="00ED501F"/>
    <w:rsid w:val="00ED53EA"/>
    <w:rsid w:val="00ED60C7"/>
    <w:rsid w:val="00ED6AD1"/>
    <w:rsid w:val="00ED6F2A"/>
    <w:rsid w:val="00ED6FD9"/>
    <w:rsid w:val="00EE02A1"/>
    <w:rsid w:val="00EE0FD5"/>
    <w:rsid w:val="00EE1163"/>
    <w:rsid w:val="00EE1CF1"/>
    <w:rsid w:val="00EE2F9F"/>
    <w:rsid w:val="00EE41FF"/>
    <w:rsid w:val="00EE48A7"/>
    <w:rsid w:val="00EE5ED2"/>
    <w:rsid w:val="00EE627B"/>
    <w:rsid w:val="00EE6A9E"/>
    <w:rsid w:val="00EE7E47"/>
    <w:rsid w:val="00EF03E2"/>
    <w:rsid w:val="00EF052D"/>
    <w:rsid w:val="00EF3A32"/>
    <w:rsid w:val="00EF3B33"/>
    <w:rsid w:val="00EF3BF8"/>
    <w:rsid w:val="00EF5F21"/>
    <w:rsid w:val="00EF6C6D"/>
    <w:rsid w:val="00EF7FDE"/>
    <w:rsid w:val="00F00745"/>
    <w:rsid w:val="00F0093E"/>
    <w:rsid w:val="00F00CFB"/>
    <w:rsid w:val="00F02100"/>
    <w:rsid w:val="00F03682"/>
    <w:rsid w:val="00F03E39"/>
    <w:rsid w:val="00F0520D"/>
    <w:rsid w:val="00F05F93"/>
    <w:rsid w:val="00F102E1"/>
    <w:rsid w:val="00F10AF3"/>
    <w:rsid w:val="00F11D68"/>
    <w:rsid w:val="00F121E4"/>
    <w:rsid w:val="00F1353A"/>
    <w:rsid w:val="00F13CCC"/>
    <w:rsid w:val="00F14190"/>
    <w:rsid w:val="00F14BBC"/>
    <w:rsid w:val="00F155DC"/>
    <w:rsid w:val="00F16D63"/>
    <w:rsid w:val="00F16F6B"/>
    <w:rsid w:val="00F172AA"/>
    <w:rsid w:val="00F173D5"/>
    <w:rsid w:val="00F211EC"/>
    <w:rsid w:val="00F21AA5"/>
    <w:rsid w:val="00F22151"/>
    <w:rsid w:val="00F22860"/>
    <w:rsid w:val="00F22F83"/>
    <w:rsid w:val="00F24981"/>
    <w:rsid w:val="00F261CD"/>
    <w:rsid w:val="00F268FC"/>
    <w:rsid w:val="00F26BA0"/>
    <w:rsid w:val="00F30515"/>
    <w:rsid w:val="00F337C7"/>
    <w:rsid w:val="00F33AF7"/>
    <w:rsid w:val="00F340AC"/>
    <w:rsid w:val="00F34BB0"/>
    <w:rsid w:val="00F34EF0"/>
    <w:rsid w:val="00F3557A"/>
    <w:rsid w:val="00F35C65"/>
    <w:rsid w:val="00F35DA9"/>
    <w:rsid w:val="00F3734F"/>
    <w:rsid w:val="00F374CE"/>
    <w:rsid w:val="00F40CC1"/>
    <w:rsid w:val="00F40DFF"/>
    <w:rsid w:val="00F41C7F"/>
    <w:rsid w:val="00F429A1"/>
    <w:rsid w:val="00F44696"/>
    <w:rsid w:val="00F44853"/>
    <w:rsid w:val="00F45613"/>
    <w:rsid w:val="00F475E3"/>
    <w:rsid w:val="00F47F8B"/>
    <w:rsid w:val="00F51105"/>
    <w:rsid w:val="00F52338"/>
    <w:rsid w:val="00F5312B"/>
    <w:rsid w:val="00F53648"/>
    <w:rsid w:val="00F5374E"/>
    <w:rsid w:val="00F54E95"/>
    <w:rsid w:val="00F5668F"/>
    <w:rsid w:val="00F6039A"/>
    <w:rsid w:val="00F6056E"/>
    <w:rsid w:val="00F60F3E"/>
    <w:rsid w:val="00F610B1"/>
    <w:rsid w:val="00F611FC"/>
    <w:rsid w:val="00F61E3E"/>
    <w:rsid w:val="00F62198"/>
    <w:rsid w:val="00F62E0E"/>
    <w:rsid w:val="00F63186"/>
    <w:rsid w:val="00F63917"/>
    <w:rsid w:val="00F6413A"/>
    <w:rsid w:val="00F65070"/>
    <w:rsid w:val="00F6798D"/>
    <w:rsid w:val="00F67ED5"/>
    <w:rsid w:val="00F71AF4"/>
    <w:rsid w:val="00F74C9F"/>
    <w:rsid w:val="00F766B4"/>
    <w:rsid w:val="00F77126"/>
    <w:rsid w:val="00F77B99"/>
    <w:rsid w:val="00F8120C"/>
    <w:rsid w:val="00F812BB"/>
    <w:rsid w:val="00F8207F"/>
    <w:rsid w:val="00F8348E"/>
    <w:rsid w:val="00F83D01"/>
    <w:rsid w:val="00F841F5"/>
    <w:rsid w:val="00F859FE"/>
    <w:rsid w:val="00F86027"/>
    <w:rsid w:val="00F863EE"/>
    <w:rsid w:val="00F9090C"/>
    <w:rsid w:val="00F90D41"/>
    <w:rsid w:val="00F911AD"/>
    <w:rsid w:val="00F9131E"/>
    <w:rsid w:val="00F91D39"/>
    <w:rsid w:val="00F92047"/>
    <w:rsid w:val="00F94052"/>
    <w:rsid w:val="00F96166"/>
    <w:rsid w:val="00F97600"/>
    <w:rsid w:val="00F97C28"/>
    <w:rsid w:val="00F97EEE"/>
    <w:rsid w:val="00FA0CF1"/>
    <w:rsid w:val="00FA0D1C"/>
    <w:rsid w:val="00FA12C5"/>
    <w:rsid w:val="00FA181E"/>
    <w:rsid w:val="00FA1E4B"/>
    <w:rsid w:val="00FA24CD"/>
    <w:rsid w:val="00FA2748"/>
    <w:rsid w:val="00FA3276"/>
    <w:rsid w:val="00FA35F0"/>
    <w:rsid w:val="00FA38FE"/>
    <w:rsid w:val="00FA4707"/>
    <w:rsid w:val="00FA47F0"/>
    <w:rsid w:val="00FA55F7"/>
    <w:rsid w:val="00FA570E"/>
    <w:rsid w:val="00FA5F24"/>
    <w:rsid w:val="00FA68EF"/>
    <w:rsid w:val="00FA6B47"/>
    <w:rsid w:val="00FA780B"/>
    <w:rsid w:val="00FA7FC7"/>
    <w:rsid w:val="00FB034E"/>
    <w:rsid w:val="00FB0B42"/>
    <w:rsid w:val="00FB1191"/>
    <w:rsid w:val="00FB126F"/>
    <w:rsid w:val="00FB2C19"/>
    <w:rsid w:val="00FB38F1"/>
    <w:rsid w:val="00FB3F41"/>
    <w:rsid w:val="00FB550D"/>
    <w:rsid w:val="00FB5721"/>
    <w:rsid w:val="00FB6834"/>
    <w:rsid w:val="00FB6C25"/>
    <w:rsid w:val="00FB7CD9"/>
    <w:rsid w:val="00FC145D"/>
    <w:rsid w:val="00FC1F47"/>
    <w:rsid w:val="00FC29AC"/>
    <w:rsid w:val="00FC2FC1"/>
    <w:rsid w:val="00FC3B2B"/>
    <w:rsid w:val="00FC42F3"/>
    <w:rsid w:val="00FC49E2"/>
    <w:rsid w:val="00FD03ED"/>
    <w:rsid w:val="00FD13D1"/>
    <w:rsid w:val="00FD29F1"/>
    <w:rsid w:val="00FD2D3E"/>
    <w:rsid w:val="00FD419B"/>
    <w:rsid w:val="00FD453A"/>
    <w:rsid w:val="00FD51B2"/>
    <w:rsid w:val="00FD5FB4"/>
    <w:rsid w:val="00FD74BB"/>
    <w:rsid w:val="00FE2A30"/>
    <w:rsid w:val="00FE3098"/>
    <w:rsid w:val="00FE350B"/>
    <w:rsid w:val="00FE41C9"/>
    <w:rsid w:val="00FE48C5"/>
    <w:rsid w:val="00FE531B"/>
    <w:rsid w:val="00FE53EB"/>
    <w:rsid w:val="00FE59B4"/>
    <w:rsid w:val="00FE5AA5"/>
    <w:rsid w:val="00FE5D24"/>
    <w:rsid w:val="00FE7F03"/>
    <w:rsid w:val="00FE7F40"/>
    <w:rsid w:val="00FF00A7"/>
    <w:rsid w:val="00FF0CC9"/>
    <w:rsid w:val="00FF32C5"/>
    <w:rsid w:val="00FF3889"/>
    <w:rsid w:val="00FF39C8"/>
    <w:rsid w:val="00FF4307"/>
    <w:rsid w:val="00FF4D0B"/>
    <w:rsid w:val="00FF59F5"/>
    <w:rsid w:val="00FF5A0F"/>
    <w:rsid w:val="00FF771D"/>
    <w:rsid w:val="00FF7B32"/>
    <w:rsid w:val="00FF7C4D"/>
    <w:rsid w:val="014D957C"/>
    <w:rsid w:val="020F71AB"/>
    <w:rsid w:val="03465B75"/>
    <w:rsid w:val="03973595"/>
    <w:rsid w:val="04F1E133"/>
    <w:rsid w:val="059CDD17"/>
    <w:rsid w:val="05FE1F4D"/>
    <w:rsid w:val="065855E6"/>
    <w:rsid w:val="075E6065"/>
    <w:rsid w:val="09FDF517"/>
    <w:rsid w:val="0CA5810E"/>
    <w:rsid w:val="0CBE5336"/>
    <w:rsid w:val="0D6E41F1"/>
    <w:rsid w:val="0DF69B6D"/>
    <w:rsid w:val="0F7D448B"/>
    <w:rsid w:val="10102A2A"/>
    <w:rsid w:val="10D82CCE"/>
    <w:rsid w:val="10E27515"/>
    <w:rsid w:val="11A1A4E5"/>
    <w:rsid w:val="12BFC6BB"/>
    <w:rsid w:val="130037B3"/>
    <w:rsid w:val="14996041"/>
    <w:rsid w:val="14F0345D"/>
    <w:rsid w:val="160086F5"/>
    <w:rsid w:val="161E6FCA"/>
    <w:rsid w:val="1666D295"/>
    <w:rsid w:val="1870CF3B"/>
    <w:rsid w:val="1B1B4D0F"/>
    <w:rsid w:val="1BC33174"/>
    <w:rsid w:val="1BD5F6D6"/>
    <w:rsid w:val="1C9C7530"/>
    <w:rsid w:val="1D1B76D3"/>
    <w:rsid w:val="1D363C89"/>
    <w:rsid w:val="1F3BB9B6"/>
    <w:rsid w:val="209FC078"/>
    <w:rsid w:val="23A76CFD"/>
    <w:rsid w:val="2454A2E0"/>
    <w:rsid w:val="248A4614"/>
    <w:rsid w:val="24FC2A06"/>
    <w:rsid w:val="292CAD0C"/>
    <w:rsid w:val="2B8AC625"/>
    <w:rsid w:val="2BC38BA7"/>
    <w:rsid w:val="2BC7C253"/>
    <w:rsid w:val="2BF1DB74"/>
    <w:rsid w:val="2C29F640"/>
    <w:rsid w:val="2FAB1787"/>
    <w:rsid w:val="2FC654D4"/>
    <w:rsid w:val="30767560"/>
    <w:rsid w:val="3255D336"/>
    <w:rsid w:val="33694E6D"/>
    <w:rsid w:val="34351502"/>
    <w:rsid w:val="345A4A82"/>
    <w:rsid w:val="345F0964"/>
    <w:rsid w:val="3502BA84"/>
    <w:rsid w:val="3629D08B"/>
    <w:rsid w:val="371D2780"/>
    <w:rsid w:val="38097376"/>
    <w:rsid w:val="38CA84C7"/>
    <w:rsid w:val="3A2CF9F0"/>
    <w:rsid w:val="3B3197F6"/>
    <w:rsid w:val="3BCC2C25"/>
    <w:rsid w:val="3C5E78BC"/>
    <w:rsid w:val="3CE78513"/>
    <w:rsid w:val="3E68C8BC"/>
    <w:rsid w:val="3ED3E00A"/>
    <w:rsid w:val="3F4AE6A2"/>
    <w:rsid w:val="3F8EB75B"/>
    <w:rsid w:val="40567400"/>
    <w:rsid w:val="40D01C76"/>
    <w:rsid w:val="419261AC"/>
    <w:rsid w:val="41EFEDC9"/>
    <w:rsid w:val="42C0C31B"/>
    <w:rsid w:val="4321C653"/>
    <w:rsid w:val="43C71269"/>
    <w:rsid w:val="447A8EF2"/>
    <w:rsid w:val="47CD028E"/>
    <w:rsid w:val="47E5E468"/>
    <w:rsid w:val="4AEAEFA7"/>
    <w:rsid w:val="4CE3C18A"/>
    <w:rsid w:val="4D539A3F"/>
    <w:rsid w:val="4D8BB756"/>
    <w:rsid w:val="4D97812A"/>
    <w:rsid w:val="4F1AD991"/>
    <w:rsid w:val="4F3BBF42"/>
    <w:rsid w:val="4F74809F"/>
    <w:rsid w:val="4FF11497"/>
    <w:rsid w:val="52F3A069"/>
    <w:rsid w:val="54DBA0BE"/>
    <w:rsid w:val="54EA1D9A"/>
    <w:rsid w:val="55EF66B9"/>
    <w:rsid w:val="56F02AB7"/>
    <w:rsid w:val="574D4ED3"/>
    <w:rsid w:val="57724DF9"/>
    <w:rsid w:val="586F4009"/>
    <w:rsid w:val="58B60202"/>
    <w:rsid w:val="58CE364F"/>
    <w:rsid w:val="595D88AA"/>
    <w:rsid w:val="59762C0F"/>
    <w:rsid w:val="5A4A53A7"/>
    <w:rsid w:val="5A5E09CC"/>
    <w:rsid w:val="5B725DC1"/>
    <w:rsid w:val="5BB036BA"/>
    <w:rsid w:val="5C24092D"/>
    <w:rsid w:val="5C91DD76"/>
    <w:rsid w:val="60469F8E"/>
    <w:rsid w:val="608822CE"/>
    <w:rsid w:val="60D114DF"/>
    <w:rsid w:val="60E5F579"/>
    <w:rsid w:val="629F565D"/>
    <w:rsid w:val="647870FF"/>
    <w:rsid w:val="65D1AC2C"/>
    <w:rsid w:val="68AD997A"/>
    <w:rsid w:val="6AFAAE4C"/>
    <w:rsid w:val="6D04468F"/>
    <w:rsid w:val="6DBCD28D"/>
    <w:rsid w:val="6E22E06C"/>
    <w:rsid w:val="6E3CB015"/>
    <w:rsid w:val="6E42237B"/>
    <w:rsid w:val="70127656"/>
    <w:rsid w:val="70653A53"/>
    <w:rsid w:val="7374ABFF"/>
    <w:rsid w:val="75FE2405"/>
    <w:rsid w:val="761598D1"/>
    <w:rsid w:val="765DF25E"/>
    <w:rsid w:val="76C4223B"/>
    <w:rsid w:val="77BF146A"/>
    <w:rsid w:val="78C12121"/>
    <w:rsid w:val="79849260"/>
    <w:rsid w:val="7CF1F207"/>
    <w:rsid w:val="7DD87568"/>
    <w:rsid w:val="7E4AF34A"/>
    <w:rsid w:val="7E4F7062"/>
    <w:rsid w:val="7E67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D8AD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75"/>
  </w:style>
  <w:style w:type="paragraph" w:styleId="Heading1">
    <w:name w:val="heading 1"/>
    <w:basedOn w:val="Normal"/>
    <w:next w:val="Normal"/>
    <w:link w:val="Heading1Char"/>
    <w:autoRedefine/>
    <w:uiPriority w:val="9"/>
    <w:qFormat/>
    <w:rsid w:val="001D004A"/>
    <w:pPr>
      <w:keepNext/>
      <w:spacing w:before="240" w:after="240"/>
      <w:jc w:val="center"/>
      <w:outlineLvl w:val="0"/>
    </w:pPr>
    <w:rPr>
      <w:rFonts w:eastAsia="Times New Roman" w:cs="Arial"/>
      <w:b/>
      <w:bCs/>
      <w:kern w:val="32"/>
      <w:sz w:val="44"/>
      <w:szCs w:val="44"/>
    </w:rPr>
  </w:style>
  <w:style w:type="paragraph" w:styleId="Heading2">
    <w:name w:val="heading 2"/>
    <w:basedOn w:val="Normal"/>
    <w:next w:val="Normal"/>
    <w:link w:val="Heading2Char"/>
    <w:autoRedefine/>
    <w:unhideWhenUsed/>
    <w:qFormat/>
    <w:rsid w:val="00E43B4A"/>
    <w:pPr>
      <w:keepNext/>
      <w:spacing w:before="240" w:after="240"/>
      <w:outlineLvl w:val="1"/>
    </w:pPr>
    <w:rPr>
      <w:rFonts w:eastAsia="Times New Roman" w:cs="Arial"/>
      <w:b/>
      <w:bCs/>
      <w:iCs/>
      <w:sz w:val="40"/>
      <w:szCs w:val="40"/>
    </w:rPr>
  </w:style>
  <w:style w:type="paragraph" w:styleId="Heading3">
    <w:name w:val="heading 3"/>
    <w:basedOn w:val="Normal"/>
    <w:next w:val="Normal"/>
    <w:link w:val="Heading3Char"/>
    <w:autoRedefine/>
    <w:uiPriority w:val="9"/>
    <w:unhideWhenUsed/>
    <w:qFormat/>
    <w:rsid w:val="00F67ED5"/>
    <w:pPr>
      <w:spacing w:before="240" w:after="240"/>
      <w:outlineLvl w:val="2"/>
    </w:pPr>
    <w:rPr>
      <w:b/>
      <w:snapToGrid w:val="0"/>
      <w:sz w:val="36"/>
      <w:szCs w:val="36"/>
    </w:rPr>
  </w:style>
  <w:style w:type="paragraph" w:styleId="Heading4">
    <w:name w:val="heading 4"/>
    <w:basedOn w:val="Normal"/>
    <w:next w:val="Normal"/>
    <w:link w:val="Heading4Char"/>
    <w:autoRedefine/>
    <w:uiPriority w:val="9"/>
    <w:unhideWhenUsed/>
    <w:qFormat/>
    <w:rsid w:val="00DE2038"/>
    <w:pPr>
      <w:keepNext/>
      <w:keepLines/>
      <w:spacing w:before="40" w:after="240"/>
      <w:outlineLvl w:val="3"/>
    </w:pPr>
    <w:rPr>
      <w:rFonts w:eastAsiaTheme="majorEastAsia" w:cstheme="majorBidi"/>
      <w:iCs/>
      <w:sz w:val="28"/>
      <w:szCs w:val="28"/>
    </w:rPr>
  </w:style>
  <w:style w:type="paragraph" w:styleId="Heading5">
    <w:name w:val="heading 5"/>
    <w:basedOn w:val="Normal"/>
    <w:next w:val="Normal"/>
    <w:link w:val="Heading5Char"/>
    <w:autoRedefine/>
    <w:uiPriority w:val="9"/>
    <w:unhideWhenUsed/>
    <w:qFormat/>
    <w:rsid w:val="008A49B6"/>
    <w:pPr>
      <w:keepNext/>
      <w:keepLines/>
      <w:spacing w:before="40" w:after="240"/>
      <w:ind w:left="72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A5407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List1,List11,Step Paragraph"/>
    <w:basedOn w:val="Normal"/>
    <w:link w:val="ListParagraphChar"/>
    <w:uiPriority w:val="34"/>
    <w:qFormat/>
    <w:rsid w:val="002910E6"/>
    <w:pPr>
      <w:ind w:left="720"/>
      <w:contextualSpacing/>
    </w:pPr>
  </w:style>
  <w:style w:type="character" w:styleId="Hyperlink">
    <w:name w:val="Hyperlink"/>
    <w:uiPriority w:val="99"/>
    <w:unhideWhenUsed/>
    <w:rsid w:val="00EC52D2"/>
    <w:rPr>
      <w:color w:val="0000FF"/>
      <w:u w:val="single"/>
    </w:rPr>
  </w:style>
  <w:style w:type="paragraph" w:styleId="Header">
    <w:name w:val="header"/>
    <w:basedOn w:val="Normal"/>
    <w:link w:val="HeaderChar"/>
    <w:uiPriority w:val="99"/>
    <w:unhideWhenUsed/>
    <w:rsid w:val="002113D4"/>
    <w:pPr>
      <w:tabs>
        <w:tab w:val="center" w:pos="4680"/>
        <w:tab w:val="right" w:pos="9360"/>
      </w:tabs>
    </w:pPr>
  </w:style>
  <w:style w:type="character" w:customStyle="1" w:styleId="HeaderChar">
    <w:name w:val="Header Char"/>
    <w:basedOn w:val="DefaultParagraphFont"/>
    <w:link w:val="Header"/>
    <w:uiPriority w:val="99"/>
    <w:rsid w:val="002113D4"/>
  </w:style>
  <w:style w:type="paragraph" w:styleId="Footer">
    <w:name w:val="footer"/>
    <w:basedOn w:val="Normal"/>
    <w:link w:val="FooterChar"/>
    <w:uiPriority w:val="99"/>
    <w:unhideWhenUsed/>
    <w:rsid w:val="002113D4"/>
    <w:pPr>
      <w:tabs>
        <w:tab w:val="center" w:pos="4680"/>
        <w:tab w:val="right" w:pos="9360"/>
      </w:tabs>
    </w:pPr>
  </w:style>
  <w:style w:type="character" w:customStyle="1" w:styleId="FooterChar">
    <w:name w:val="Footer Char"/>
    <w:basedOn w:val="DefaultParagraphFont"/>
    <w:link w:val="Footer"/>
    <w:uiPriority w:val="99"/>
    <w:rsid w:val="002113D4"/>
  </w:style>
  <w:style w:type="paragraph" w:styleId="BalloonText">
    <w:name w:val="Balloon Text"/>
    <w:basedOn w:val="Normal"/>
    <w:link w:val="BalloonTextChar"/>
    <w:uiPriority w:val="99"/>
    <w:semiHidden/>
    <w:unhideWhenUsed/>
    <w:rsid w:val="004A4075"/>
    <w:rPr>
      <w:rFonts w:ascii="Calibri" w:hAnsi="Calibri" w:cs="Tahoma"/>
      <w:sz w:val="20"/>
      <w:szCs w:val="16"/>
    </w:rPr>
  </w:style>
  <w:style w:type="character" w:customStyle="1" w:styleId="BalloonTextChar">
    <w:name w:val="Balloon Text Char"/>
    <w:link w:val="BalloonText"/>
    <w:uiPriority w:val="99"/>
    <w:semiHidden/>
    <w:rsid w:val="004A4075"/>
    <w:rPr>
      <w:rFonts w:ascii="Calibri" w:hAnsi="Calibri" w:cs="Tahoma"/>
      <w:szCs w:val="16"/>
    </w:rPr>
  </w:style>
  <w:style w:type="character" w:styleId="FollowedHyperlink">
    <w:name w:val="FollowedHyperlink"/>
    <w:uiPriority w:val="99"/>
    <w:semiHidden/>
    <w:unhideWhenUsed/>
    <w:rsid w:val="00A662B9"/>
    <w:rPr>
      <w:color w:val="800080"/>
      <w:u w:val="single"/>
    </w:rPr>
  </w:style>
  <w:style w:type="paragraph" w:styleId="List4">
    <w:name w:val="List 4"/>
    <w:basedOn w:val="Normal"/>
    <w:rsid w:val="0009408F"/>
    <w:pPr>
      <w:ind w:left="1440" w:hanging="360"/>
    </w:pPr>
    <w:rPr>
      <w:rFonts w:ascii="Times New Roman" w:eastAsia="Times New Roman" w:hAnsi="Times New Roman"/>
      <w:szCs w:val="20"/>
    </w:rPr>
  </w:style>
  <w:style w:type="paragraph" w:customStyle="1" w:styleId="CM88">
    <w:name w:val="CM88"/>
    <w:basedOn w:val="Normal"/>
    <w:next w:val="Normal"/>
    <w:uiPriority w:val="99"/>
    <w:rsid w:val="00D660B8"/>
    <w:pPr>
      <w:widowControl w:val="0"/>
      <w:autoSpaceDE w:val="0"/>
      <w:autoSpaceDN w:val="0"/>
      <w:adjustRightInd w:val="0"/>
    </w:pPr>
    <w:rPr>
      <w:rFonts w:ascii="MKJJO B+ New Century Schlbk" w:eastAsia="Times New Roman" w:hAnsi="MKJJO B+ New Century Schlbk"/>
      <w:szCs w:val="24"/>
    </w:rPr>
  </w:style>
  <w:style w:type="paragraph" w:customStyle="1" w:styleId="WPDefaults">
    <w:name w:val="WP Defaults"/>
    <w:rsid w:val="00287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Courier" w:eastAsia="Times New Roman" w:hAnsi="Courier"/>
    </w:rPr>
  </w:style>
  <w:style w:type="character" w:styleId="CommentReference">
    <w:name w:val="annotation reference"/>
    <w:uiPriority w:val="99"/>
    <w:semiHidden/>
    <w:unhideWhenUsed/>
    <w:rsid w:val="00B62AB8"/>
    <w:rPr>
      <w:sz w:val="16"/>
      <w:szCs w:val="16"/>
    </w:rPr>
  </w:style>
  <w:style w:type="paragraph" w:styleId="CommentText">
    <w:name w:val="annotation text"/>
    <w:basedOn w:val="Normal"/>
    <w:link w:val="CommentTextChar"/>
    <w:uiPriority w:val="99"/>
    <w:unhideWhenUsed/>
    <w:rsid w:val="00B62AB8"/>
    <w:rPr>
      <w:sz w:val="20"/>
      <w:szCs w:val="20"/>
    </w:rPr>
  </w:style>
  <w:style w:type="character" w:customStyle="1" w:styleId="CommentTextChar">
    <w:name w:val="Comment Text Char"/>
    <w:basedOn w:val="DefaultParagraphFont"/>
    <w:link w:val="CommentText"/>
    <w:uiPriority w:val="99"/>
    <w:rsid w:val="00B62AB8"/>
  </w:style>
  <w:style w:type="paragraph" w:styleId="CommentSubject">
    <w:name w:val="annotation subject"/>
    <w:basedOn w:val="CommentText"/>
    <w:next w:val="CommentText"/>
    <w:link w:val="CommentSubjectChar"/>
    <w:uiPriority w:val="99"/>
    <w:semiHidden/>
    <w:unhideWhenUsed/>
    <w:rsid w:val="00B62AB8"/>
    <w:rPr>
      <w:b/>
      <w:bCs/>
    </w:rPr>
  </w:style>
  <w:style w:type="character" w:customStyle="1" w:styleId="CommentSubjectChar">
    <w:name w:val="Comment Subject Char"/>
    <w:link w:val="CommentSubject"/>
    <w:uiPriority w:val="99"/>
    <w:semiHidden/>
    <w:rsid w:val="00B62AB8"/>
    <w:rPr>
      <w:b/>
      <w:bCs/>
    </w:rPr>
  </w:style>
  <w:style w:type="paragraph" w:styleId="List3">
    <w:name w:val="List 3"/>
    <w:basedOn w:val="Normal"/>
    <w:rsid w:val="00582C2F"/>
    <w:pPr>
      <w:widowControl w:val="0"/>
      <w:ind w:left="1080" w:hanging="360"/>
      <w:contextualSpacing/>
    </w:pPr>
    <w:rPr>
      <w:rFonts w:eastAsia="Times New Roman"/>
      <w:snapToGrid w:val="0"/>
      <w:szCs w:val="20"/>
    </w:rPr>
  </w:style>
  <w:style w:type="paragraph" w:styleId="Revision">
    <w:name w:val="Revision"/>
    <w:hidden/>
    <w:uiPriority w:val="99"/>
    <w:semiHidden/>
    <w:rsid w:val="002150FE"/>
  </w:style>
  <w:style w:type="paragraph" w:styleId="BodyTextIndent2">
    <w:name w:val="Body Text Indent 2"/>
    <w:basedOn w:val="Normal"/>
    <w:link w:val="BodyTextIndent2Char"/>
    <w:rsid w:val="002150FE"/>
    <w:pPr>
      <w:widowControl w:val="0"/>
      <w:ind w:left="2250"/>
      <w:jc w:val="both"/>
    </w:pPr>
    <w:rPr>
      <w:rFonts w:ascii="CG Times" w:eastAsia="Times New Roman" w:hAnsi="CG Times"/>
      <w:snapToGrid w:val="0"/>
      <w:szCs w:val="20"/>
    </w:rPr>
  </w:style>
  <w:style w:type="character" w:customStyle="1" w:styleId="BodyTextIndent2Char">
    <w:name w:val="Body Text Indent 2 Char"/>
    <w:link w:val="BodyTextIndent2"/>
    <w:rsid w:val="002150FE"/>
    <w:rPr>
      <w:rFonts w:ascii="CG Times" w:eastAsia="Times New Roman" w:hAnsi="CG Times"/>
      <w:snapToGrid w:val="0"/>
      <w:sz w:val="24"/>
    </w:rPr>
  </w:style>
  <w:style w:type="paragraph" w:styleId="BodyTextIndent3">
    <w:name w:val="Body Text Indent 3"/>
    <w:basedOn w:val="Normal"/>
    <w:link w:val="BodyTextIndent3Char"/>
    <w:rsid w:val="002150FE"/>
    <w:pPr>
      <w:widowControl w:val="0"/>
      <w:tabs>
        <w:tab w:val="left" w:pos="-1440"/>
      </w:tabs>
      <w:ind w:left="1890" w:hanging="1170"/>
      <w:jc w:val="both"/>
    </w:pPr>
    <w:rPr>
      <w:rFonts w:ascii="CG Times" w:eastAsia="Times New Roman" w:hAnsi="CG Times"/>
      <w:snapToGrid w:val="0"/>
      <w:szCs w:val="20"/>
    </w:rPr>
  </w:style>
  <w:style w:type="character" w:customStyle="1" w:styleId="BodyTextIndent3Char">
    <w:name w:val="Body Text Indent 3 Char"/>
    <w:link w:val="BodyTextIndent3"/>
    <w:rsid w:val="002150FE"/>
    <w:rPr>
      <w:rFonts w:ascii="CG Times" w:eastAsia="Times New Roman" w:hAnsi="CG Times"/>
      <w:snapToGrid w:val="0"/>
      <w:sz w:val="24"/>
    </w:rPr>
  </w:style>
  <w:style w:type="paragraph" w:styleId="BodyText">
    <w:name w:val="Body Text"/>
    <w:basedOn w:val="Normal"/>
    <w:link w:val="BodyTextChar"/>
    <w:rsid w:val="002150FE"/>
    <w:pPr>
      <w:widowControl w:val="0"/>
      <w:jc w:val="both"/>
    </w:pPr>
    <w:rPr>
      <w:rFonts w:eastAsia="Times New Roman" w:cs="Arial"/>
      <w:snapToGrid w:val="0"/>
      <w:szCs w:val="20"/>
    </w:rPr>
  </w:style>
  <w:style w:type="character" w:customStyle="1" w:styleId="BodyTextChar">
    <w:name w:val="Body Text Char"/>
    <w:link w:val="BodyText"/>
    <w:rsid w:val="002150FE"/>
    <w:rPr>
      <w:rFonts w:eastAsia="Times New Roman" w:cs="Arial"/>
      <w:snapToGrid w:val="0"/>
      <w:sz w:val="24"/>
    </w:rPr>
  </w:style>
  <w:style w:type="character" w:styleId="PageNumber">
    <w:name w:val="page number"/>
    <w:rsid w:val="002150FE"/>
  </w:style>
  <w:style w:type="paragraph" w:customStyle="1" w:styleId="Heading11">
    <w:name w:val="Heading 1.1"/>
    <w:basedOn w:val="Header"/>
    <w:rsid w:val="00FC2FC1"/>
    <w:pPr>
      <w:widowControl w:val="0"/>
      <w:tabs>
        <w:tab w:val="clear" w:pos="4680"/>
        <w:tab w:val="clear" w:pos="9360"/>
        <w:tab w:val="center" w:pos="4320"/>
        <w:tab w:val="right" w:pos="8640"/>
      </w:tabs>
    </w:pPr>
    <w:rPr>
      <w:rFonts w:eastAsia="Times New Roman"/>
      <w:b/>
      <w:snapToGrid w:val="0"/>
      <w:sz w:val="40"/>
      <w:szCs w:val="20"/>
    </w:rPr>
  </w:style>
  <w:style w:type="paragraph" w:customStyle="1" w:styleId="Normal1">
    <w:name w:val="Normal1"/>
    <w:basedOn w:val="Normal"/>
    <w:rsid w:val="00775FE2"/>
    <w:pPr>
      <w:spacing w:after="160" w:line="240" w:lineRule="atLeast"/>
    </w:pPr>
    <w:rPr>
      <w:rFonts w:ascii="Calibri" w:eastAsia="Times New Roman" w:hAnsi="Calibri"/>
      <w:sz w:val="22"/>
    </w:rPr>
  </w:style>
  <w:style w:type="character" w:customStyle="1" w:styleId="normalchar1">
    <w:name w:val="normal__char1"/>
    <w:rsid w:val="00775FE2"/>
    <w:rPr>
      <w:rFonts w:ascii="Calibri" w:hAnsi="Calibri" w:hint="default"/>
      <w:sz w:val="22"/>
      <w:szCs w:val="22"/>
    </w:rPr>
  </w:style>
  <w:style w:type="paragraph" w:customStyle="1" w:styleId="Default">
    <w:name w:val="Default"/>
    <w:rsid w:val="00AB26E3"/>
    <w:pPr>
      <w:autoSpaceDE w:val="0"/>
      <w:autoSpaceDN w:val="0"/>
      <w:adjustRightInd w:val="0"/>
    </w:pPr>
    <w:rPr>
      <w:rFonts w:ascii="AvantGarde" w:hAnsi="AvantGarde" w:cs="AvantGarde"/>
      <w:color w:val="000000"/>
      <w:szCs w:val="24"/>
    </w:rPr>
  </w:style>
  <w:style w:type="paragraph" w:customStyle="1" w:styleId="rfasub-title">
    <w:name w:val="rfasub-title"/>
    <w:basedOn w:val="Normal"/>
    <w:rsid w:val="007E21F1"/>
    <w:pPr>
      <w:spacing w:before="100" w:beforeAutospacing="1" w:after="100" w:afterAutospacing="1"/>
    </w:pPr>
    <w:rPr>
      <w:rFonts w:ascii="Arial Unicode MS" w:eastAsia="Arial Unicode MS" w:hAnsi="Arial Unicode MS" w:cs="Arial Unicode MS"/>
      <w:szCs w:val="24"/>
    </w:rPr>
  </w:style>
  <w:style w:type="character" w:customStyle="1" w:styleId="Heading1Char">
    <w:name w:val="Heading 1 Char"/>
    <w:link w:val="Heading1"/>
    <w:uiPriority w:val="9"/>
    <w:rsid w:val="001D004A"/>
    <w:rPr>
      <w:rFonts w:eastAsia="Times New Roman" w:cs="Arial"/>
      <w:b/>
      <w:bCs/>
      <w:kern w:val="32"/>
      <w:sz w:val="44"/>
      <w:szCs w:val="44"/>
    </w:rPr>
  </w:style>
  <w:style w:type="paragraph" w:styleId="TOCHeading">
    <w:name w:val="TOC Heading"/>
    <w:basedOn w:val="Heading1"/>
    <w:next w:val="Normal"/>
    <w:uiPriority w:val="39"/>
    <w:unhideWhenUsed/>
    <w:qFormat/>
    <w:rsid w:val="00BF2B9B"/>
    <w:pPr>
      <w:keepLines/>
      <w:spacing w:line="259" w:lineRule="auto"/>
      <w:outlineLvl w:val="9"/>
    </w:pPr>
    <w:rPr>
      <w:b w:val="0"/>
      <w:bCs w:val="0"/>
      <w:color w:val="2E74B5"/>
      <w:kern w:val="0"/>
    </w:rPr>
  </w:style>
  <w:style w:type="paragraph" w:styleId="TOC1">
    <w:name w:val="toc 1"/>
    <w:basedOn w:val="Normal"/>
    <w:next w:val="Normal"/>
    <w:autoRedefine/>
    <w:uiPriority w:val="39"/>
    <w:unhideWhenUsed/>
    <w:rsid w:val="008933DB"/>
    <w:pPr>
      <w:tabs>
        <w:tab w:val="right" w:leader="dot" w:pos="10344"/>
      </w:tabs>
    </w:pPr>
  </w:style>
  <w:style w:type="character" w:customStyle="1" w:styleId="Heading2Char">
    <w:name w:val="Heading 2 Char"/>
    <w:link w:val="Heading2"/>
    <w:rsid w:val="00E43B4A"/>
    <w:rPr>
      <w:rFonts w:eastAsia="Times New Roman" w:cs="Arial"/>
      <w:b/>
      <w:bCs/>
      <w:iCs/>
      <w:sz w:val="40"/>
      <w:szCs w:val="40"/>
    </w:rPr>
  </w:style>
  <w:style w:type="paragraph" w:styleId="TOC2">
    <w:name w:val="toc 2"/>
    <w:basedOn w:val="Normal"/>
    <w:next w:val="Normal"/>
    <w:autoRedefine/>
    <w:uiPriority w:val="39"/>
    <w:unhideWhenUsed/>
    <w:rsid w:val="008933DB"/>
    <w:pPr>
      <w:tabs>
        <w:tab w:val="right" w:leader="dot" w:pos="10344"/>
      </w:tabs>
      <w:ind w:left="240"/>
    </w:pPr>
  </w:style>
  <w:style w:type="character" w:customStyle="1" w:styleId="Heading3Char">
    <w:name w:val="Heading 3 Char"/>
    <w:basedOn w:val="DefaultParagraphFont"/>
    <w:link w:val="Heading3"/>
    <w:uiPriority w:val="9"/>
    <w:rsid w:val="00F67ED5"/>
    <w:rPr>
      <w:b/>
      <w:snapToGrid w:val="0"/>
      <w:sz w:val="36"/>
      <w:szCs w:val="36"/>
    </w:rPr>
  </w:style>
  <w:style w:type="paragraph" w:styleId="BodyTextIndent">
    <w:name w:val="Body Text Indent"/>
    <w:basedOn w:val="Normal"/>
    <w:link w:val="BodyTextIndentChar"/>
    <w:uiPriority w:val="99"/>
    <w:semiHidden/>
    <w:unhideWhenUsed/>
    <w:rsid w:val="00B54C0C"/>
    <w:pPr>
      <w:spacing w:after="120"/>
      <w:ind w:left="360"/>
    </w:pPr>
  </w:style>
  <w:style w:type="character" w:customStyle="1" w:styleId="BodyTextIndentChar">
    <w:name w:val="Body Text Indent Char"/>
    <w:basedOn w:val="DefaultParagraphFont"/>
    <w:link w:val="BodyTextIndent"/>
    <w:uiPriority w:val="99"/>
    <w:semiHidden/>
    <w:rsid w:val="00B54C0C"/>
    <w:rPr>
      <w:sz w:val="24"/>
      <w:szCs w:val="22"/>
    </w:rPr>
  </w:style>
  <w:style w:type="paragraph" w:customStyle="1" w:styleId="RFAsub-title0">
    <w:name w:val="RFA ### sub-title"/>
    <w:basedOn w:val="Normal"/>
    <w:rsid w:val="00B54C0C"/>
    <w:pPr>
      <w:ind w:left="2160"/>
    </w:pPr>
    <w:rPr>
      <w:rFonts w:ascii="Times New Roman" w:hAnsi="Times New Roman"/>
      <w:sz w:val="20"/>
      <w:szCs w:val="20"/>
    </w:rPr>
  </w:style>
  <w:style w:type="character" w:styleId="FootnoteReference">
    <w:name w:val="footnote reference"/>
    <w:semiHidden/>
    <w:rsid w:val="00D15B08"/>
  </w:style>
  <w:style w:type="paragraph" w:styleId="Title">
    <w:name w:val="Title"/>
    <w:basedOn w:val="Heading1"/>
    <w:next w:val="Normal"/>
    <w:link w:val="TitleChar"/>
    <w:uiPriority w:val="10"/>
    <w:qFormat/>
    <w:rsid w:val="00937AC7"/>
    <w:pPr>
      <w:spacing w:before="0"/>
    </w:pPr>
    <w:rPr>
      <w:sz w:val="40"/>
      <w:szCs w:val="40"/>
    </w:rPr>
  </w:style>
  <w:style w:type="character" w:customStyle="1" w:styleId="TitleChar">
    <w:name w:val="Title Char"/>
    <w:basedOn w:val="DefaultParagraphFont"/>
    <w:link w:val="Title"/>
    <w:uiPriority w:val="10"/>
    <w:rsid w:val="00937AC7"/>
    <w:rPr>
      <w:rFonts w:eastAsia="Times New Roman" w:cs="Arial"/>
      <w:b/>
      <w:bCs/>
      <w:kern w:val="32"/>
      <w:sz w:val="40"/>
      <w:szCs w:val="40"/>
    </w:rPr>
  </w:style>
  <w:style w:type="paragraph" w:styleId="Subtitle">
    <w:name w:val="Subtitle"/>
    <w:basedOn w:val="Normal"/>
    <w:next w:val="Normal"/>
    <w:link w:val="SubtitleChar"/>
    <w:uiPriority w:val="11"/>
    <w:qFormat/>
    <w:rsid w:val="00937AC7"/>
    <w:pPr>
      <w:autoSpaceDE w:val="0"/>
      <w:autoSpaceDN w:val="0"/>
      <w:adjustRightInd w:val="0"/>
      <w:jc w:val="center"/>
    </w:pPr>
    <w:rPr>
      <w:rFonts w:cs="Arial"/>
      <w:color w:val="000000"/>
      <w:sz w:val="36"/>
      <w:szCs w:val="36"/>
    </w:rPr>
  </w:style>
  <w:style w:type="character" w:customStyle="1" w:styleId="SubtitleChar">
    <w:name w:val="Subtitle Char"/>
    <w:basedOn w:val="DefaultParagraphFont"/>
    <w:link w:val="Subtitle"/>
    <w:uiPriority w:val="11"/>
    <w:rsid w:val="00937AC7"/>
    <w:rPr>
      <w:rFonts w:cs="Arial"/>
      <w:color w:val="000000"/>
      <w:sz w:val="36"/>
      <w:szCs w:val="36"/>
    </w:rPr>
  </w:style>
  <w:style w:type="paragraph" w:customStyle="1" w:styleId="ContactInformation">
    <w:name w:val="Contact Information"/>
    <w:basedOn w:val="Normal"/>
    <w:link w:val="ContactInformationChar"/>
    <w:qFormat/>
    <w:rsid w:val="00937AC7"/>
    <w:pPr>
      <w:jc w:val="center"/>
    </w:pPr>
    <w:rPr>
      <w:rFonts w:cs="Arial"/>
      <w:sz w:val="36"/>
      <w:szCs w:val="36"/>
    </w:rPr>
  </w:style>
  <w:style w:type="character" w:customStyle="1" w:styleId="ContactInformationChar">
    <w:name w:val="Contact Information Char"/>
    <w:basedOn w:val="DefaultParagraphFont"/>
    <w:link w:val="ContactInformation"/>
    <w:rsid w:val="00937AC7"/>
    <w:rPr>
      <w:rFonts w:cs="Arial"/>
      <w:sz w:val="36"/>
      <w:szCs w:val="36"/>
    </w:rPr>
  </w:style>
  <w:style w:type="table" w:styleId="TableGrid">
    <w:name w:val="Table Grid"/>
    <w:basedOn w:val="TableNormal"/>
    <w:uiPriority w:val="59"/>
    <w:rsid w:val="00205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DB3C35"/>
    <w:pPr>
      <w:spacing w:before="150" w:after="150"/>
    </w:pPr>
    <w:rPr>
      <w:rFonts w:ascii="Times New Roman" w:eastAsia="Times New Roman" w:hAnsi="Times New Roman"/>
      <w:szCs w:val="24"/>
    </w:rPr>
  </w:style>
  <w:style w:type="character" w:styleId="Strong">
    <w:name w:val="Strong"/>
    <w:basedOn w:val="DefaultParagraphFont"/>
    <w:uiPriority w:val="22"/>
    <w:qFormat/>
    <w:rsid w:val="008237C0"/>
    <w:rPr>
      <w:rFonts w:ascii="Arial" w:hAnsi="Arial"/>
      <w:b/>
      <w:bCs/>
    </w:rPr>
  </w:style>
  <w:style w:type="paragraph" w:styleId="NoSpacing">
    <w:name w:val="No Spacing"/>
    <w:uiPriority w:val="1"/>
    <w:qFormat/>
    <w:rsid w:val="00DE1CC5"/>
  </w:style>
  <w:style w:type="character" w:customStyle="1" w:styleId="Heading4Char">
    <w:name w:val="Heading 4 Char"/>
    <w:basedOn w:val="DefaultParagraphFont"/>
    <w:link w:val="Heading4"/>
    <w:uiPriority w:val="9"/>
    <w:rsid w:val="00DE2038"/>
    <w:rPr>
      <w:rFonts w:eastAsiaTheme="majorEastAsia" w:cstheme="majorBidi"/>
      <w:iCs/>
      <w:sz w:val="28"/>
      <w:szCs w:val="28"/>
    </w:rPr>
  </w:style>
  <w:style w:type="character" w:customStyle="1" w:styleId="Heading5Char">
    <w:name w:val="Heading 5 Char"/>
    <w:basedOn w:val="DefaultParagraphFont"/>
    <w:link w:val="Heading5"/>
    <w:uiPriority w:val="9"/>
    <w:rsid w:val="008A49B6"/>
    <w:rPr>
      <w:rFonts w:eastAsiaTheme="majorEastAsia" w:cstheme="majorBidi"/>
      <w:i/>
      <w:sz w:val="28"/>
    </w:rPr>
  </w:style>
  <w:style w:type="paragraph" w:styleId="Quote">
    <w:name w:val="Quote"/>
    <w:basedOn w:val="Normal"/>
    <w:next w:val="Normal"/>
    <w:link w:val="QuoteChar"/>
    <w:autoRedefine/>
    <w:uiPriority w:val="29"/>
    <w:qFormat/>
    <w:rsid w:val="008237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37C0"/>
    <w:rPr>
      <w:i/>
      <w:iCs/>
      <w:color w:val="404040" w:themeColor="text1" w:themeTint="BF"/>
    </w:rPr>
  </w:style>
  <w:style w:type="paragraph" w:styleId="TOC3">
    <w:name w:val="toc 3"/>
    <w:basedOn w:val="Normal"/>
    <w:next w:val="Normal"/>
    <w:autoRedefine/>
    <w:uiPriority w:val="39"/>
    <w:unhideWhenUsed/>
    <w:rsid w:val="003616B1"/>
    <w:pPr>
      <w:spacing w:after="100"/>
      <w:ind w:left="480"/>
    </w:pPr>
  </w:style>
  <w:style w:type="character" w:customStyle="1" w:styleId="Heading6Char">
    <w:name w:val="Heading 6 Char"/>
    <w:basedOn w:val="DefaultParagraphFont"/>
    <w:link w:val="Heading6"/>
    <w:uiPriority w:val="9"/>
    <w:rsid w:val="00A54076"/>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A262B4"/>
    <w:rPr>
      <w:i/>
      <w:iCs/>
    </w:rPr>
  </w:style>
  <w:style w:type="character" w:styleId="UnresolvedMention">
    <w:name w:val="Unresolved Mention"/>
    <w:basedOn w:val="DefaultParagraphFont"/>
    <w:uiPriority w:val="99"/>
    <w:semiHidden/>
    <w:unhideWhenUsed/>
    <w:rsid w:val="008528F3"/>
    <w:rPr>
      <w:color w:val="605E5C"/>
      <w:shd w:val="clear" w:color="auto" w:fill="E1DFDD"/>
    </w:rPr>
  </w:style>
  <w:style w:type="character" w:customStyle="1" w:styleId="ListParagraphChar">
    <w:name w:val="List Paragraph Char"/>
    <w:aliases w:val="list Char,List1 Char,List11 Char,Step Paragraph Char"/>
    <w:link w:val="ListParagraph"/>
    <w:uiPriority w:val="34"/>
    <w:locked/>
    <w:rsid w:val="006C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83">
      <w:bodyDiv w:val="1"/>
      <w:marLeft w:val="0"/>
      <w:marRight w:val="0"/>
      <w:marTop w:val="0"/>
      <w:marBottom w:val="0"/>
      <w:divBdr>
        <w:top w:val="none" w:sz="0" w:space="0" w:color="auto"/>
        <w:left w:val="none" w:sz="0" w:space="0" w:color="auto"/>
        <w:bottom w:val="none" w:sz="0" w:space="0" w:color="auto"/>
        <w:right w:val="none" w:sz="0" w:space="0" w:color="auto"/>
      </w:divBdr>
    </w:div>
    <w:div w:id="75253547">
      <w:bodyDiv w:val="1"/>
      <w:marLeft w:val="0"/>
      <w:marRight w:val="0"/>
      <w:marTop w:val="0"/>
      <w:marBottom w:val="0"/>
      <w:divBdr>
        <w:top w:val="none" w:sz="0" w:space="0" w:color="auto"/>
        <w:left w:val="none" w:sz="0" w:space="0" w:color="auto"/>
        <w:bottom w:val="none" w:sz="0" w:space="0" w:color="auto"/>
        <w:right w:val="none" w:sz="0" w:space="0" w:color="auto"/>
      </w:divBdr>
    </w:div>
    <w:div w:id="81143599">
      <w:bodyDiv w:val="1"/>
      <w:marLeft w:val="0"/>
      <w:marRight w:val="0"/>
      <w:marTop w:val="0"/>
      <w:marBottom w:val="0"/>
      <w:divBdr>
        <w:top w:val="none" w:sz="0" w:space="0" w:color="auto"/>
        <w:left w:val="none" w:sz="0" w:space="0" w:color="auto"/>
        <w:bottom w:val="none" w:sz="0" w:space="0" w:color="auto"/>
        <w:right w:val="none" w:sz="0" w:space="0" w:color="auto"/>
      </w:divBdr>
    </w:div>
    <w:div w:id="134032855">
      <w:bodyDiv w:val="1"/>
      <w:marLeft w:val="0"/>
      <w:marRight w:val="0"/>
      <w:marTop w:val="0"/>
      <w:marBottom w:val="0"/>
      <w:divBdr>
        <w:top w:val="none" w:sz="0" w:space="0" w:color="auto"/>
        <w:left w:val="none" w:sz="0" w:space="0" w:color="auto"/>
        <w:bottom w:val="none" w:sz="0" w:space="0" w:color="auto"/>
        <w:right w:val="none" w:sz="0" w:space="0" w:color="auto"/>
      </w:divBdr>
    </w:div>
    <w:div w:id="155346888">
      <w:bodyDiv w:val="1"/>
      <w:marLeft w:val="0"/>
      <w:marRight w:val="0"/>
      <w:marTop w:val="0"/>
      <w:marBottom w:val="0"/>
      <w:divBdr>
        <w:top w:val="none" w:sz="0" w:space="0" w:color="auto"/>
        <w:left w:val="none" w:sz="0" w:space="0" w:color="auto"/>
        <w:bottom w:val="none" w:sz="0" w:space="0" w:color="auto"/>
        <w:right w:val="none" w:sz="0" w:space="0" w:color="auto"/>
      </w:divBdr>
    </w:div>
    <w:div w:id="169804858">
      <w:bodyDiv w:val="1"/>
      <w:marLeft w:val="0"/>
      <w:marRight w:val="0"/>
      <w:marTop w:val="0"/>
      <w:marBottom w:val="0"/>
      <w:divBdr>
        <w:top w:val="none" w:sz="0" w:space="0" w:color="auto"/>
        <w:left w:val="none" w:sz="0" w:space="0" w:color="auto"/>
        <w:bottom w:val="none" w:sz="0" w:space="0" w:color="auto"/>
        <w:right w:val="none" w:sz="0" w:space="0" w:color="auto"/>
      </w:divBdr>
    </w:div>
    <w:div w:id="198517894">
      <w:bodyDiv w:val="1"/>
      <w:marLeft w:val="0"/>
      <w:marRight w:val="0"/>
      <w:marTop w:val="0"/>
      <w:marBottom w:val="0"/>
      <w:divBdr>
        <w:top w:val="none" w:sz="0" w:space="0" w:color="auto"/>
        <w:left w:val="none" w:sz="0" w:space="0" w:color="auto"/>
        <w:bottom w:val="none" w:sz="0" w:space="0" w:color="auto"/>
        <w:right w:val="none" w:sz="0" w:space="0" w:color="auto"/>
      </w:divBdr>
    </w:div>
    <w:div w:id="257450779">
      <w:bodyDiv w:val="1"/>
      <w:marLeft w:val="0"/>
      <w:marRight w:val="0"/>
      <w:marTop w:val="0"/>
      <w:marBottom w:val="0"/>
      <w:divBdr>
        <w:top w:val="none" w:sz="0" w:space="0" w:color="auto"/>
        <w:left w:val="none" w:sz="0" w:space="0" w:color="auto"/>
        <w:bottom w:val="none" w:sz="0" w:space="0" w:color="auto"/>
        <w:right w:val="none" w:sz="0" w:space="0" w:color="auto"/>
      </w:divBdr>
    </w:div>
    <w:div w:id="463542125">
      <w:bodyDiv w:val="1"/>
      <w:marLeft w:val="0"/>
      <w:marRight w:val="0"/>
      <w:marTop w:val="0"/>
      <w:marBottom w:val="0"/>
      <w:divBdr>
        <w:top w:val="none" w:sz="0" w:space="0" w:color="auto"/>
        <w:left w:val="none" w:sz="0" w:space="0" w:color="auto"/>
        <w:bottom w:val="none" w:sz="0" w:space="0" w:color="auto"/>
        <w:right w:val="none" w:sz="0" w:space="0" w:color="auto"/>
      </w:divBdr>
    </w:div>
    <w:div w:id="498276139">
      <w:bodyDiv w:val="1"/>
      <w:marLeft w:val="1440"/>
      <w:marRight w:val="1440"/>
      <w:marTop w:val="1440"/>
      <w:marBottom w:val="1440"/>
      <w:divBdr>
        <w:top w:val="none" w:sz="0" w:space="0" w:color="auto"/>
        <w:left w:val="none" w:sz="0" w:space="0" w:color="auto"/>
        <w:bottom w:val="none" w:sz="0" w:space="0" w:color="auto"/>
        <w:right w:val="none" w:sz="0" w:space="0" w:color="auto"/>
      </w:divBdr>
    </w:div>
    <w:div w:id="622854428">
      <w:bodyDiv w:val="1"/>
      <w:marLeft w:val="0"/>
      <w:marRight w:val="0"/>
      <w:marTop w:val="0"/>
      <w:marBottom w:val="0"/>
      <w:divBdr>
        <w:top w:val="none" w:sz="0" w:space="0" w:color="auto"/>
        <w:left w:val="none" w:sz="0" w:space="0" w:color="auto"/>
        <w:bottom w:val="none" w:sz="0" w:space="0" w:color="auto"/>
        <w:right w:val="none" w:sz="0" w:space="0" w:color="auto"/>
      </w:divBdr>
    </w:div>
    <w:div w:id="626090032">
      <w:bodyDiv w:val="1"/>
      <w:marLeft w:val="0"/>
      <w:marRight w:val="0"/>
      <w:marTop w:val="0"/>
      <w:marBottom w:val="0"/>
      <w:divBdr>
        <w:top w:val="none" w:sz="0" w:space="0" w:color="auto"/>
        <w:left w:val="none" w:sz="0" w:space="0" w:color="auto"/>
        <w:bottom w:val="none" w:sz="0" w:space="0" w:color="auto"/>
        <w:right w:val="none" w:sz="0" w:space="0" w:color="auto"/>
      </w:divBdr>
      <w:divsChild>
        <w:div w:id="1880776204">
          <w:marLeft w:val="0"/>
          <w:marRight w:val="0"/>
          <w:marTop w:val="0"/>
          <w:marBottom w:val="450"/>
          <w:divBdr>
            <w:top w:val="none" w:sz="0" w:space="0" w:color="auto"/>
            <w:left w:val="none" w:sz="0" w:space="0" w:color="auto"/>
            <w:bottom w:val="none" w:sz="0" w:space="0" w:color="auto"/>
            <w:right w:val="none" w:sz="0" w:space="0" w:color="auto"/>
          </w:divBdr>
          <w:divsChild>
            <w:div w:id="639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5157">
      <w:bodyDiv w:val="1"/>
      <w:marLeft w:val="0"/>
      <w:marRight w:val="0"/>
      <w:marTop w:val="0"/>
      <w:marBottom w:val="0"/>
      <w:divBdr>
        <w:top w:val="none" w:sz="0" w:space="0" w:color="auto"/>
        <w:left w:val="none" w:sz="0" w:space="0" w:color="auto"/>
        <w:bottom w:val="none" w:sz="0" w:space="0" w:color="auto"/>
        <w:right w:val="none" w:sz="0" w:space="0" w:color="auto"/>
      </w:divBdr>
    </w:div>
    <w:div w:id="787118321">
      <w:bodyDiv w:val="1"/>
      <w:marLeft w:val="0"/>
      <w:marRight w:val="0"/>
      <w:marTop w:val="0"/>
      <w:marBottom w:val="0"/>
      <w:divBdr>
        <w:top w:val="none" w:sz="0" w:space="0" w:color="auto"/>
        <w:left w:val="none" w:sz="0" w:space="0" w:color="auto"/>
        <w:bottom w:val="none" w:sz="0" w:space="0" w:color="auto"/>
        <w:right w:val="none" w:sz="0" w:space="0" w:color="auto"/>
      </w:divBdr>
    </w:div>
    <w:div w:id="1132403395">
      <w:bodyDiv w:val="1"/>
      <w:marLeft w:val="0"/>
      <w:marRight w:val="0"/>
      <w:marTop w:val="0"/>
      <w:marBottom w:val="0"/>
      <w:divBdr>
        <w:top w:val="none" w:sz="0" w:space="0" w:color="auto"/>
        <w:left w:val="none" w:sz="0" w:space="0" w:color="auto"/>
        <w:bottom w:val="none" w:sz="0" w:space="0" w:color="auto"/>
        <w:right w:val="none" w:sz="0" w:space="0" w:color="auto"/>
      </w:divBdr>
    </w:div>
    <w:div w:id="1364744070">
      <w:bodyDiv w:val="1"/>
      <w:marLeft w:val="0"/>
      <w:marRight w:val="0"/>
      <w:marTop w:val="0"/>
      <w:marBottom w:val="0"/>
      <w:divBdr>
        <w:top w:val="none" w:sz="0" w:space="0" w:color="auto"/>
        <w:left w:val="none" w:sz="0" w:space="0" w:color="auto"/>
        <w:bottom w:val="none" w:sz="0" w:space="0" w:color="auto"/>
        <w:right w:val="none" w:sz="0" w:space="0" w:color="auto"/>
      </w:divBdr>
    </w:div>
    <w:div w:id="1581283937">
      <w:bodyDiv w:val="1"/>
      <w:marLeft w:val="0"/>
      <w:marRight w:val="0"/>
      <w:marTop w:val="0"/>
      <w:marBottom w:val="0"/>
      <w:divBdr>
        <w:top w:val="none" w:sz="0" w:space="0" w:color="auto"/>
        <w:left w:val="none" w:sz="0" w:space="0" w:color="auto"/>
        <w:bottom w:val="none" w:sz="0" w:space="0" w:color="auto"/>
        <w:right w:val="none" w:sz="0" w:space="0" w:color="auto"/>
      </w:divBdr>
    </w:div>
    <w:div w:id="1691755887">
      <w:bodyDiv w:val="1"/>
      <w:marLeft w:val="0"/>
      <w:marRight w:val="0"/>
      <w:marTop w:val="0"/>
      <w:marBottom w:val="0"/>
      <w:divBdr>
        <w:top w:val="none" w:sz="0" w:space="0" w:color="auto"/>
        <w:left w:val="none" w:sz="0" w:space="0" w:color="auto"/>
        <w:bottom w:val="none" w:sz="0" w:space="0" w:color="auto"/>
        <w:right w:val="none" w:sz="0" w:space="0" w:color="auto"/>
      </w:divBdr>
    </w:div>
    <w:div w:id="19287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cuments.dgs.ca.gov/dgs/fmc/pdf/std204.pdf" TargetMode="External"/><Relationship Id="rId18" Type="http://schemas.openxmlformats.org/officeDocument/2006/relationships/hyperlink" Target="https://caleprocure.ca.gov/pages/PublicSearch/supplier-search.aspx" TargetMode="External"/><Relationship Id="rId26" Type="http://schemas.openxmlformats.org/officeDocument/2006/relationships/hyperlink" Target="https://caleprocure.ca.gov/pages/Events-BS3/event-search.aspx" TargetMode="External"/><Relationship Id="rId39" Type="http://schemas.openxmlformats.org/officeDocument/2006/relationships/hyperlink" Target="https://cwdb.ca.gov/" TargetMode="External"/><Relationship Id="rId3" Type="http://schemas.openxmlformats.org/officeDocument/2006/relationships/settings" Target="settings.xml"/><Relationship Id="rId21" Type="http://schemas.openxmlformats.org/officeDocument/2006/relationships/hyperlink" Target="https://www.documents.dgs.ca.gov/dgs/fmc/pdf/std830.pdf" TargetMode="External"/><Relationship Id="rId34" Type="http://schemas.openxmlformats.org/officeDocument/2006/relationships/hyperlink" Target="https://www.cde.ca.gov/re/di/ws/webstandards.asp" TargetMode="External"/><Relationship Id="rId42" Type="http://schemas.openxmlformats.org/officeDocument/2006/relationships/hyperlink" Target="https://www.caadultedtraining.org/" TargetMode="External"/><Relationship Id="rId47" Type="http://schemas.openxmlformats.org/officeDocument/2006/relationships/hyperlink" Target="http://nces.ed.gov/pubs2011/2011603.pdf" TargetMode="External"/><Relationship Id="rId50" Type="http://schemas.openxmlformats.org/officeDocument/2006/relationships/hyperlink" Target="https://www.cde.ca.gov/re/di/ws/webartproc.asp" TargetMode="External"/><Relationship Id="rId7" Type="http://schemas.openxmlformats.org/officeDocument/2006/relationships/hyperlink" Target="mailto:Jboone@cde.ca.gov" TargetMode="External"/><Relationship Id="rId12" Type="http://schemas.openxmlformats.org/officeDocument/2006/relationships/hyperlink" Target="https://www.dgs.ca.gov/OLS/Resources/Page-Content/Office-of-Legal-Services-Resources-List-Folder/Standard-Contract-Language" TargetMode="External"/><Relationship Id="rId17" Type="http://schemas.openxmlformats.org/officeDocument/2006/relationships/hyperlink" Target="https://www.documents.dgs.ca.gov/dgs/fmc/gs/pd/pd_843.pdf" TargetMode="External"/><Relationship Id="rId25" Type="http://schemas.openxmlformats.org/officeDocument/2006/relationships/hyperlink" Target="mailto:CONTRACTSOFFICE@cde.ca.gov" TargetMode="External"/><Relationship Id="rId33" Type="http://schemas.openxmlformats.org/officeDocument/2006/relationships/hyperlink" Target="https://www.cde.ca.gov/re/di/ws/webstandards.asp" TargetMode="External"/><Relationship Id="rId38" Type="http://schemas.openxmlformats.org/officeDocument/2006/relationships/hyperlink" Target="https://www.cde.ca.gov/re/di/ws/webaccessstds.asp" TargetMode="External"/><Relationship Id="rId46" Type="http://schemas.openxmlformats.org/officeDocument/2006/relationships/hyperlink" Target="mailto:ISO@cde.ca.gov" TargetMode="External"/><Relationship Id="rId2" Type="http://schemas.openxmlformats.org/officeDocument/2006/relationships/styles" Target="styles.xml"/><Relationship Id="rId16" Type="http://schemas.openxmlformats.org/officeDocument/2006/relationships/hyperlink" Target="https://caleprocure.ca.gov/pages/PublicSearch/supplier-search.aspx" TargetMode="External"/><Relationship Id="rId20" Type="http://schemas.openxmlformats.org/officeDocument/2006/relationships/hyperlink" Target="https://www.dgs.ca.gov/PD/Services/Page-Content/Procurement-Division-Services-List-Folder/Request-Target-Area-Contract-Preference" TargetMode="External"/><Relationship Id="rId29" Type="http://schemas.openxmlformats.org/officeDocument/2006/relationships/hyperlink" Target="mailto:JaBrown@cde.ca.gov" TargetMode="External"/><Relationship Id="rId41" Type="http://schemas.openxmlformats.org/officeDocument/2006/relationships/hyperlink" Target="https://cde.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procure.ca.gov/pages/PublicSearch/supplier-search.aspx" TargetMode="External"/><Relationship Id="rId24" Type="http://schemas.openxmlformats.org/officeDocument/2006/relationships/hyperlink" Target="https://www.dgs.ca.gov/OLS/Resources/Page-Content/Office-of-Legal-Services-Resources-List-Folder/Standard-Contract-Language" TargetMode="External"/><Relationship Id="rId32" Type="http://schemas.openxmlformats.org/officeDocument/2006/relationships/hyperlink" Target="https://www.cde.ca.gov/re/pn/st/" TargetMode="External"/><Relationship Id="rId37" Type="http://schemas.openxmlformats.org/officeDocument/2006/relationships/hyperlink" Target="https://calpro-online.org/resource/management-competencies-assessment-instrument" TargetMode="External"/><Relationship Id="rId40" Type="http://schemas.openxmlformats.org/officeDocument/2006/relationships/hyperlink" Target="https://caladulted.org/" TargetMode="External"/><Relationship Id="rId45" Type="http://schemas.openxmlformats.org/officeDocument/2006/relationships/hyperlink" Target="https://www.cde.ca.gov/re/di/ws/webstandards.asp"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ocuments.dgs.ca.gov/dgs/fmc/gs/pd/gspd05-105.pdf" TargetMode="External"/><Relationship Id="rId23" Type="http://schemas.openxmlformats.org/officeDocument/2006/relationships/hyperlink" Target="https://www.calhr.ca.gov/employees/pages/travel-reimbursements.aspx" TargetMode="External"/><Relationship Id="rId28" Type="http://schemas.openxmlformats.org/officeDocument/2006/relationships/hyperlink" Target="https://www.cde.ca.gov/fg/fo/af" TargetMode="External"/><Relationship Id="rId36" Type="http://schemas.openxmlformats.org/officeDocument/2006/relationships/hyperlink" Target="https://calpro-online.org/resource/adult-education-teacher-competencies-self-assessment" TargetMode="External"/><Relationship Id="rId49" Type="http://schemas.openxmlformats.org/officeDocument/2006/relationships/hyperlink" Target="https://www.cde.ca.gov/re/di/ws/webstandards.asp" TargetMode="External"/><Relationship Id="rId10" Type="http://schemas.openxmlformats.org/officeDocument/2006/relationships/hyperlink" Target="https://www.documents.dgs.ca.gov/dgs/fmc/gs/pd/gspd05-105.pdf" TargetMode="External"/><Relationship Id="rId19" Type="http://schemas.openxmlformats.org/officeDocument/2006/relationships/hyperlink" Target="https://www.dgs.ca.gov/PD/Resources/Page-Content/Procurement-Division-Resources-List-Folder/How-to-do-business-with-the-state-of-California." TargetMode="External"/><Relationship Id="rId31" Type="http://schemas.openxmlformats.org/officeDocument/2006/relationships/hyperlink" Target="mailto:OLSProtests@dgs.ca.gov" TargetMode="External"/><Relationship Id="rId44" Type="http://schemas.openxmlformats.org/officeDocument/2006/relationships/hyperlink" Target="https://www.dgs.ca.gov/OLS/Resources/Page-Content/Office-of-Legal-Services-Resources-List-Folder/Standard-Contract-Languag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Boone@cde.ca.gov" TargetMode="External"/><Relationship Id="rId14" Type="http://schemas.openxmlformats.org/officeDocument/2006/relationships/hyperlink" Target="https://www.documents.dgs.ca.gov/dgs/fmc/pdf/std205.pdf" TargetMode="External"/><Relationship Id="rId22" Type="http://schemas.openxmlformats.org/officeDocument/2006/relationships/hyperlink" Target="https://www.calhr.ca.gov/employees/pages/travel-reimbursements.aspx" TargetMode="External"/><Relationship Id="rId27" Type="http://schemas.openxmlformats.org/officeDocument/2006/relationships/hyperlink" Target="https://www.cde.ca.gov/fg/fo/af" TargetMode="External"/><Relationship Id="rId30" Type="http://schemas.openxmlformats.org/officeDocument/2006/relationships/hyperlink" Target="mailto:CONTRACTSOFFICE@cde.ca.gov" TargetMode="External"/><Relationship Id="rId35" Type="http://schemas.openxmlformats.org/officeDocument/2006/relationships/hyperlink" Target="https://calpro-online.org/" TargetMode="External"/><Relationship Id="rId43" Type="http://schemas.openxmlformats.org/officeDocument/2006/relationships/hyperlink" Target="mailto:Dbatista@cde.ca.gov" TargetMode="External"/><Relationship Id="rId48" Type="http://schemas.openxmlformats.org/officeDocument/2006/relationships/hyperlink" Target="https://www.w3.org/TR/WCAG20/" TargetMode="External"/><Relationship Id="rId8" Type="http://schemas.openxmlformats.org/officeDocument/2006/relationships/hyperlink" Target="https://www.sos.ca.gov/business-programs/business-entities/information-requests/"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30805</Words>
  <Characters>174357</Characters>
  <Application>Microsoft Office Word</Application>
  <DocSecurity>0</DocSecurity>
  <Lines>2812</Lines>
  <Paragraphs>1030</Paragraphs>
  <ScaleCrop>false</ScaleCrop>
  <HeadingPairs>
    <vt:vector size="2" baseType="variant">
      <vt:variant>
        <vt:lpstr>Title</vt:lpstr>
      </vt:variant>
      <vt:variant>
        <vt:i4>1</vt:i4>
      </vt:variant>
    </vt:vector>
  </HeadingPairs>
  <TitlesOfParts>
    <vt:vector size="1" baseType="lpstr">
      <vt:lpstr>RFP-26: AEPD (CA Dept of Education)</vt:lpstr>
    </vt:vector>
  </TitlesOfParts>
  <Company/>
  <LinksUpToDate>false</LinksUpToDate>
  <CharactersWithSpaces>204132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RFP-26: AEPD (CA Dept of Education)</dc:title>
  <dc:subject>Request for Proposals (RFP) Adult Education Professional Development (AEPD).</dc:subject>
  <dc:creator/>
  <cp:keywords/>
  <dc:description/>
  <cp:lastModifiedBy/>
  <cp:revision>1</cp:revision>
  <dcterms:created xsi:type="dcterms:W3CDTF">2025-10-21T18:04:00Z</dcterms:created>
  <dcterms:modified xsi:type="dcterms:W3CDTF">2025-10-23T19:43:00Z</dcterms:modified>
</cp:coreProperties>
</file>