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1A5A5" w14:textId="3A8DA084" w:rsidR="009965C6" w:rsidRPr="00A77542" w:rsidRDefault="00963120" w:rsidP="005E6E31">
      <w:pPr>
        <w:pStyle w:val="Heading1"/>
        <w:rPr>
          <w:szCs w:val="40"/>
        </w:rPr>
      </w:pPr>
      <w:bookmarkStart w:id="0" w:name="_Toc8812907"/>
      <w:bookmarkStart w:id="1" w:name="_Toc8912618"/>
      <w:bookmarkStart w:id="2" w:name="_Toc8915769"/>
      <w:bookmarkStart w:id="3" w:name="_Toc7102170"/>
      <w:bookmarkStart w:id="4" w:name="_Toc7169239"/>
      <w:bookmarkStart w:id="5" w:name="_Toc7169883"/>
      <w:bookmarkStart w:id="6" w:name="_Toc517422623"/>
      <w:r w:rsidRPr="00A77542">
        <w:rPr>
          <w:szCs w:val="40"/>
        </w:rPr>
        <w:t>T</w:t>
      </w:r>
      <w:r w:rsidR="00D26BB3" w:rsidRPr="00A77542">
        <w:rPr>
          <w:szCs w:val="40"/>
        </w:rPr>
        <w:t>obacco-Use Prevention Education</w:t>
      </w:r>
      <w:bookmarkEnd w:id="0"/>
      <w:bookmarkEnd w:id="1"/>
      <w:bookmarkEnd w:id="2"/>
      <w:r w:rsidR="002B58A3" w:rsidRPr="00A77542">
        <w:rPr>
          <w:szCs w:val="40"/>
        </w:rPr>
        <w:t xml:space="preserve"> Program</w:t>
      </w:r>
    </w:p>
    <w:p w14:paraId="360A646C" w14:textId="16CA5C59" w:rsidR="00AF5DB9" w:rsidRDefault="00963120" w:rsidP="00AF5DB9">
      <w:pPr>
        <w:pStyle w:val="Heading2"/>
        <w:jc w:val="center"/>
        <w:rPr>
          <w:sz w:val="36"/>
          <w:szCs w:val="36"/>
        </w:rPr>
      </w:pPr>
      <w:bookmarkStart w:id="7" w:name="_Toc8812908"/>
      <w:bookmarkStart w:id="8" w:name="_Toc8912619"/>
      <w:bookmarkStart w:id="9" w:name="_Toc8915770"/>
      <w:r w:rsidRPr="005E6E31">
        <w:rPr>
          <w:sz w:val="36"/>
          <w:szCs w:val="36"/>
        </w:rPr>
        <w:t xml:space="preserve">Capacity Building </w:t>
      </w:r>
      <w:r w:rsidR="00A033E7" w:rsidRPr="005E6E31">
        <w:rPr>
          <w:sz w:val="36"/>
          <w:szCs w:val="36"/>
        </w:rPr>
        <w:t xml:space="preserve">Provider </w:t>
      </w:r>
      <w:r w:rsidRPr="005E6E31">
        <w:rPr>
          <w:sz w:val="36"/>
          <w:szCs w:val="36"/>
        </w:rPr>
        <w:t>Grant</w:t>
      </w:r>
      <w:bookmarkStart w:id="10" w:name="_Toc8812906"/>
      <w:bookmarkStart w:id="11" w:name="_Toc8912617"/>
      <w:bookmarkStart w:id="12" w:name="_Toc8915768"/>
      <w:bookmarkEnd w:id="3"/>
      <w:bookmarkEnd w:id="4"/>
      <w:bookmarkEnd w:id="5"/>
      <w:bookmarkEnd w:id="7"/>
      <w:bookmarkEnd w:id="8"/>
      <w:bookmarkEnd w:id="9"/>
    </w:p>
    <w:p w14:paraId="6C4585C4" w14:textId="77777777" w:rsidR="00AF5DB9" w:rsidRPr="00AF5DB9" w:rsidRDefault="00AF5DB9" w:rsidP="00AF5DB9"/>
    <w:p w14:paraId="6173E027" w14:textId="38BD09AF" w:rsidR="00AF5DB9" w:rsidRDefault="002B58A3" w:rsidP="00AF5DB9">
      <w:pPr>
        <w:pStyle w:val="Heading3"/>
        <w:numPr>
          <w:ilvl w:val="0"/>
          <w:numId w:val="0"/>
        </w:numPr>
        <w:tabs>
          <w:tab w:val="left" w:pos="2970"/>
          <w:tab w:val="center" w:pos="5040"/>
        </w:tabs>
        <w:spacing w:after="120"/>
        <w:ind w:left="720"/>
        <w:jc w:val="center"/>
        <w:rPr>
          <w:sz w:val="32"/>
          <w:szCs w:val="32"/>
        </w:rPr>
      </w:pPr>
      <w:r w:rsidRPr="00876268">
        <w:rPr>
          <w:sz w:val="32"/>
          <w:szCs w:val="32"/>
        </w:rPr>
        <w:t>Request for Applications</w:t>
      </w:r>
      <w:bookmarkEnd w:id="10"/>
      <w:bookmarkEnd w:id="11"/>
      <w:bookmarkEnd w:id="12"/>
    </w:p>
    <w:p w14:paraId="47BB4DCA" w14:textId="356B23C4" w:rsidR="00963120" w:rsidRDefault="00A5613A" w:rsidP="00AF5DB9">
      <w:pPr>
        <w:pStyle w:val="Heading3"/>
        <w:numPr>
          <w:ilvl w:val="0"/>
          <w:numId w:val="0"/>
        </w:numPr>
        <w:spacing w:after="120"/>
        <w:ind w:left="720"/>
        <w:jc w:val="center"/>
        <w:rPr>
          <w:sz w:val="32"/>
          <w:szCs w:val="32"/>
        </w:rPr>
      </w:pPr>
      <w:r w:rsidRPr="00876268">
        <w:rPr>
          <w:sz w:val="32"/>
          <w:szCs w:val="32"/>
        </w:rPr>
        <w:t>October 1</w:t>
      </w:r>
      <w:r w:rsidR="00771139" w:rsidRPr="00876268">
        <w:rPr>
          <w:sz w:val="32"/>
          <w:szCs w:val="32"/>
        </w:rPr>
        <w:t>, 2019–</w:t>
      </w:r>
      <w:r w:rsidR="00BC10BA" w:rsidRPr="00876268">
        <w:rPr>
          <w:sz w:val="32"/>
          <w:szCs w:val="32"/>
        </w:rPr>
        <w:t>June 30, 2022</w:t>
      </w:r>
    </w:p>
    <w:p w14:paraId="1765FBAF" w14:textId="77777777" w:rsidR="00963120" w:rsidRPr="00771139" w:rsidRDefault="00963120" w:rsidP="00771139">
      <w:pPr>
        <w:spacing w:before="0" w:after="0"/>
        <w:jc w:val="center"/>
        <w:rPr>
          <w:bCs/>
          <w:color w:val="auto"/>
          <w:sz w:val="40"/>
          <w:szCs w:val="40"/>
          <w:shd w:val="clear" w:color="auto" w:fill="auto"/>
        </w:rPr>
      </w:pPr>
      <w:r w:rsidRPr="00771139">
        <w:rPr>
          <w:bCs/>
          <w:color w:val="auto"/>
          <w:sz w:val="40"/>
          <w:szCs w:val="40"/>
          <w:shd w:val="clear" w:color="auto" w:fill="auto"/>
        </w:rPr>
        <w:t>Governed by</w:t>
      </w:r>
    </w:p>
    <w:p w14:paraId="3E7530E1" w14:textId="77777777" w:rsidR="00963120" w:rsidRPr="00771139" w:rsidRDefault="00963120" w:rsidP="00771139">
      <w:pPr>
        <w:spacing w:before="0" w:after="0"/>
        <w:jc w:val="center"/>
        <w:rPr>
          <w:bCs/>
          <w:color w:val="auto"/>
          <w:sz w:val="40"/>
          <w:szCs w:val="40"/>
          <w:shd w:val="clear" w:color="auto" w:fill="auto"/>
        </w:rPr>
      </w:pPr>
      <w:r w:rsidRPr="00771139">
        <w:rPr>
          <w:bCs/>
          <w:color w:val="auto"/>
          <w:sz w:val="40"/>
          <w:szCs w:val="40"/>
          <w:shd w:val="clear" w:color="auto" w:fill="auto"/>
        </w:rPr>
        <w:t xml:space="preserve">California </w:t>
      </w:r>
      <w:r w:rsidRPr="00771139">
        <w:rPr>
          <w:bCs/>
          <w:i/>
          <w:color w:val="auto"/>
          <w:sz w:val="40"/>
          <w:szCs w:val="40"/>
          <w:shd w:val="clear" w:color="auto" w:fill="auto"/>
        </w:rPr>
        <w:t>Health and Safety Code</w:t>
      </w:r>
      <w:r w:rsidRPr="00771139">
        <w:rPr>
          <w:bCs/>
          <w:color w:val="auto"/>
          <w:sz w:val="40"/>
          <w:szCs w:val="40"/>
          <w:shd w:val="clear" w:color="auto" w:fill="auto"/>
        </w:rPr>
        <w:t xml:space="preserve"> Section 104420 and</w:t>
      </w:r>
    </w:p>
    <w:p w14:paraId="44A729AF" w14:textId="29FC8FBD" w:rsidR="00963120" w:rsidRDefault="00963120" w:rsidP="00771139">
      <w:pPr>
        <w:spacing w:before="0" w:after="0"/>
        <w:jc w:val="center"/>
        <w:rPr>
          <w:bCs/>
          <w:color w:val="auto"/>
          <w:sz w:val="40"/>
          <w:szCs w:val="40"/>
          <w:shd w:val="clear" w:color="auto" w:fill="auto"/>
        </w:rPr>
      </w:pPr>
      <w:r w:rsidRPr="00771139">
        <w:rPr>
          <w:bCs/>
          <w:color w:val="auto"/>
          <w:sz w:val="40"/>
          <w:szCs w:val="40"/>
          <w:shd w:val="clear" w:color="auto" w:fill="auto"/>
        </w:rPr>
        <w:t xml:space="preserve">California </w:t>
      </w:r>
      <w:r w:rsidRPr="00771139">
        <w:rPr>
          <w:bCs/>
          <w:i/>
          <w:color w:val="auto"/>
          <w:sz w:val="40"/>
          <w:szCs w:val="40"/>
          <w:shd w:val="clear" w:color="auto" w:fill="auto"/>
        </w:rPr>
        <w:t>Revenue and Taxation Code</w:t>
      </w:r>
      <w:r w:rsidRPr="00771139">
        <w:rPr>
          <w:bCs/>
          <w:color w:val="auto"/>
          <w:sz w:val="40"/>
          <w:szCs w:val="40"/>
          <w:shd w:val="clear" w:color="auto" w:fill="auto"/>
        </w:rPr>
        <w:t xml:space="preserve"> Section 30130.55(b</w:t>
      </w:r>
      <w:proofErr w:type="gramStart"/>
      <w:r w:rsidRPr="00771139">
        <w:rPr>
          <w:bCs/>
          <w:color w:val="auto"/>
          <w:sz w:val="40"/>
          <w:szCs w:val="40"/>
          <w:shd w:val="clear" w:color="auto" w:fill="auto"/>
        </w:rPr>
        <w:t>)(</w:t>
      </w:r>
      <w:proofErr w:type="gramEnd"/>
      <w:r w:rsidRPr="00771139">
        <w:rPr>
          <w:bCs/>
          <w:color w:val="auto"/>
          <w:sz w:val="40"/>
          <w:szCs w:val="40"/>
          <w:shd w:val="clear" w:color="auto" w:fill="auto"/>
        </w:rPr>
        <w:t>2)</w:t>
      </w:r>
    </w:p>
    <w:bookmarkEnd w:id="6"/>
    <w:p w14:paraId="04256B78" w14:textId="77777777" w:rsidR="00CA2D31" w:rsidRDefault="00CA2D31" w:rsidP="00A836AA">
      <w:pPr>
        <w:spacing w:before="0" w:after="0"/>
        <w:jc w:val="center"/>
        <w:rPr>
          <w:b/>
          <w:sz w:val="36"/>
          <w:szCs w:val="36"/>
        </w:rPr>
      </w:pPr>
    </w:p>
    <w:p w14:paraId="15B387A2" w14:textId="0D827E91" w:rsidR="00671EFE" w:rsidRDefault="00963120" w:rsidP="00A836AA">
      <w:pPr>
        <w:spacing w:before="0" w:after="0"/>
        <w:jc w:val="center"/>
        <w:rPr>
          <w:b/>
          <w:sz w:val="36"/>
          <w:szCs w:val="36"/>
        </w:rPr>
      </w:pPr>
      <w:r w:rsidRPr="00846FFC">
        <w:rPr>
          <w:noProof/>
        </w:rPr>
        <w:drawing>
          <wp:inline distT="0" distB="0" distL="0" distR="0" wp14:anchorId="29D3006C" wp14:editId="0E45C0C4">
            <wp:extent cx="1943100" cy="1943100"/>
            <wp:effectExtent l="0" t="0" r="0" b="0"/>
            <wp:docPr id="2" name="Picture 3" descr="The California Department of Education'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California Department of Education's logo." title="CD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inline>
        </w:drawing>
      </w:r>
    </w:p>
    <w:p w14:paraId="5F3310DF" w14:textId="555A77B4" w:rsidR="00C46FA0" w:rsidRPr="00170046" w:rsidRDefault="000E2E7F" w:rsidP="009A2921">
      <w:pPr>
        <w:spacing w:before="1080" w:after="0"/>
        <w:jc w:val="center"/>
        <w:rPr>
          <w:b/>
          <w:sz w:val="32"/>
          <w:szCs w:val="28"/>
        </w:rPr>
      </w:pPr>
      <w:r w:rsidRPr="00170046">
        <w:rPr>
          <w:b/>
          <w:sz w:val="32"/>
          <w:szCs w:val="28"/>
        </w:rPr>
        <w:t>Ap</w:t>
      </w:r>
      <w:r w:rsidR="00B01D5B" w:rsidRPr="00170046">
        <w:rPr>
          <w:b/>
          <w:sz w:val="32"/>
          <w:szCs w:val="28"/>
        </w:rPr>
        <w:t xml:space="preserve">plication Due Date: </w:t>
      </w:r>
      <w:r w:rsidR="00A228FF">
        <w:rPr>
          <w:b/>
          <w:sz w:val="32"/>
          <w:szCs w:val="28"/>
        </w:rPr>
        <w:t>August 30</w:t>
      </w:r>
      <w:r w:rsidR="00A0255A" w:rsidRPr="00170046">
        <w:rPr>
          <w:b/>
          <w:sz w:val="32"/>
          <w:szCs w:val="28"/>
        </w:rPr>
        <w:t>, 2019</w:t>
      </w:r>
      <w:r w:rsidR="00AA7121" w:rsidRPr="00170046">
        <w:rPr>
          <w:b/>
          <w:sz w:val="32"/>
          <w:szCs w:val="28"/>
        </w:rPr>
        <w:t>,</w:t>
      </w:r>
      <w:r w:rsidR="00FC3DD6" w:rsidRPr="00170046">
        <w:rPr>
          <w:b/>
          <w:sz w:val="32"/>
          <w:szCs w:val="28"/>
        </w:rPr>
        <w:t xml:space="preserve"> at 4:00</w:t>
      </w:r>
      <w:r w:rsidR="00C46FA0" w:rsidRPr="00170046">
        <w:rPr>
          <w:b/>
          <w:sz w:val="32"/>
          <w:szCs w:val="28"/>
        </w:rPr>
        <w:t xml:space="preserve"> p.m.</w:t>
      </w:r>
    </w:p>
    <w:p w14:paraId="61A5CC59" w14:textId="77777777" w:rsidR="00AA7121" w:rsidRPr="00170046" w:rsidRDefault="009D500D" w:rsidP="009A2921">
      <w:pPr>
        <w:spacing w:after="0"/>
        <w:jc w:val="center"/>
        <w:rPr>
          <w:sz w:val="32"/>
        </w:rPr>
      </w:pPr>
      <w:r w:rsidRPr="00170046">
        <w:rPr>
          <w:sz w:val="32"/>
        </w:rPr>
        <w:t>Educator Excellence and Equity Division</w:t>
      </w:r>
    </w:p>
    <w:p w14:paraId="61B0A3F1" w14:textId="00715E91" w:rsidR="00043468" w:rsidRPr="00170046" w:rsidRDefault="00AA7121" w:rsidP="00AA7121">
      <w:pPr>
        <w:spacing w:before="0" w:after="0"/>
        <w:jc w:val="center"/>
        <w:rPr>
          <w:sz w:val="32"/>
        </w:rPr>
      </w:pPr>
      <w:r w:rsidRPr="00170046">
        <w:rPr>
          <w:sz w:val="32"/>
        </w:rPr>
        <w:t>Tobacco-Use Prevention Education Office</w:t>
      </w:r>
      <w:r w:rsidR="000E2E7F" w:rsidRPr="00170046">
        <w:rPr>
          <w:sz w:val="32"/>
        </w:rPr>
        <w:br/>
        <w:t>California Department of Education</w:t>
      </w:r>
      <w:r w:rsidR="000E2E7F" w:rsidRPr="00170046">
        <w:rPr>
          <w:sz w:val="32"/>
        </w:rPr>
        <w:br/>
        <w:t>1430 N Street, Suite 6</w:t>
      </w:r>
      <w:r w:rsidR="009D500D" w:rsidRPr="00170046">
        <w:rPr>
          <w:sz w:val="32"/>
        </w:rPr>
        <w:t>4</w:t>
      </w:r>
      <w:r w:rsidR="000E2E7F" w:rsidRPr="00170046">
        <w:rPr>
          <w:sz w:val="32"/>
        </w:rPr>
        <w:t>08</w:t>
      </w:r>
      <w:r w:rsidR="000E2E7F" w:rsidRPr="00170046">
        <w:rPr>
          <w:sz w:val="32"/>
        </w:rPr>
        <w:br/>
        <w:t>Sacramento, CA 95814-5901</w:t>
      </w:r>
      <w:r w:rsidR="000E2E7F" w:rsidRPr="00170046">
        <w:rPr>
          <w:sz w:val="32"/>
        </w:rPr>
        <w:br/>
      </w:r>
      <w:r w:rsidR="009D500D" w:rsidRPr="00170046">
        <w:rPr>
          <w:sz w:val="32"/>
        </w:rPr>
        <w:t>916-</w:t>
      </w:r>
      <w:r w:rsidR="00043468" w:rsidRPr="00170046">
        <w:rPr>
          <w:sz w:val="32"/>
        </w:rPr>
        <w:t>323-6440</w:t>
      </w:r>
    </w:p>
    <w:p w14:paraId="3623CFEA" w14:textId="65277605" w:rsidR="0043147F" w:rsidRDefault="0043147F">
      <w:pPr>
        <w:spacing w:before="0" w:after="0"/>
        <w:sectPr w:rsidR="0043147F" w:rsidSect="00EA7FAB">
          <w:footerReference w:type="default" r:id="rId9"/>
          <w:footerReference w:type="first" r:id="rId10"/>
          <w:pgSz w:w="12240" w:h="15840"/>
          <w:pgMar w:top="1440" w:right="1440" w:bottom="1440" w:left="1440" w:header="720" w:footer="720" w:gutter="0"/>
          <w:pgNumType w:fmt="lowerRoman" w:start="1"/>
          <w:cols w:space="720"/>
          <w:titlePg/>
          <w:docGrid w:linePitch="360"/>
        </w:sectPr>
      </w:pPr>
    </w:p>
    <w:p w14:paraId="33FEDA43" w14:textId="65C375F7" w:rsidR="00043468" w:rsidRPr="00B478F3" w:rsidRDefault="00043468" w:rsidP="00043468">
      <w:pPr>
        <w:pStyle w:val="Heading2"/>
      </w:pPr>
      <w:bookmarkStart w:id="13" w:name="_Toc7169884"/>
      <w:bookmarkStart w:id="14" w:name="_Toc8915771"/>
      <w:r w:rsidRPr="00B478F3">
        <w:lastRenderedPageBreak/>
        <w:t>Application Highlights for T</w:t>
      </w:r>
      <w:r w:rsidR="00875DD8">
        <w:t>obacco-Use Prevention Education</w:t>
      </w:r>
      <w:r w:rsidRPr="00B478F3">
        <w:t xml:space="preserve"> Capacity Building </w:t>
      </w:r>
      <w:r w:rsidR="00875DD8">
        <w:t xml:space="preserve">Provider </w:t>
      </w:r>
      <w:r w:rsidRPr="00B478F3">
        <w:t>Grant</w:t>
      </w:r>
      <w:bookmarkEnd w:id="13"/>
      <w:bookmarkEnd w:id="14"/>
    </w:p>
    <w:p w14:paraId="5308144E" w14:textId="26EF6FEE" w:rsidR="00043468" w:rsidRDefault="00043468" w:rsidP="00043468">
      <w:pPr>
        <w:pStyle w:val="NoSpacing"/>
        <w:numPr>
          <w:ilvl w:val="0"/>
          <w:numId w:val="12"/>
        </w:numPr>
        <w:spacing w:before="240"/>
        <w:rPr>
          <w:rFonts w:cs="Arial"/>
          <w:bCs/>
        </w:rPr>
      </w:pPr>
      <w:r w:rsidRPr="00621EB4">
        <w:rPr>
          <w:rFonts w:cs="Arial"/>
          <w:bCs/>
        </w:rPr>
        <w:t>A new grant opportunity is being provided as a result of Proposition 56 (California voter approved in 2016) which provides certain grant funds to be allocated by the C</w:t>
      </w:r>
      <w:r w:rsidR="00625DF3">
        <w:rPr>
          <w:rFonts w:cs="Arial"/>
          <w:bCs/>
        </w:rPr>
        <w:t xml:space="preserve">alifornia </w:t>
      </w:r>
      <w:r w:rsidRPr="00621EB4">
        <w:rPr>
          <w:rFonts w:cs="Arial"/>
          <w:bCs/>
        </w:rPr>
        <w:t>D</w:t>
      </w:r>
      <w:r w:rsidR="00625DF3">
        <w:rPr>
          <w:rFonts w:cs="Arial"/>
          <w:bCs/>
        </w:rPr>
        <w:t xml:space="preserve">epartment of </w:t>
      </w:r>
      <w:r w:rsidRPr="00621EB4">
        <w:rPr>
          <w:rFonts w:cs="Arial"/>
          <w:bCs/>
        </w:rPr>
        <w:t>E</w:t>
      </w:r>
      <w:r w:rsidR="00625DF3">
        <w:rPr>
          <w:rFonts w:cs="Arial"/>
          <w:bCs/>
        </w:rPr>
        <w:t>ducatio</w:t>
      </w:r>
      <w:r w:rsidR="00875DD8">
        <w:rPr>
          <w:rFonts w:cs="Arial"/>
          <w:bCs/>
        </w:rPr>
        <w:t xml:space="preserve">n </w:t>
      </w:r>
      <w:r w:rsidR="00625DF3">
        <w:rPr>
          <w:rFonts w:cs="Arial"/>
          <w:bCs/>
        </w:rPr>
        <w:t>(CDE)</w:t>
      </w:r>
      <w:r w:rsidRPr="00621EB4">
        <w:rPr>
          <w:rFonts w:cs="Arial"/>
          <w:bCs/>
        </w:rPr>
        <w:t xml:space="preserve"> in order to reduce the </w:t>
      </w:r>
      <w:r>
        <w:rPr>
          <w:rFonts w:cs="Arial"/>
          <w:bCs/>
        </w:rPr>
        <w:t>initiation</w:t>
      </w:r>
      <w:r w:rsidRPr="00621EB4">
        <w:rPr>
          <w:rFonts w:cs="Arial"/>
          <w:bCs/>
        </w:rPr>
        <w:t xml:space="preserve"> and prevalence of tobacco use among youth</w:t>
      </w:r>
      <w:r>
        <w:rPr>
          <w:rFonts w:cs="Arial"/>
          <w:bCs/>
        </w:rPr>
        <w:t>. A</w:t>
      </w:r>
      <w:r w:rsidR="00A870DE">
        <w:rPr>
          <w:rFonts w:cs="Arial"/>
          <w:bCs/>
        </w:rPr>
        <w:t>n estimated $5.5</w:t>
      </w:r>
      <w:r w:rsidRPr="00621EB4">
        <w:rPr>
          <w:rFonts w:cs="Arial"/>
          <w:bCs/>
        </w:rPr>
        <w:t xml:space="preserve"> million is available for a </w:t>
      </w:r>
      <w:r w:rsidR="00873940">
        <w:rPr>
          <w:rFonts w:cs="Arial"/>
          <w:bCs/>
        </w:rPr>
        <w:t>33</w:t>
      </w:r>
      <w:r w:rsidR="00960FD8">
        <w:rPr>
          <w:rFonts w:cs="Arial"/>
          <w:bCs/>
        </w:rPr>
        <w:t xml:space="preserve"> month</w:t>
      </w:r>
      <w:r>
        <w:rPr>
          <w:rFonts w:cs="Arial"/>
          <w:bCs/>
        </w:rPr>
        <w:t xml:space="preserve"> grant period</w:t>
      </w:r>
      <w:r w:rsidRPr="00621EB4">
        <w:rPr>
          <w:rFonts w:cs="Arial"/>
          <w:bCs/>
        </w:rPr>
        <w:t>.</w:t>
      </w:r>
    </w:p>
    <w:p w14:paraId="77FFD79D" w14:textId="128F0B57" w:rsidR="00043468" w:rsidRDefault="00A228FF" w:rsidP="00043468">
      <w:pPr>
        <w:pStyle w:val="NoSpacing"/>
        <w:numPr>
          <w:ilvl w:val="0"/>
          <w:numId w:val="12"/>
        </w:numPr>
        <w:spacing w:before="240"/>
        <w:rPr>
          <w:rFonts w:cs="Arial"/>
          <w:bCs/>
        </w:rPr>
      </w:pPr>
      <w:r>
        <w:rPr>
          <w:rFonts w:cs="Arial"/>
          <w:bCs/>
        </w:rPr>
        <w:t xml:space="preserve">Only county </w:t>
      </w:r>
      <w:r w:rsidR="00043468">
        <w:rPr>
          <w:rFonts w:cs="Arial"/>
          <w:bCs/>
        </w:rPr>
        <w:t>offices of e</w:t>
      </w:r>
      <w:r w:rsidR="00043468" w:rsidRPr="00621EB4">
        <w:rPr>
          <w:rFonts w:cs="Arial"/>
          <w:bCs/>
        </w:rPr>
        <w:t>ducation (COE</w:t>
      </w:r>
      <w:r w:rsidR="00771139">
        <w:rPr>
          <w:rFonts w:cs="Arial"/>
          <w:bCs/>
        </w:rPr>
        <w:t>s</w:t>
      </w:r>
      <w:r w:rsidR="00043468" w:rsidRPr="00621EB4">
        <w:rPr>
          <w:rFonts w:cs="Arial"/>
          <w:bCs/>
        </w:rPr>
        <w:t>) are eligible</w:t>
      </w:r>
      <w:r w:rsidR="00043468" w:rsidRPr="00616592">
        <w:rPr>
          <w:rFonts w:cs="Arial"/>
          <w:bCs/>
        </w:rPr>
        <w:t xml:space="preserve"> </w:t>
      </w:r>
      <w:r w:rsidR="00771139">
        <w:rPr>
          <w:rFonts w:cs="Arial"/>
          <w:bCs/>
        </w:rPr>
        <w:t xml:space="preserve">to </w:t>
      </w:r>
      <w:r w:rsidR="00043468" w:rsidRPr="00616592">
        <w:rPr>
          <w:rFonts w:cs="Arial"/>
          <w:bCs/>
        </w:rPr>
        <w:t>apply</w:t>
      </w:r>
      <w:r w:rsidR="00043468">
        <w:rPr>
          <w:rFonts w:cs="Arial"/>
          <w:bCs/>
        </w:rPr>
        <w:t>.</w:t>
      </w:r>
      <w:r w:rsidR="00FE4826">
        <w:rPr>
          <w:rFonts w:cs="Arial"/>
          <w:bCs/>
        </w:rPr>
        <w:t xml:space="preserve"> The CDE will</w:t>
      </w:r>
      <w:r>
        <w:rPr>
          <w:rFonts w:cs="Arial"/>
          <w:bCs/>
        </w:rPr>
        <w:t xml:space="preserve"> </w:t>
      </w:r>
      <w:r w:rsidR="00197932">
        <w:rPr>
          <w:rFonts w:cs="Arial"/>
          <w:bCs/>
        </w:rPr>
        <w:t>make one</w:t>
      </w:r>
      <w:r>
        <w:rPr>
          <w:rFonts w:cs="Arial"/>
          <w:bCs/>
        </w:rPr>
        <w:t xml:space="preserve"> award</w:t>
      </w:r>
      <w:r w:rsidR="00FE4826">
        <w:rPr>
          <w:rFonts w:cs="Arial"/>
          <w:bCs/>
        </w:rPr>
        <w:t xml:space="preserve"> under this RFA.</w:t>
      </w:r>
    </w:p>
    <w:p w14:paraId="2CFF95BA" w14:textId="0AAF1F18" w:rsidR="00043468" w:rsidRDefault="00043468" w:rsidP="00043468">
      <w:pPr>
        <w:numPr>
          <w:ilvl w:val="0"/>
          <w:numId w:val="8"/>
        </w:numPr>
        <w:spacing w:after="0"/>
        <w:rPr>
          <w:color w:val="auto"/>
          <w:shd w:val="clear" w:color="auto" w:fill="auto"/>
        </w:rPr>
      </w:pPr>
      <w:r w:rsidRPr="00616592">
        <w:rPr>
          <w:color w:val="auto"/>
          <w:shd w:val="clear" w:color="auto" w:fill="auto"/>
        </w:rPr>
        <w:t>The T</w:t>
      </w:r>
      <w:r w:rsidR="00625DF3">
        <w:rPr>
          <w:color w:val="auto"/>
          <w:shd w:val="clear" w:color="auto" w:fill="auto"/>
        </w:rPr>
        <w:t>obacco-</w:t>
      </w:r>
      <w:r w:rsidRPr="00616592">
        <w:rPr>
          <w:color w:val="auto"/>
          <w:shd w:val="clear" w:color="auto" w:fill="auto"/>
        </w:rPr>
        <w:t>U</w:t>
      </w:r>
      <w:r w:rsidR="00625DF3">
        <w:rPr>
          <w:color w:val="auto"/>
          <w:shd w:val="clear" w:color="auto" w:fill="auto"/>
        </w:rPr>
        <w:t xml:space="preserve">se </w:t>
      </w:r>
      <w:r w:rsidRPr="00616592">
        <w:rPr>
          <w:color w:val="auto"/>
          <w:shd w:val="clear" w:color="auto" w:fill="auto"/>
        </w:rPr>
        <w:t>P</w:t>
      </w:r>
      <w:r w:rsidR="00625DF3">
        <w:rPr>
          <w:color w:val="auto"/>
          <w:shd w:val="clear" w:color="auto" w:fill="auto"/>
        </w:rPr>
        <w:t xml:space="preserve">revention </w:t>
      </w:r>
      <w:r w:rsidRPr="00616592">
        <w:rPr>
          <w:color w:val="auto"/>
          <w:shd w:val="clear" w:color="auto" w:fill="auto"/>
        </w:rPr>
        <w:t>E</w:t>
      </w:r>
      <w:r w:rsidR="00625DF3">
        <w:rPr>
          <w:color w:val="auto"/>
          <w:shd w:val="clear" w:color="auto" w:fill="auto"/>
        </w:rPr>
        <w:t>ducation (TUPE)</w:t>
      </w:r>
      <w:r w:rsidRPr="00616592">
        <w:rPr>
          <w:color w:val="auto"/>
          <w:shd w:val="clear" w:color="auto" w:fill="auto"/>
        </w:rPr>
        <w:t xml:space="preserve"> Office will post a pre-recorded webinar on </w:t>
      </w:r>
      <w:r w:rsidR="00A228FF">
        <w:rPr>
          <w:b/>
          <w:color w:val="auto"/>
          <w:shd w:val="clear" w:color="auto" w:fill="auto"/>
        </w:rPr>
        <w:t>August 2</w:t>
      </w:r>
      <w:r w:rsidRPr="009D63CD">
        <w:rPr>
          <w:b/>
          <w:color w:val="auto"/>
          <w:shd w:val="clear" w:color="auto" w:fill="auto"/>
        </w:rPr>
        <w:t>, 2019</w:t>
      </w:r>
      <w:r w:rsidRPr="00616592">
        <w:rPr>
          <w:b/>
          <w:color w:val="auto"/>
          <w:shd w:val="clear" w:color="auto" w:fill="auto"/>
        </w:rPr>
        <w:t>.</w:t>
      </w:r>
      <w:r w:rsidRPr="00616592">
        <w:rPr>
          <w:color w:val="auto"/>
          <w:shd w:val="clear" w:color="auto" w:fill="auto"/>
        </w:rPr>
        <w:t xml:space="preserve"> The purpose of the webinar is to provide guidance to assist prospective applicants with completing the</w:t>
      </w:r>
      <w:r w:rsidR="00625DF3">
        <w:rPr>
          <w:color w:val="auto"/>
          <w:shd w:val="clear" w:color="auto" w:fill="auto"/>
        </w:rPr>
        <w:t xml:space="preserve"> TUPE</w:t>
      </w:r>
      <w:r w:rsidRPr="00616592">
        <w:rPr>
          <w:color w:val="auto"/>
          <w:shd w:val="clear" w:color="auto" w:fill="auto"/>
        </w:rPr>
        <w:t xml:space="preserve"> </w:t>
      </w:r>
      <w:r>
        <w:rPr>
          <w:color w:val="auto"/>
          <w:shd w:val="clear" w:color="auto" w:fill="auto"/>
        </w:rPr>
        <w:t xml:space="preserve">Capacity Building </w:t>
      </w:r>
      <w:r w:rsidR="00625DF3">
        <w:rPr>
          <w:color w:val="auto"/>
          <w:shd w:val="clear" w:color="auto" w:fill="auto"/>
        </w:rPr>
        <w:t xml:space="preserve">Provider </w:t>
      </w:r>
      <w:r w:rsidR="004927F0">
        <w:rPr>
          <w:color w:val="auto"/>
          <w:shd w:val="clear" w:color="auto" w:fill="auto"/>
        </w:rPr>
        <w:t>(CBP) g</w:t>
      </w:r>
      <w:r>
        <w:rPr>
          <w:color w:val="auto"/>
          <w:shd w:val="clear" w:color="auto" w:fill="auto"/>
        </w:rPr>
        <w:t>rant</w:t>
      </w:r>
      <w:r w:rsidRPr="00616592">
        <w:rPr>
          <w:color w:val="auto"/>
          <w:shd w:val="clear" w:color="auto" w:fill="auto"/>
        </w:rPr>
        <w:t xml:space="preserve"> application. The webinar may be viewed at any time after posting.</w:t>
      </w:r>
    </w:p>
    <w:p w14:paraId="641FC56D" w14:textId="336A1887" w:rsidR="00043468" w:rsidRPr="00621EB4" w:rsidRDefault="00043468" w:rsidP="00043468">
      <w:pPr>
        <w:numPr>
          <w:ilvl w:val="0"/>
          <w:numId w:val="8"/>
        </w:numPr>
        <w:spacing w:after="0"/>
        <w:rPr>
          <w:color w:val="auto"/>
          <w:shd w:val="clear" w:color="auto" w:fill="auto"/>
        </w:rPr>
      </w:pPr>
      <w:r w:rsidRPr="00616592">
        <w:rPr>
          <w:bCs/>
          <w:color w:val="auto"/>
          <w:shd w:val="clear" w:color="auto" w:fill="auto"/>
        </w:rPr>
        <w:t xml:space="preserve">The TUPE Office will provide a </w:t>
      </w:r>
      <w:r w:rsidR="00625DF3" w:rsidRPr="00EA5244">
        <w:t>Request for Applications (RFA)</w:t>
      </w:r>
      <w:r w:rsidR="00625DF3">
        <w:t xml:space="preserve"> </w:t>
      </w:r>
      <w:r w:rsidRPr="00616592">
        <w:rPr>
          <w:bCs/>
          <w:color w:val="auto"/>
          <w:shd w:val="clear" w:color="auto" w:fill="auto"/>
        </w:rPr>
        <w:t>Helpdesk to assist applicants with RFA</w:t>
      </w:r>
      <w:r w:rsidR="004A3605">
        <w:rPr>
          <w:bCs/>
          <w:color w:val="auto"/>
          <w:shd w:val="clear" w:color="auto" w:fill="auto"/>
        </w:rPr>
        <w:t>-</w:t>
      </w:r>
      <w:r w:rsidRPr="00616592">
        <w:rPr>
          <w:bCs/>
          <w:color w:val="auto"/>
          <w:shd w:val="clear" w:color="auto" w:fill="auto"/>
        </w:rPr>
        <w:t xml:space="preserve">related questions. The </w:t>
      </w:r>
      <w:r w:rsidR="004A3605">
        <w:rPr>
          <w:bCs/>
          <w:color w:val="auto"/>
          <w:shd w:val="clear" w:color="auto" w:fill="auto"/>
        </w:rPr>
        <w:t>RFA</w:t>
      </w:r>
      <w:r w:rsidRPr="00616592">
        <w:rPr>
          <w:bCs/>
          <w:color w:val="auto"/>
          <w:shd w:val="clear" w:color="auto" w:fill="auto"/>
        </w:rPr>
        <w:t xml:space="preserve"> Helpdesk will be available from </w:t>
      </w:r>
      <w:r w:rsidR="00796D4C">
        <w:rPr>
          <w:b/>
          <w:bCs/>
          <w:color w:val="auto"/>
          <w:shd w:val="clear" w:color="auto" w:fill="auto"/>
        </w:rPr>
        <w:t xml:space="preserve">July </w:t>
      </w:r>
      <w:r w:rsidR="00900113">
        <w:rPr>
          <w:b/>
          <w:bCs/>
          <w:color w:val="auto"/>
          <w:shd w:val="clear" w:color="auto" w:fill="auto"/>
        </w:rPr>
        <w:t>2</w:t>
      </w:r>
      <w:r w:rsidR="00A228FF">
        <w:rPr>
          <w:b/>
          <w:bCs/>
          <w:color w:val="auto"/>
          <w:shd w:val="clear" w:color="auto" w:fill="auto"/>
        </w:rPr>
        <w:t>6</w:t>
      </w:r>
      <w:r w:rsidR="009D63CD" w:rsidRPr="0015491A">
        <w:rPr>
          <w:b/>
          <w:bCs/>
          <w:color w:val="auto"/>
          <w:shd w:val="clear" w:color="auto" w:fill="auto"/>
        </w:rPr>
        <w:t>–</w:t>
      </w:r>
      <w:r w:rsidR="00A228FF">
        <w:rPr>
          <w:b/>
          <w:bCs/>
          <w:color w:val="auto"/>
          <w:shd w:val="clear" w:color="auto" w:fill="auto"/>
        </w:rPr>
        <w:t>August 30</w:t>
      </w:r>
      <w:r w:rsidRPr="0015491A">
        <w:rPr>
          <w:b/>
          <w:bCs/>
          <w:color w:val="auto"/>
          <w:shd w:val="clear" w:color="auto" w:fill="auto"/>
        </w:rPr>
        <w:t>, 2019</w:t>
      </w:r>
      <w:r w:rsidRPr="00616592">
        <w:rPr>
          <w:b/>
          <w:bCs/>
          <w:color w:val="auto"/>
          <w:shd w:val="clear" w:color="auto" w:fill="auto"/>
        </w:rPr>
        <w:t>.</w:t>
      </w:r>
    </w:p>
    <w:p w14:paraId="31E5E407" w14:textId="153E2C31" w:rsidR="00043468" w:rsidRPr="00616592" w:rsidRDefault="00043468" w:rsidP="001C44DF">
      <w:pPr>
        <w:numPr>
          <w:ilvl w:val="0"/>
          <w:numId w:val="8"/>
        </w:numPr>
        <w:spacing w:after="0"/>
        <w:rPr>
          <w:color w:val="auto"/>
          <w:shd w:val="clear" w:color="auto" w:fill="auto"/>
        </w:rPr>
      </w:pPr>
      <w:r w:rsidRPr="00616592">
        <w:rPr>
          <w:bCs/>
          <w:color w:val="auto"/>
          <w:shd w:val="clear" w:color="auto" w:fill="auto"/>
        </w:rPr>
        <w:t xml:space="preserve">All required application forms are available on the </w:t>
      </w:r>
      <w:r w:rsidR="004A3605">
        <w:rPr>
          <w:bCs/>
          <w:color w:val="auto"/>
          <w:shd w:val="clear" w:color="auto" w:fill="auto"/>
        </w:rPr>
        <w:t xml:space="preserve">CDE </w:t>
      </w:r>
      <w:r w:rsidRPr="00616592">
        <w:rPr>
          <w:bCs/>
          <w:color w:val="auto"/>
          <w:shd w:val="clear" w:color="auto" w:fill="auto"/>
        </w:rPr>
        <w:t xml:space="preserve">TUPE </w:t>
      </w:r>
      <w:r w:rsidR="00625DF3">
        <w:rPr>
          <w:bCs/>
          <w:color w:val="auto"/>
          <w:shd w:val="clear" w:color="auto" w:fill="auto"/>
        </w:rPr>
        <w:t>RFA</w:t>
      </w:r>
      <w:r w:rsidRPr="00616592">
        <w:rPr>
          <w:bCs/>
          <w:color w:val="auto"/>
          <w:shd w:val="clear" w:color="auto" w:fill="auto"/>
        </w:rPr>
        <w:t xml:space="preserve"> web page at </w:t>
      </w:r>
      <w:hyperlink r:id="rId11" w:tooltip="Tobacco Use Prevention Education funding web page" w:history="1">
        <w:r w:rsidR="001C44DF" w:rsidRPr="001C44DF">
          <w:rPr>
            <w:rStyle w:val="Hyperlink"/>
          </w:rPr>
          <w:t>https://www.cde.ca.gov/ls/he/at/tupefunding.asp</w:t>
        </w:r>
      </w:hyperlink>
      <w:r w:rsidR="0047456B" w:rsidRPr="00A705C7">
        <w:rPr>
          <w:rStyle w:val="Hyperlink"/>
          <w:u w:val="none"/>
        </w:rPr>
        <w:t>.</w:t>
      </w:r>
    </w:p>
    <w:p w14:paraId="5B69BCEE" w14:textId="4AA5C7B7" w:rsidR="0043147F" w:rsidRDefault="00043468" w:rsidP="00043468">
      <w:pPr>
        <w:numPr>
          <w:ilvl w:val="0"/>
          <w:numId w:val="8"/>
        </w:numPr>
        <w:spacing w:after="0"/>
        <w:rPr>
          <w:bCs/>
          <w:color w:val="auto"/>
          <w:shd w:val="clear" w:color="auto" w:fill="auto"/>
        </w:rPr>
      </w:pPr>
      <w:r w:rsidRPr="00616592">
        <w:rPr>
          <w:bCs/>
          <w:color w:val="auto"/>
          <w:shd w:val="clear" w:color="auto" w:fill="auto"/>
        </w:rPr>
        <w:t xml:space="preserve">The grant award cycle is for </w:t>
      </w:r>
      <w:r w:rsidR="00873940">
        <w:rPr>
          <w:bCs/>
          <w:color w:val="auto"/>
          <w:shd w:val="clear" w:color="auto" w:fill="auto"/>
        </w:rPr>
        <w:t>33</w:t>
      </w:r>
      <w:r w:rsidR="00960FD8">
        <w:rPr>
          <w:bCs/>
          <w:color w:val="auto"/>
          <w:shd w:val="clear" w:color="auto" w:fill="auto"/>
        </w:rPr>
        <w:t xml:space="preserve"> mo</w:t>
      </w:r>
      <w:r w:rsidR="00FE4826">
        <w:rPr>
          <w:bCs/>
          <w:color w:val="auto"/>
          <w:shd w:val="clear" w:color="auto" w:fill="auto"/>
        </w:rPr>
        <w:t>n</w:t>
      </w:r>
      <w:r w:rsidR="00960FD8">
        <w:rPr>
          <w:bCs/>
          <w:color w:val="auto"/>
          <w:shd w:val="clear" w:color="auto" w:fill="auto"/>
        </w:rPr>
        <w:t>ths;</w:t>
      </w:r>
      <w:r w:rsidRPr="00616592">
        <w:rPr>
          <w:bCs/>
          <w:color w:val="auto"/>
          <w:shd w:val="clear" w:color="auto" w:fill="auto"/>
        </w:rPr>
        <w:t xml:space="preserve"> however, if funded, Grant Award Notifications (AO-400s) will be allocated in annual increments with annual reporting requirements.</w:t>
      </w:r>
    </w:p>
    <w:p w14:paraId="00C15510" w14:textId="77777777" w:rsidR="0043147F" w:rsidRDefault="0043147F">
      <w:pPr>
        <w:spacing w:before="0" w:after="0"/>
        <w:rPr>
          <w:bCs/>
          <w:color w:val="auto"/>
          <w:shd w:val="clear" w:color="auto" w:fill="auto"/>
        </w:rPr>
      </w:pPr>
      <w:r>
        <w:rPr>
          <w:bCs/>
          <w:color w:val="auto"/>
          <w:shd w:val="clear" w:color="auto" w:fill="auto"/>
        </w:rPr>
        <w:br w:type="page"/>
      </w:r>
    </w:p>
    <w:bookmarkStart w:id="15" w:name="_Toc497305433" w:displacedByCustomXml="next"/>
    <w:bookmarkStart w:id="16" w:name="_Toc497482076" w:displacedByCustomXml="next"/>
    <w:sdt>
      <w:sdtPr>
        <w:rPr>
          <w:rFonts w:ascii="Arial" w:eastAsia="Times New Roman" w:hAnsi="Arial" w:cs="Arial"/>
          <w:color w:val="000000"/>
          <w:sz w:val="24"/>
          <w:szCs w:val="24"/>
        </w:rPr>
        <w:id w:val="1098052704"/>
        <w:docPartObj>
          <w:docPartGallery w:val="Table of Contents"/>
          <w:docPartUnique/>
        </w:docPartObj>
      </w:sdtPr>
      <w:sdtEndPr>
        <w:rPr>
          <w:b/>
          <w:bCs/>
          <w:noProof/>
        </w:rPr>
      </w:sdtEndPr>
      <w:sdtContent>
        <w:p w14:paraId="3FD14B84" w14:textId="4B6FF28F" w:rsidR="00113601" w:rsidRPr="00113601" w:rsidRDefault="00113601">
          <w:pPr>
            <w:pStyle w:val="TOCHeading"/>
            <w:rPr>
              <w:rFonts w:ascii="Arial" w:hAnsi="Arial" w:cs="Arial"/>
              <w:b/>
              <w:color w:val="000000" w:themeColor="text1"/>
              <w:sz w:val="24"/>
              <w:szCs w:val="24"/>
            </w:rPr>
          </w:pPr>
          <w:r w:rsidRPr="00113601">
            <w:rPr>
              <w:rFonts w:ascii="Arial" w:hAnsi="Arial" w:cs="Arial"/>
              <w:b/>
              <w:color w:val="000000" w:themeColor="text1"/>
              <w:sz w:val="24"/>
              <w:szCs w:val="24"/>
            </w:rPr>
            <w:t>Table of Contents</w:t>
          </w:r>
        </w:p>
        <w:p w14:paraId="03B607A4" w14:textId="73870B31" w:rsidR="00805238" w:rsidRDefault="00113601" w:rsidP="005A1FB2">
          <w:pPr>
            <w:pStyle w:val="TOC1"/>
            <w:tabs>
              <w:tab w:val="left" w:pos="900"/>
            </w:tabs>
            <w:ind w:left="900" w:hanging="360"/>
            <w:rPr>
              <w:rFonts w:asciiTheme="minorHAnsi" w:eastAsiaTheme="minorEastAsia" w:hAnsiTheme="minorHAnsi" w:cstheme="minorBidi"/>
              <w:color w:val="auto"/>
              <w:sz w:val="22"/>
              <w:szCs w:val="22"/>
              <w:shd w:val="clear" w:color="auto" w:fill="auto"/>
            </w:rPr>
          </w:pPr>
          <w:r>
            <w:fldChar w:fldCharType="begin"/>
          </w:r>
          <w:r>
            <w:instrText xml:space="preserve"> TOC \o "1-4" \h \z \u </w:instrText>
          </w:r>
          <w:r>
            <w:fldChar w:fldCharType="separate"/>
          </w:r>
          <w:hyperlink w:anchor="_Toc8915772" w:history="1">
            <w:r w:rsidR="00805238" w:rsidRPr="006C6E1E">
              <w:rPr>
                <w:rStyle w:val="Hyperlink"/>
              </w:rPr>
              <w:t>Critical Dates for the Application Process</w:t>
            </w:r>
            <w:r w:rsidR="00805238">
              <w:rPr>
                <w:webHidden/>
              </w:rPr>
              <w:tab/>
            </w:r>
            <w:r w:rsidR="00805238">
              <w:rPr>
                <w:webHidden/>
              </w:rPr>
              <w:fldChar w:fldCharType="begin"/>
            </w:r>
            <w:r w:rsidR="00805238">
              <w:rPr>
                <w:webHidden/>
              </w:rPr>
              <w:instrText xml:space="preserve"> PAGEREF _Toc8915772 \h </w:instrText>
            </w:r>
            <w:r w:rsidR="00805238">
              <w:rPr>
                <w:webHidden/>
              </w:rPr>
            </w:r>
            <w:r w:rsidR="00805238">
              <w:rPr>
                <w:webHidden/>
              </w:rPr>
              <w:fldChar w:fldCharType="separate"/>
            </w:r>
            <w:r w:rsidR="00721B4F">
              <w:rPr>
                <w:noProof/>
                <w:webHidden/>
              </w:rPr>
              <w:t>1</w:t>
            </w:r>
            <w:r w:rsidR="00805238">
              <w:rPr>
                <w:webHidden/>
              </w:rPr>
              <w:fldChar w:fldCharType="end"/>
            </w:r>
          </w:hyperlink>
        </w:p>
        <w:p w14:paraId="794FBE92" w14:textId="2200F220" w:rsidR="00805238" w:rsidRDefault="00AF5DB9" w:rsidP="001752A4">
          <w:pPr>
            <w:pStyle w:val="TOC3"/>
            <w:rPr>
              <w:rFonts w:asciiTheme="minorHAnsi" w:eastAsiaTheme="minorEastAsia" w:hAnsiTheme="minorHAnsi" w:cstheme="minorBidi"/>
              <w:color w:val="auto"/>
              <w:sz w:val="22"/>
              <w:szCs w:val="22"/>
              <w:shd w:val="clear" w:color="auto" w:fill="auto"/>
            </w:rPr>
          </w:pPr>
          <w:hyperlink w:anchor="_Toc8915773" w:history="1">
            <w:r w:rsidR="00805238" w:rsidRPr="006C6E1E">
              <w:rPr>
                <w:rStyle w:val="Hyperlink"/>
              </w:rPr>
              <w:t>II.</w:t>
            </w:r>
            <w:r w:rsidR="00805238">
              <w:rPr>
                <w:rFonts w:asciiTheme="minorHAnsi" w:eastAsiaTheme="minorEastAsia" w:hAnsiTheme="minorHAnsi" w:cstheme="minorBidi"/>
                <w:color w:val="auto"/>
                <w:sz w:val="22"/>
                <w:szCs w:val="22"/>
                <w:shd w:val="clear" w:color="auto" w:fill="auto"/>
              </w:rPr>
              <w:tab/>
            </w:r>
            <w:r w:rsidR="00805238" w:rsidRPr="006C6E1E">
              <w:rPr>
                <w:rStyle w:val="Hyperlink"/>
              </w:rPr>
              <w:t>Description and Purpose of the Program</w:t>
            </w:r>
            <w:r w:rsidR="00805238">
              <w:rPr>
                <w:webHidden/>
              </w:rPr>
              <w:tab/>
            </w:r>
            <w:r w:rsidR="00805238">
              <w:rPr>
                <w:webHidden/>
              </w:rPr>
              <w:fldChar w:fldCharType="begin"/>
            </w:r>
            <w:r w:rsidR="00805238">
              <w:rPr>
                <w:webHidden/>
              </w:rPr>
              <w:instrText xml:space="preserve"> PAGEREF _Toc8915773 \h </w:instrText>
            </w:r>
            <w:r w:rsidR="00805238">
              <w:rPr>
                <w:webHidden/>
              </w:rPr>
            </w:r>
            <w:r w:rsidR="00805238">
              <w:rPr>
                <w:webHidden/>
              </w:rPr>
              <w:fldChar w:fldCharType="separate"/>
            </w:r>
            <w:r w:rsidR="00721B4F">
              <w:rPr>
                <w:webHidden/>
              </w:rPr>
              <w:t>2</w:t>
            </w:r>
            <w:r w:rsidR="00805238">
              <w:rPr>
                <w:webHidden/>
              </w:rPr>
              <w:fldChar w:fldCharType="end"/>
            </w:r>
          </w:hyperlink>
        </w:p>
        <w:p w14:paraId="034ED663" w14:textId="7DAAD0BC"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74" w:history="1">
            <w:r w:rsidR="00805238" w:rsidRPr="006C6E1E">
              <w:rPr>
                <w:rStyle w:val="Hyperlink"/>
                <w:rFonts w:eastAsiaTheme="majorEastAsia"/>
                <w:noProof/>
              </w:rPr>
              <w:t>A.</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Background</w:t>
            </w:r>
            <w:r w:rsidR="00805238">
              <w:rPr>
                <w:noProof/>
                <w:webHidden/>
              </w:rPr>
              <w:tab/>
            </w:r>
            <w:r w:rsidR="00805238">
              <w:rPr>
                <w:noProof/>
                <w:webHidden/>
              </w:rPr>
              <w:fldChar w:fldCharType="begin"/>
            </w:r>
            <w:r w:rsidR="00805238">
              <w:rPr>
                <w:noProof/>
                <w:webHidden/>
              </w:rPr>
              <w:instrText xml:space="preserve"> PAGEREF _Toc8915774 \h </w:instrText>
            </w:r>
            <w:r w:rsidR="00805238">
              <w:rPr>
                <w:noProof/>
                <w:webHidden/>
              </w:rPr>
            </w:r>
            <w:r w:rsidR="00805238">
              <w:rPr>
                <w:noProof/>
                <w:webHidden/>
              </w:rPr>
              <w:fldChar w:fldCharType="separate"/>
            </w:r>
            <w:r w:rsidR="00721B4F">
              <w:rPr>
                <w:noProof/>
                <w:webHidden/>
              </w:rPr>
              <w:t>2</w:t>
            </w:r>
            <w:r w:rsidR="00805238">
              <w:rPr>
                <w:noProof/>
                <w:webHidden/>
              </w:rPr>
              <w:fldChar w:fldCharType="end"/>
            </w:r>
          </w:hyperlink>
        </w:p>
        <w:p w14:paraId="02834473" w14:textId="589A3895"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75" w:history="1">
            <w:r w:rsidR="00805238" w:rsidRPr="006C6E1E">
              <w:rPr>
                <w:rStyle w:val="Hyperlink"/>
                <w:rFonts w:eastAsiaTheme="majorEastAsia"/>
                <w:noProof/>
              </w:rPr>
              <w:t>B.</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Purpose</w:t>
            </w:r>
            <w:r w:rsidR="00805238">
              <w:rPr>
                <w:noProof/>
                <w:webHidden/>
              </w:rPr>
              <w:tab/>
            </w:r>
            <w:r w:rsidR="00805238">
              <w:rPr>
                <w:noProof/>
                <w:webHidden/>
              </w:rPr>
              <w:fldChar w:fldCharType="begin"/>
            </w:r>
            <w:r w:rsidR="00805238">
              <w:rPr>
                <w:noProof/>
                <w:webHidden/>
              </w:rPr>
              <w:instrText xml:space="preserve"> PAGEREF _Toc8915775 \h </w:instrText>
            </w:r>
            <w:r w:rsidR="00805238">
              <w:rPr>
                <w:noProof/>
                <w:webHidden/>
              </w:rPr>
            </w:r>
            <w:r w:rsidR="00805238">
              <w:rPr>
                <w:noProof/>
                <w:webHidden/>
              </w:rPr>
              <w:fldChar w:fldCharType="separate"/>
            </w:r>
            <w:r w:rsidR="00721B4F">
              <w:rPr>
                <w:noProof/>
                <w:webHidden/>
              </w:rPr>
              <w:t>3</w:t>
            </w:r>
            <w:r w:rsidR="00805238">
              <w:rPr>
                <w:noProof/>
                <w:webHidden/>
              </w:rPr>
              <w:fldChar w:fldCharType="end"/>
            </w:r>
          </w:hyperlink>
        </w:p>
        <w:p w14:paraId="00E590E7" w14:textId="2F799FAB"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76" w:history="1">
            <w:r w:rsidR="00805238" w:rsidRPr="006C6E1E">
              <w:rPr>
                <w:rStyle w:val="Hyperlink"/>
                <w:rFonts w:eastAsiaTheme="majorEastAsia"/>
                <w:noProof/>
              </w:rPr>
              <w:t>C.</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Funding</w:t>
            </w:r>
            <w:r w:rsidR="00805238">
              <w:rPr>
                <w:noProof/>
                <w:webHidden/>
              </w:rPr>
              <w:tab/>
            </w:r>
            <w:r w:rsidR="00805238">
              <w:rPr>
                <w:noProof/>
                <w:webHidden/>
              </w:rPr>
              <w:fldChar w:fldCharType="begin"/>
            </w:r>
            <w:r w:rsidR="00805238">
              <w:rPr>
                <w:noProof/>
                <w:webHidden/>
              </w:rPr>
              <w:instrText xml:space="preserve"> PAGEREF _Toc8915776 \h </w:instrText>
            </w:r>
            <w:r w:rsidR="00805238">
              <w:rPr>
                <w:noProof/>
                <w:webHidden/>
              </w:rPr>
            </w:r>
            <w:r w:rsidR="00805238">
              <w:rPr>
                <w:noProof/>
                <w:webHidden/>
              </w:rPr>
              <w:fldChar w:fldCharType="separate"/>
            </w:r>
            <w:r w:rsidR="00721B4F">
              <w:rPr>
                <w:noProof/>
                <w:webHidden/>
              </w:rPr>
              <w:t>3</w:t>
            </w:r>
            <w:r w:rsidR="00805238">
              <w:rPr>
                <w:noProof/>
                <w:webHidden/>
              </w:rPr>
              <w:fldChar w:fldCharType="end"/>
            </w:r>
          </w:hyperlink>
        </w:p>
        <w:p w14:paraId="01F49CF9" w14:textId="67EF4068"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77" w:history="1">
            <w:r w:rsidR="00805238" w:rsidRPr="006C6E1E">
              <w:rPr>
                <w:rStyle w:val="Hyperlink"/>
                <w:rFonts w:eastAsiaTheme="majorEastAsia"/>
                <w:noProof/>
              </w:rPr>
              <w:t>D.</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 xml:space="preserve">Responsibilities of the Tobacco-Use Prevention Education </w:t>
            </w:r>
            <w:r w:rsidR="00D65C03">
              <w:rPr>
                <w:rStyle w:val="Hyperlink"/>
                <w:rFonts w:eastAsiaTheme="majorEastAsia"/>
                <w:noProof/>
              </w:rPr>
              <w:tab/>
            </w:r>
            <w:r w:rsidR="00D65C03">
              <w:rPr>
                <w:rStyle w:val="Hyperlink"/>
                <w:rFonts w:eastAsiaTheme="majorEastAsia"/>
                <w:noProof/>
              </w:rPr>
              <w:tab/>
            </w:r>
            <w:r w:rsidR="00805238" w:rsidRPr="006C6E1E">
              <w:rPr>
                <w:rStyle w:val="Hyperlink"/>
                <w:rFonts w:eastAsiaTheme="majorEastAsia"/>
                <w:noProof/>
              </w:rPr>
              <w:t>Capacity Building Provider</w:t>
            </w:r>
            <w:r w:rsidR="00805238">
              <w:rPr>
                <w:noProof/>
                <w:webHidden/>
              </w:rPr>
              <w:tab/>
            </w:r>
            <w:r w:rsidR="00805238">
              <w:rPr>
                <w:noProof/>
                <w:webHidden/>
              </w:rPr>
              <w:fldChar w:fldCharType="begin"/>
            </w:r>
            <w:r w:rsidR="00805238">
              <w:rPr>
                <w:noProof/>
                <w:webHidden/>
              </w:rPr>
              <w:instrText xml:space="preserve"> PAGEREF _Toc8915777 \h </w:instrText>
            </w:r>
            <w:r w:rsidR="00805238">
              <w:rPr>
                <w:noProof/>
                <w:webHidden/>
              </w:rPr>
            </w:r>
            <w:r w:rsidR="00805238">
              <w:rPr>
                <w:noProof/>
                <w:webHidden/>
              </w:rPr>
              <w:fldChar w:fldCharType="separate"/>
            </w:r>
            <w:r w:rsidR="00721B4F">
              <w:rPr>
                <w:noProof/>
                <w:webHidden/>
              </w:rPr>
              <w:t>4</w:t>
            </w:r>
            <w:r w:rsidR="00805238">
              <w:rPr>
                <w:noProof/>
                <w:webHidden/>
              </w:rPr>
              <w:fldChar w:fldCharType="end"/>
            </w:r>
          </w:hyperlink>
        </w:p>
        <w:p w14:paraId="2036AB01" w14:textId="6086B517" w:rsidR="00805238" w:rsidRDefault="00AF5DB9" w:rsidP="001752A4">
          <w:pPr>
            <w:pStyle w:val="TOC3"/>
            <w:rPr>
              <w:rFonts w:asciiTheme="minorHAnsi" w:eastAsiaTheme="minorEastAsia" w:hAnsiTheme="minorHAnsi" w:cstheme="minorBidi"/>
              <w:color w:val="auto"/>
              <w:sz w:val="22"/>
              <w:szCs w:val="22"/>
              <w:shd w:val="clear" w:color="auto" w:fill="auto"/>
            </w:rPr>
          </w:pPr>
          <w:hyperlink w:anchor="_Toc8915778" w:history="1">
            <w:r w:rsidR="00805238" w:rsidRPr="006C6E1E">
              <w:rPr>
                <w:rStyle w:val="Hyperlink"/>
              </w:rPr>
              <w:t>III.</w:t>
            </w:r>
            <w:r w:rsidR="00805238">
              <w:rPr>
                <w:rFonts w:asciiTheme="minorHAnsi" w:eastAsiaTheme="minorEastAsia" w:hAnsiTheme="minorHAnsi" w:cstheme="minorBidi"/>
                <w:color w:val="auto"/>
                <w:sz w:val="22"/>
                <w:szCs w:val="22"/>
                <w:shd w:val="clear" w:color="auto" w:fill="auto"/>
              </w:rPr>
              <w:tab/>
            </w:r>
            <w:r w:rsidR="00805238" w:rsidRPr="006C6E1E">
              <w:rPr>
                <w:rStyle w:val="Hyperlink"/>
              </w:rPr>
              <w:t>Program Description</w:t>
            </w:r>
            <w:r w:rsidR="00805238">
              <w:rPr>
                <w:webHidden/>
              </w:rPr>
              <w:tab/>
            </w:r>
            <w:r w:rsidR="00805238">
              <w:rPr>
                <w:webHidden/>
              </w:rPr>
              <w:fldChar w:fldCharType="begin"/>
            </w:r>
            <w:r w:rsidR="00805238">
              <w:rPr>
                <w:webHidden/>
              </w:rPr>
              <w:instrText xml:space="preserve"> PAGEREF _Toc8915778 \h </w:instrText>
            </w:r>
            <w:r w:rsidR="00805238">
              <w:rPr>
                <w:webHidden/>
              </w:rPr>
            </w:r>
            <w:r w:rsidR="00805238">
              <w:rPr>
                <w:webHidden/>
              </w:rPr>
              <w:fldChar w:fldCharType="separate"/>
            </w:r>
            <w:r w:rsidR="00721B4F">
              <w:rPr>
                <w:webHidden/>
              </w:rPr>
              <w:t>5</w:t>
            </w:r>
            <w:r w:rsidR="00805238">
              <w:rPr>
                <w:webHidden/>
              </w:rPr>
              <w:fldChar w:fldCharType="end"/>
            </w:r>
          </w:hyperlink>
        </w:p>
        <w:p w14:paraId="6C4B1381" w14:textId="2ADE0EFF"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79" w:history="1">
            <w:r w:rsidR="00805238" w:rsidRPr="006C6E1E">
              <w:rPr>
                <w:rStyle w:val="Hyperlink"/>
                <w:rFonts w:eastAsiaTheme="majorEastAsia"/>
                <w:noProof/>
              </w:rPr>
              <w:t>A.</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Grant Information</w:t>
            </w:r>
            <w:r w:rsidR="00805238">
              <w:rPr>
                <w:noProof/>
                <w:webHidden/>
              </w:rPr>
              <w:tab/>
            </w:r>
            <w:r w:rsidR="00805238">
              <w:rPr>
                <w:noProof/>
                <w:webHidden/>
              </w:rPr>
              <w:fldChar w:fldCharType="begin"/>
            </w:r>
            <w:r w:rsidR="00805238">
              <w:rPr>
                <w:noProof/>
                <w:webHidden/>
              </w:rPr>
              <w:instrText xml:space="preserve"> PAGEREF _Toc8915779 \h </w:instrText>
            </w:r>
            <w:r w:rsidR="00805238">
              <w:rPr>
                <w:noProof/>
                <w:webHidden/>
              </w:rPr>
            </w:r>
            <w:r w:rsidR="00805238">
              <w:rPr>
                <w:noProof/>
                <w:webHidden/>
              </w:rPr>
              <w:fldChar w:fldCharType="separate"/>
            </w:r>
            <w:r w:rsidR="00721B4F">
              <w:rPr>
                <w:noProof/>
                <w:webHidden/>
              </w:rPr>
              <w:t>5</w:t>
            </w:r>
            <w:r w:rsidR="00805238">
              <w:rPr>
                <w:noProof/>
                <w:webHidden/>
              </w:rPr>
              <w:fldChar w:fldCharType="end"/>
            </w:r>
          </w:hyperlink>
        </w:p>
        <w:p w14:paraId="17382EC5" w14:textId="23F205BC"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80" w:history="1">
            <w:r w:rsidR="00805238" w:rsidRPr="006C6E1E">
              <w:rPr>
                <w:rStyle w:val="Hyperlink"/>
                <w:rFonts w:eastAsiaTheme="majorEastAsia"/>
                <w:noProof/>
              </w:rPr>
              <w:t>B.</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Eligibility Requirements</w:t>
            </w:r>
            <w:r w:rsidR="00805238">
              <w:rPr>
                <w:noProof/>
                <w:webHidden/>
              </w:rPr>
              <w:tab/>
            </w:r>
            <w:r w:rsidR="00805238">
              <w:rPr>
                <w:noProof/>
                <w:webHidden/>
              </w:rPr>
              <w:fldChar w:fldCharType="begin"/>
            </w:r>
            <w:r w:rsidR="00805238">
              <w:rPr>
                <w:noProof/>
                <w:webHidden/>
              </w:rPr>
              <w:instrText xml:space="preserve"> PAGEREF _Toc8915780 \h </w:instrText>
            </w:r>
            <w:r w:rsidR="00805238">
              <w:rPr>
                <w:noProof/>
                <w:webHidden/>
              </w:rPr>
            </w:r>
            <w:r w:rsidR="00805238">
              <w:rPr>
                <w:noProof/>
                <w:webHidden/>
              </w:rPr>
              <w:fldChar w:fldCharType="separate"/>
            </w:r>
            <w:r w:rsidR="00721B4F">
              <w:rPr>
                <w:noProof/>
                <w:webHidden/>
              </w:rPr>
              <w:t>5</w:t>
            </w:r>
            <w:r w:rsidR="00805238">
              <w:rPr>
                <w:noProof/>
                <w:webHidden/>
              </w:rPr>
              <w:fldChar w:fldCharType="end"/>
            </w:r>
          </w:hyperlink>
        </w:p>
        <w:p w14:paraId="6166F0D7" w14:textId="16D2C083"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81" w:history="1">
            <w:r w:rsidR="00805238" w:rsidRPr="006C6E1E">
              <w:rPr>
                <w:rStyle w:val="Hyperlink"/>
                <w:rFonts w:eastAsiaTheme="majorEastAsia"/>
                <w:noProof/>
              </w:rPr>
              <w:t>C.</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Who May Apply?</w:t>
            </w:r>
            <w:r w:rsidR="00805238">
              <w:rPr>
                <w:noProof/>
                <w:webHidden/>
              </w:rPr>
              <w:tab/>
            </w:r>
            <w:r w:rsidR="00805238">
              <w:rPr>
                <w:noProof/>
                <w:webHidden/>
              </w:rPr>
              <w:fldChar w:fldCharType="begin"/>
            </w:r>
            <w:r w:rsidR="00805238">
              <w:rPr>
                <w:noProof/>
                <w:webHidden/>
              </w:rPr>
              <w:instrText xml:space="preserve"> PAGEREF _Toc8915781 \h </w:instrText>
            </w:r>
            <w:r w:rsidR="00805238">
              <w:rPr>
                <w:noProof/>
                <w:webHidden/>
              </w:rPr>
            </w:r>
            <w:r w:rsidR="00805238">
              <w:rPr>
                <w:noProof/>
                <w:webHidden/>
              </w:rPr>
              <w:fldChar w:fldCharType="separate"/>
            </w:r>
            <w:r w:rsidR="00721B4F">
              <w:rPr>
                <w:noProof/>
                <w:webHidden/>
              </w:rPr>
              <w:t>5</w:t>
            </w:r>
            <w:r w:rsidR="00805238">
              <w:rPr>
                <w:noProof/>
                <w:webHidden/>
              </w:rPr>
              <w:fldChar w:fldCharType="end"/>
            </w:r>
          </w:hyperlink>
        </w:p>
        <w:p w14:paraId="45324790" w14:textId="2E301272"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82" w:history="1">
            <w:r w:rsidR="00805238" w:rsidRPr="006C6E1E">
              <w:rPr>
                <w:rStyle w:val="Hyperlink"/>
                <w:rFonts w:eastAsiaTheme="majorEastAsia"/>
                <w:noProof/>
              </w:rPr>
              <w:t>D.</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Capacity Building Experience</w:t>
            </w:r>
            <w:r w:rsidR="00805238">
              <w:rPr>
                <w:noProof/>
                <w:webHidden/>
              </w:rPr>
              <w:tab/>
            </w:r>
            <w:r w:rsidR="00805238">
              <w:rPr>
                <w:noProof/>
                <w:webHidden/>
              </w:rPr>
              <w:fldChar w:fldCharType="begin"/>
            </w:r>
            <w:r w:rsidR="00805238">
              <w:rPr>
                <w:noProof/>
                <w:webHidden/>
              </w:rPr>
              <w:instrText xml:space="preserve"> PAGEREF _Toc8915782 \h </w:instrText>
            </w:r>
            <w:r w:rsidR="00805238">
              <w:rPr>
                <w:noProof/>
                <w:webHidden/>
              </w:rPr>
            </w:r>
            <w:r w:rsidR="00805238">
              <w:rPr>
                <w:noProof/>
                <w:webHidden/>
              </w:rPr>
              <w:fldChar w:fldCharType="separate"/>
            </w:r>
            <w:r w:rsidR="00721B4F">
              <w:rPr>
                <w:noProof/>
                <w:webHidden/>
              </w:rPr>
              <w:t>5</w:t>
            </w:r>
            <w:r w:rsidR="00805238">
              <w:rPr>
                <w:noProof/>
                <w:webHidden/>
              </w:rPr>
              <w:fldChar w:fldCharType="end"/>
            </w:r>
          </w:hyperlink>
        </w:p>
        <w:p w14:paraId="34F048E3" w14:textId="05406361"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83" w:history="1">
            <w:r w:rsidR="00805238" w:rsidRPr="006C6E1E">
              <w:rPr>
                <w:rStyle w:val="Hyperlink"/>
                <w:rFonts w:eastAsiaTheme="majorEastAsia"/>
                <w:noProof/>
              </w:rPr>
              <w:t>E.</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Absence of Tobacco Industry Funding or Support</w:t>
            </w:r>
            <w:r w:rsidR="00805238">
              <w:rPr>
                <w:noProof/>
                <w:webHidden/>
              </w:rPr>
              <w:tab/>
            </w:r>
            <w:r w:rsidR="00805238">
              <w:rPr>
                <w:noProof/>
                <w:webHidden/>
              </w:rPr>
              <w:fldChar w:fldCharType="begin"/>
            </w:r>
            <w:r w:rsidR="00805238">
              <w:rPr>
                <w:noProof/>
                <w:webHidden/>
              </w:rPr>
              <w:instrText xml:space="preserve"> PAGEREF _Toc8915783 \h </w:instrText>
            </w:r>
            <w:r w:rsidR="00805238">
              <w:rPr>
                <w:noProof/>
                <w:webHidden/>
              </w:rPr>
            </w:r>
            <w:r w:rsidR="00805238">
              <w:rPr>
                <w:noProof/>
                <w:webHidden/>
              </w:rPr>
              <w:fldChar w:fldCharType="separate"/>
            </w:r>
            <w:r w:rsidR="00721B4F">
              <w:rPr>
                <w:noProof/>
                <w:webHidden/>
              </w:rPr>
              <w:t>6</w:t>
            </w:r>
            <w:r w:rsidR="00805238">
              <w:rPr>
                <w:noProof/>
                <w:webHidden/>
              </w:rPr>
              <w:fldChar w:fldCharType="end"/>
            </w:r>
          </w:hyperlink>
        </w:p>
        <w:p w14:paraId="012903AF" w14:textId="12312A0D"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84" w:history="1">
            <w:r w:rsidR="00805238" w:rsidRPr="006C6E1E">
              <w:rPr>
                <w:rStyle w:val="Hyperlink"/>
                <w:rFonts w:eastAsiaTheme="majorEastAsia"/>
                <w:noProof/>
              </w:rPr>
              <w:t>F.</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Other Eligibility Requirements</w:t>
            </w:r>
            <w:r w:rsidR="00805238">
              <w:rPr>
                <w:noProof/>
                <w:webHidden/>
              </w:rPr>
              <w:tab/>
            </w:r>
            <w:r w:rsidR="00805238">
              <w:rPr>
                <w:noProof/>
                <w:webHidden/>
              </w:rPr>
              <w:fldChar w:fldCharType="begin"/>
            </w:r>
            <w:r w:rsidR="00805238">
              <w:rPr>
                <w:noProof/>
                <w:webHidden/>
              </w:rPr>
              <w:instrText xml:space="preserve"> PAGEREF _Toc8915784 \h </w:instrText>
            </w:r>
            <w:r w:rsidR="00805238">
              <w:rPr>
                <w:noProof/>
                <w:webHidden/>
              </w:rPr>
            </w:r>
            <w:r w:rsidR="00805238">
              <w:rPr>
                <w:noProof/>
                <w:webHidden/>
              </w:rPr>
              <w:fldChar w:fldCharType="separate"/>
            </w:r>
            <w:r w:rsidR="00721B4F">
              <w:rPr>
                <w:noProof/>
                <w:webHidden/>
              </w:rPr>
              <w:t>6</w:t>
            </w:r>
            <w:r w:rsidR="00805238">
              <w:rPr>
                <w:noProof/>
                <w:webHidden/>
              </w:rPr>
              <w:fldChar w:fldCharType="end"/>
            </w:r>
          </w:hyperlink>
        </w:p>
        <w:p w14:paraId="1D7F1489" w14:textId="0326F5D7"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85" w:history="1">
            <w:r w:rsidR="00805238" w:rsidRPr="006C6E1E">
              <w:rPr>
                <w:rStyle w:val="Hyperlink"/>
                <w:rFonts w:eastAsiaTheme="majorEastAsia"/>
                <w:noProof/>
              </w:rPr>
              <w:t>G.</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Administrative Indirect Cost Rate</w:t>
            </w:r>
            <w:r w:rsidR="00805238">
              <w:rPr>
                <w:noProof/>
                <w:webHidden/>
              </w:rPr>
              <w:tab/>
            </w:r>
            <w:r w:rsidR="00805238">
              <w:rPr>
                <w:noProof/>
                <w:webHidden/>
              </w:rPr>
              <w:fldChar w:fldCharType="begin"/>
            </w:r>
            <w:r w:rsidR="00805238">
              <w:rPr>
                <w:noProof/>
                <w:webHidden/>
              </w:rPr>
              <w:instrText xml:space="preserve"> PAGEREF _Toc8915785 \h </w:instrText>
            </w:r>
            <w:r w:rsidR="00805238">
              <w:rPr>
                <w:noProof/>
                <w:webHidden/>
              </w:rPr>
            </w:r>
            <w:r w:rsidR="00805238">
              <w:rPr>
                <w:noProof/>
                <w:webHidden/>
              </w:rPr>
              <w:fldChar w:fldCharType="separate"/>
            </w:r>
            <w:r w:rsidR="00721B4F">
              <w:rPr>
                <w:noProof/>
                <w:webHidden/>
              </w:rPr>
              <w:t>6</w:t>
            </w:r>
            <w:r w:rsidR="00805238">
              <w:rPr>
                <w:noProof/>
                <w:webHidden/>
              </w:rPr>
              <w:fldChar w:fldCharType="end"/>
            </w:r>
          </w:hyperlink>
        </w:p>
        <w:p w14:paraId="2F439BF2" w14:textId="08B1E6AA" w:rsidR="00805238" w:rsidRDefault="00AF5DB9" w:rsidP="001752A4">
          <w:pPr>
            <w:pStyle w:val="TOC3"/>
            <w:rPr>
              <w:rFonts w:asciiTheme="minorHAnsi" w:eastAsiaTheme="minorEastAsia" w:hAnsiTheme="minorHAnsi" w:cstheme="minorBidi"/>
              <w:color w:val="auto"/>
              <w:sz w:val="22"/>
              <w:szCs w:val="22"/>
              <w:shd w:val="clear" w:color="auto" w:fill="auto"/>
            </w:rPr>
          </w:pPr>
          <w:hyperlink w:anchor="_Toc8915786" w:history="1">
            <w:r w:rsidR="00805238" w:rsidRPr="006C6E1E">
              <w:rPr>
                <w:rStyle w:val="Hyperlink"/>
              </w:rPr>
              <w:t>IV.</w:t>
            </w:r>
            <w:r w:rsidR="00805238">
              <w:rPr>
                <w:rFonts w:asciiTheme="minorHAnsi" w:eastAsiaTheme="minorEastAsia" w:hAnsiTheme="minorHAnsi" w:cstheme="minorBidi"/>
                <w:color w:val="auto"/>
                <w:sz w:val="22"/>
                <w:szCs w:val="22"/>
                <w:shd w:val="clear" w:color="auto" w:fill="auto"/>
              </w:rPr>
              <w:tab/>
            </w:r>
            <w:r w:rsidR="00805238" w:rsidRPr="006C6E1E">
              <w:rPr>
                <w:rStyle w:val="Hyperlink"/>
              </w:rPr>
              <w:t>Accountability</w:t>
            </w:r>
            <w:r w:rsidR="00805238">
              <w:rPr>
                <w:webHidden/>
              </w:rPr>
              <w:tab/>
            </w:r>
            <w:r w:rsidR="00805238">
              <w:rPr>
                <w:webHidden/>
              </w:rPr>
              <w:fldChar w:fldCharType="begin"/>
            </w:r>
            <w:r w:rsidR="00805238">
              <w:rPr>
                <w:webHidden/>
              </w:rPr>
              <w:instrText xml:space="preserve"> PAGEREF _Toc8915786 \h </w:instrText>
            </w:r>
            <w:r w:rsidR="00805238">
              <w:rPr>
                <w:webHidden/>
              </w:rPr>
            </w:r>
            <w:r w:rsidR="00805238">
              <w:rPr>
                <w:webHidden/>
              </w:rPr>
              <w:fldChar w:fldCharType="separate"/>
            </w:r>
            <w:r w:rsidR="00721B4F">
              <w:rPr>
                <w:webHidden/>
              </w:rPr>
              <w:t>6</w:t>
            </w:r>
            <w:r w:rsidR="00805238">
              <w:rPr>
                <w:webHidden/>
              </w:rPr>
              <w:fldChar w:fldCharType="end"/>
            </w:r>
          </w:hyperlink>
        </w:p>
        <w:p w14:paraId="4FC25F87" w14:textId="2BEACC05"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87" w:history="1">
            <w:r w:rsidR="00805238" w:rsidRPr="006C6E1E">
              <w:rPr>
                <w:rStyle w:val="Hyperlink"/>
                <w:rFonts w:eastAsiaTheme="majorEastAsia"/>
                <w:noProof/>
              </w:rPr>
              <w:t>A.</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Reporting Requirements</w:t>
            </w:r>
            <w:r w:rsidR="00805238">
              <w:rPr>
                <w:noProof/>
                <w:webHidden/>
              </w:rPr>
              <w:tab/>
            </w:r>
            <w:r w:rsidR="00805238">
              <w:rPr>
                <w:noProof/>
                <w:webHidden/>
              </w:rPr>
              <w:fldChar w:fldCharType="begin"/>
            </w:r>
            <w:r w:rsidR="00805238">
              <w:rPr>
                <w:noProof/>
                <w:webHidden/>
              </w:rPr>
              <w:instrText xml:space="preserve"> PAGEREF _Toc8915787 \h </w:instrText>
            </w:r>
            <w:r w:rsidR="00805238">
              <w:rPr>
                <w:noProof/>
                <w:webHidden/>
              </w:rPr>
            </w:r>
            <w:r w:rsidR="00805238">
              <w:rPr>
                <w:noProof/>
                <w:webHidden/>
              </w:rPr>
              <w:fldChar w:fldCharType="separate"/>
            </w:r>
            <w:r w:rsidR="00721B4F">
              <w:rPr>
                <w:noProof/>
                <w:webHidden/>
              </w:rPr>
              <w:t>6</w:t>
            </w:r>
            <w:r w:rsidR="00805238">
              <w:rPr>
                <w:noProof/>
                <w:webHidden/>
              </w:rPr>
              <w:fldChar w:fldCharType="end"/>
            </w:r>
          </w:hyperlink>
        </w:p>
        <w:p w14:paraId="6ED7A09C" w14:textId="69A1B87E"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88" w:history="1">
            <w:r w:rsidR="00805238" w:rsidRPr="006C6E1E">
              <w:rPr>
                <w:rStyle w:val="Hyperlink"/>
                <w:rFonts w:eastAsiaTheme="majorEastAsia"/>
                <w:noProof/>
              </w:rPr>
              <w:t>B.</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Program Deliverables</w:t>
            </w:r>
            <w:r w:rsidR="00805238">
              <w:rPr>
                <w:noProof/>
                <w:webHidden/>
              </w:rPr>
              <w:tab/>
            </w:r>
            <w:r w:rsidR="00805238">
              <w:rPr>
                <w:noProof/>
                <w:webHidden/>
              </w:rPr>
              <w:fldChar w:fldCharType="begin"/>
            </w:r>
            <w:r w:rsidR="00805238">
              <w:rPr>
                <w:noProof/>
                <w:webHidden/>
              </w:rPr>
              <w:instrText xml:space="preserve"> PAGEREF _Toc8915788 \h </w:instrText>
            </w:r>
            <w:r w:rsidR="00805238">
              <w:rPr>
                <w:noProof/>
                <w:webHidden/>
              </w:rPr>
            </w:r>
            <w:r w:rsidR="00805238">
              <w:rPr>
                <w:noProof/>
                <w:webHidden/>
              </w:rPr>
              <w:fldChar w:fldCharType="separate"/>
            </w:r>
            <w:r w:rsidR="00721B4F">
              <w:rPr>
                <w:noProof/>
                <w:webHidden/>
              </w:rPr>
              <w:t>7</w:t>
            </w:r>
            <w:r w:rsidR="00805238">
              <w:rPr>
                <w:noProof/>
                <w:webHidden/>
              </w:rPr>
              <w:fldChar w:fldCharType="end"/>
            </w:r>
          </w:hyperlink>
        </w:p>
        <w:p w14:paraId="61396BAB" w14:textId="7C2F9ED0"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89" w:history="1">
            <w:r w:rsidR="00805238" w:rsidRPr="006C6E1E">
              <w:rPr>
                <w:rStyle w:val="Hyperlink"/>
                <w:rFonts w:eastAsiaTheme="majorEastAsia"/>
                <w:noProof/>
              </w:rPr>
              <w:t>C.</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Tobacco-Free Policy and Certification</w:t>
            </w:r>
            <w:r w:rsidR="00805238">
              <w:rPr>
                <w:noProof/>
                <w:webHidden/>
              </w:rPr>
              <w:tab/>
            </w:r>
            <w:r w:rsidR="00805238">
              <w:rPr>
                <w:noProof/>
                <w:webHidden/>
              </w:rPr>
              <w:fldChar w:fldCharType="begin"/>
            </w:r>
            <w:r w:rsidR="00805238">
              <w:rPr>
                <w:noProof/>
                <w:webHidden/>
              </w:rPr>
              <w:instrText xml:space="preserve"> PAGEREF _Toc8915789 \h </w:instrText>
            </w:r>
            <w:r w:rsidR="00805238">
              <w:rPr>
                <w:noProof/>
                <w:webHidden/>
              </w:rPr>
            </w:r>
            <w:r w:rsidR="00805238">
              <w:rPr>
                <w:noProof/>
                <w:webHidden/>
              </w:rPr>
              <w:fldChar w:fldCharType="separate"/>
            </w:r>
            <w:r w:rsidR="00721B4F">
              <w:rPr>
                <w:noProof/>
                <w:webHidden/>
              </w:rPr>
              <w:t>7</w:t>
            </w:r>
            <w:r w:rsidR="00805238">
              <w:rPr>
                <w:noProof/>
                <w:webHidden/>
              </w:rPr>
              <w:fldChar w:fldCharType="end"/>
            </w:r>
          </w:hyperlink>
        </w:p>
        <w:p w14:paraId="72E467A5" w14:textId="49EC7C69"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90" w:history="1">
            <w:r w:rsidR="00805238" w:rsidRPr="006C6E1E">
              <w:rPr>
                <w:rStyle w:val="Hyperlink"/>
                <w:rFonts w:eastAsiaTheme="majorEastAsia"/>
                <w:noProof/>
              </w:rPr>
              <w:t>D.</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Program Assurances, General Assurances, and Certifications</w:t>
            </w:r>
            <w:r w:rsidR="00805238">
              <w:rPr>
                <w:noProof/>
                <w:webHidden/>
              </w:rPr>
              <w:tab/>
            </w:r>
            <w:r w:rsidR="00805238">
              <w:rPr>
                <w:noProof/>
                <w:webHidden/>
              </w:rPr>
              <w:fldChar w:fldCharType="begin"/>
            </w:r>
            <w:r w:rsidR="00805238">
              <w:rPr>
                <w:noProof/>
                <w:webHidden/>
              </w:rPr>
              <w:instrText xml:space="preserve"> PAGEREF _Toc8915790 \h </w:instrText>
            </w:r>
            <w:r w:rsidR="00805238">
              <w:rPr>
                <w:noProof/>
                <w:webHidden/>
              </w:rPr>
            </w:r>
            <w:r w:rsidR="00805238">
              <w:rPr>
                <w:noProof/>
                <w:webHidden/>
              </w:rPr>
              <w:fldChar w:fldCharType="separate"/>
            </w:r>
            <w:r w:rsidR="00721B4F">
              <w:rPr>
                <w:noProof/>
                <w:webHidden/>
              </w:rPr>
              <w:t>8</w:t>
            </w:r>
            <w:r w:rsidR="00805238">
              <w:rPr>
                <w:noProof/>
                <w:webHidden/>
              </w:rPr>
              <w:fldChar w:fldCharType="end"/>
            </w:r>
          </w:hyperlink>
        </w:p>
        <w:p w14:paraId="3F690DB1" w14:textId="106DA2E3"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91" w:history="1">
            <w:r w:rsidR="00805238" w:rsidRPr="006C6E1E">
              <w:rPr>
                <w:rStyle w:val="Hyperlink"/>
                <w:rFonts w:eastAsiaTheme="majorEastAsia"/>
                <w:noProof/>
              </w:rPr>
              <w:t>E.</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Tobacco-Use Prevention Education Program Assurances</w:t>
            </w:r>
            <w:r w:rsidR="00805238">
              <w:rPr>
                <w:noProof/>
                <w:webHidden/>
              </w:rPr>
              <w:tab/>
            </w:r>
            <w:r w:rsidR="00805238">
              <w:rPr>
                <w:noProof/>
                <w:webHidden/>
              </w:rPr>
              <w:fldChar w:fldCharType="begin"/>
            </w:r>
            <w:r w:rsidR="00805238">
              <w:rPr>
                <w:noProof/>
                <w:webHidden/>
              </w:rPr>
              <w:instrText xml:space="preserve"> PAGEREF _Toc8915791 \h </w:instrText>
            </w:r>
            <w:r w:rsidR="00805238">
              <w:rPr>
                <w:noProof/>
                <w:webHidden/>
              </w:rPr>
            </w:r>
            <w:r w:rsidR="00805238">
              <w:rPr>
                <w:noProof/>
                <w:webHidden/>
              </w:rPr>
              <w:fldChar w:fldCharType="separate"/>
            </w:r>
            <w:r w:rsidR="00721B4F">
              <w:rPr>
                <w:noProof/>
                <w:webHidden/>
              </w:rPr>
              <w:t>8</w:t>
            </w:r>
            <w:r w:rsidR="00805238">
              <w:rPr>
                <w:noProof/>
                <w:webHidden/>
              </w:rPr>
              <w:fldChar w:fldCharType="end"/>
            </w:r>
          </w:hyperlink>
        </w:p>
        <w:p w14:paraId="3C3F16BE" w14:textId="590E90AA"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92" w:history="1">
            <w:r w:rsidR="00805238" w:rsidRPr="006C6E1E">
              <w:rPr>
                <w:rStyle w:val="Hyperlink"/>
                <w:rFonts w:eastAsiaTheme="majorEastAsia"/>
                <w:noProof/>
              </w:rPr>
              <w:t>F.</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Required Signatures</w:t>
            </w:r>
            <w:r w:rsidR="00805238">
              <w:rPr>
                <w:noProof/>
                <w:webHidden/>
              </w:rPr>
              <w:tab/>
            </w:r>
            <w:r w:rsidR="00805238">
              <w:rPr>
                <w:noProof/>
                <w:webHidden/>
              </w:rPr>
              <w:fldChar w:fldCharType="begin"/>
            </w:r>
            <w:r w:rsidR="00805238">
              <w:rPr>
                <w:noProof/>
                <w:webHidden/>
              </w:rPr>
              <w:instrText xml:space="preserve"> PAGEREF _Toc8915792 \h </w:instrText>
            </w:r>
            <w:r w:rsidR="00805238">
              <w:rPr>
                <w:noProof/>
                <w:webHidden/>
              </w:rPr>
            </w:r>
            <w:r w:rsidR="00805238">
              <w:rPr>
                <w:noProof/>
                <w:webHidden/>
              </w:rPr>
              <w:fldChar w:fldCharType="separate"/>
            </w:r>
            <w:r w:rsidR="00721B4F">
              <w:rPr>
                <w:noProof/>
                <w:webHidden/>
              </w:rPr>
              <w:t>8</w:t>
            </w:r>
            <w:r w:rsidR="00805238">
              <w:rPr>
                <w:noProof/>
                <w:webHidden/>
              </w:rPr>
              <w:fldChar w:fldCharType="end"/>
            </w:r>
          </w:hyperlink>
        </w:p>
        <w:p w14:paraId="5B584FE3" w14:textId="1ED0BE6C" w:rsidR="00805238" w:rsidRDefault="00AF5DB9" w:rsidP="001752A4">
          <w:pPr>
            <w:pStyle w:val="TOC3"/>
            <w:rPr>
              <w:rFonts w:asciiTheme="minorHAnsi" w:eastAsiaTheme="minorEastAsia" w:hAnsiTheme="minorHAnsi" w:cstheme="minorBidi"/>
              <w:color w:val="auto"/>
              <w:sz w:val="22"/>
              <w:szCs w:val="22"/>
              <w:shd w:val="clear" w:color="auto" w:fill="auto"/>
            </w:rPr>
          </w:pPr>
          <w:hyperlink w:anchor="_Toc8915793" w:history="1">
            <w:r w:rsidR="00805238" w:rsidRPr="006C6E1E">
              <w:rPr>
                <w:rStyle w:val="Hyperlink"/>
              </w:rPr>
              <w:t>V.</w:t>
            </w:r>
            <w:r w:rsidR="00805238">
              <w:rPr>
                <w:rFonts w:asciiTheme="minorHAnsi" w:eastAsiaTheme="minorEastAsia" w:hAnsiTheme="minorHAnsi" w:cstheme="minorBidi"/>
                <w:color w:val="auto"/>
                <w:sz w:val="22"/>
                <w:szCs w:val="22"/>
                <w:shd w:val="clear" w:color="auto" w:fill="auto"/>
              </w:rPr>
              <w:tab/>
            </w:r>
            <w:r w:rsidR="00805238" w:rsidRPr="006C6E1E">
              <w:rPr>
                <w:rStyle w:val="Hyperlink"/>
              </w:rPr>
              <w:t>Application Process and Procedures</w:t>
            </w:r>
            <w:r w:rsidR="00805238">
              <w:rPr>
                <w:webHidden/>
              </w:rPr>
              <w:tab/>
            </w:r>
            <w:r w:rsidR="00805238">
              <w:rPr>
                <w:webHidden/>
              </w:rPr>
              <w:fldChar w:fldCharType="begin"/>
            </w:r>
            <w:r w:rsidR="00805238">
              <w:rPr>
                <w:webHidden/>
              </w:rPr>
              <w:instrText xml:space="preserve"> PAGEREF _Toc8915793 \h </w:instrText>
            </w:r>
            <w:r w:rsidR="00805238">
              <w:rPr>
                <w:webHidden/>
              </w:rPr>
            </w:r>
            <w:r w:rsidR="00805238">
              <w:rPr>
                <w:webHidden/>
              </w:rPr>
              <w:fldChar w:fldCharType="separate"/>
            </w:r>
            <w:r w:rsidR="00721B4F">
              <w:rPr>
                <w:webHidden/>
              </w:rPr>
              <w:t>9</w:t>
            </w:r>
            <w:r w:rsidR="00805238">
              <w:rPr>
                <w:webHidden/>
              </w:rPr>
              <w:fldChar w:fldCharType="end"/>
            </w:r>
          </w:hyperlink>
        </w:p>
        <w:p w14:paraId="65FDA1A3" w14:textId="492607F4"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94" w:history="1">
            <w:r w:rsidR="00805238" w:rsidRPr="006C6E1E">
              <w:rPr>
                <w:rStyle w:val="Hyperlink"/>
                <w:rFonts w:eastAsiaTheme="majorEastAsia"/>
                <w:noProof/>
              </w:rPr>
              <w:t>A.</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Application Review</w:t>
            </w:r>
            <w:r w:rsidR="00805238">
              <w:rPr>
                <w:noProof/>
                <w:webHidden/>
              </w:rPr>
              <w:tab/>
            </w:r>
            <w:r w:rsidR="00805238">
              <w:rPr>
                <w:noProof/>
                <w:webHidden/>
              </w:rPr>
              <w:fldChar w:fldCharType="begin"/>
            </w:r>
            <w:r w:rsidR="00805238">
              <w:rPr>
                <w:noProof/>
                <w:webHidden/>
              </w:rPr>
              <w:instrText xml:space="preserve"> PAGEREF _Toc8915794 \h </w:instrText>
            </w:r>
            <w:r w:rsidR="00805238">
              <w:rPr>
                <w:noProof/>
                <w:webHidden/>
              </w:rPr>
            </w:r>
            <w:r w:rsidR="00805238">
              <w:rPr>
                <w:noProof/>
                <w:webHidden/>
              </w:rPr>
              <w:fldChar w:fldCharType="separate"/>
            </w:r>
            <w:r w:rsidR="00721B4F">
              <w:rPr>
                <w:noProof/>
                <w:webHidden/>
              </w:rPr>
              <w:t>9</w:t>
            </w:r>
            <w:r w:rsidR="00805238">
              <w:rPr>
                <w:noProof/>
                <w:webHidden/>
              </w:rPr>
              <w:fldChar w:fldCharType="end"/>
            </w:r>
          </w:hyperlink>
        </w:p>
        <w:p w14:paraId="4E2ED2D0" w14:textId="530C09DC"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95" w:history="1">
            <w:r w:rsidR="00805238" w:rsidRPr="006C6E1E">
              <w:rPr>
                <w:rStyle w:val="Hyperlink"/>
                <w:rFonts w:eastAsiaTheme="majorEastAsia"/>
                <w:noProof/>
              </w:rPr>
              <w:t>B.</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Guidance Webinar</w:t>
            </w:r>
            <w:r w:rsidR="00805238">
              <w:rPr>
                <w:noProof/>
                <w:webHidden/>
              </w:rPr>
              <w:tab/>
            </w:r>
            <w:r w:rsidR="00805238">
              <w:rPr>
                <w:noProof/>
                <w:webHidden/>
              </w:rPr>
              <w:fldChar w:fldCharType="begin"/>
            </w:r>
            <w:r w:rsidR="00805238">
              <w:rPr>
                <w:noProof/>
                <w:webHidden/>
              </w:rPr>
              <w:instrText xml:space="preserve"> PAGEREF _Toc8915795 \h </w:instrText>
            </w:r>
            <w:r w:rsidR="00805238">
              <w:rPr>
                <w:noProof/>
                <w:webHidden/>
              </w:rPr>
            </w:r>
            <w:r w:rsidR="00805238">
              <w:rPr>
                <w:noProof/>
                <w:webHidden/>
              </w:rPr>
              <w:fldChar w:fldCharType="separate"/>
            </w:r>
            <w:r w:rsidR="00721B4F">
              <w:rPr>
                <w:noProof/>
                <w:webHidden/>
              </w:rPr>
              <w:t>9</w:t>
            </w:r>
            <w:r w:rsidR="00805238">
              <w:rPr>
                <w:noProof/>
                <w:webHidden/>
              </w:rPr>
              <w:fldChar w:fldCharType="end"/>
            </w:r>
          </w:hyperlink>
        </w:p>
        <w:p w14:paraId="755A6547" w14:textId="0FE31E2F"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96" w:history="1">
            <w:r w:rsidR="00805238" w:rsidRPr="006C6E1E">
              <w:rPr>
                <w:rStyle w:val="Hyperlink"/>
                <w:rFonts w:eastAsiaTheme="majorEastAsia"/>
                <w:noProof/>
              </w:rPr>
              <w:t>C.</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Help Desk</w:t>
            </w:r>
            <w:r w:rsidR="00805238">
              <w:rPr>
                <w:noProof/>
                <w:webHidden/>
              </w:rPr>
              <w:tab/>
            </w:r>
            <w:r w:rsidR="00805238">
              <w:rPr>
                <w:noProof/>
                <w:webHidden/>
              </w:rPr>
              <w:fldChar w:fldCharType="begin"/>
            </w:r>
            <w:r w:rsidR="00805238">
              <w:rPr>
                <w:noProof/>
                <w:webHidden/>
              </w:rPr>
              <w:instrText xml:space="preserve"> PAGEREF _Toc8915796 \h </w:instrText>
            </w:r>
            <w:r w:rsidR="00805238">
              <w:rPr>
                <w:noProof/>
                <w:webHidden/>
              </w:rPr>
            </w:r>
            <w:r w:rsidR="00805238">
              <w:rPr>
                <w:noProof/>
                <w:webHidden/>
              </w:rPr>
              <w:fldChar w:fldCharType="separate"/>
            </w:r>
            <w:r w:rsidR="00721B4F">
              <w:rPr>
                <w:noProof/>
                <w:webHidden/>
              </w:rPr>
              <w:t>10</w:t>
            </w:r>
            <w:r w:rsidR="00805238">
              <w:rPr>
                <w:noProof/>
                <w:webHidden/>
              </w:rPr>
              <w:fldChar w:fldCharType="end"/>
            </w:r>
          </w:hyperlink>
        </w:p>
        <w:p w14:paraId="27EC4E54" w14:textId="17099BB6"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97" w:history="1">
            <w:r w:rsidR="00805238" w:rsidRPr="006C6E1E">
              <w:rPr>
                <w:rStyle w:val="Hyperlink"/>
                <w:rFonts w:eastAsiaTheme="majorEastAsia"/>
                <w:noProof/>
              </w:rPr>
              <w:t>D.</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Appeals Process</w:t>
            </w:r>
            <w:r w:rsidR="00805238">
              <w:rPr>
                <w:noProof/>
                <w:webHidden/>
              </w:rPr>
              <w:tab/>
            </w:r>
            <w:r w:rsidR="00805238">
              <w:rPr>
                <w:noProof/>
                <w:webHidden/>
              </w:rPr>
              <w:fldChar w:fldCharType="begin"/>
            </w:r>
            <w:r w:rsidR="00805238">
              <w:rPr>
                <w:noProof/>
                <w:webHidden/>
              </w:rPr>
              <w:instrText xml:space="preserve"> PAGEREF _Toc8915797 \h </w:instrText>
            </w:r>
            <w:r w:rsidR="00805238">
              <w:rPr>
                <w:noProof/>
                <w:webHidden/>
              </w:rPr>
            </w:r>
            <w:r w:rsidR="00805238">
              <w:rPr>
                <w:noProof/>
                <w:webHidden/>
              </w:rPr>
              <w:fldChar w:fldCharType="separate"/>
            </w:r>
            <w:r w:rsidR="00721B4F">
              <w:rPr>
                <w:noProof/>
                <w:webHidden/>
              </w:rPr>
              <w:t>10</w:t>
            </w:r>
            <w:r w:rsidR="00805238">
              <w:rPr>
                <w:noProof/>
                <w:webHidden/>
              </w:rPr>
              <w:fldChar w:fldCharType="end"/>
            </w:r>
          </w:hyperlink>
        </w:p>
        <w:p w14:paraId="2F85B7F8" w14:textId="66A75627"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798" w:history="1">
            <w:r w:rsidR="00805238" w:rsidRPr="006C6E1E">
              <w:rPr>
                <w:rStyle w:val="Hyperlink"/>
                <w:rFonts w:eastAsiaTheme="majorEastAsia"/>
                <w:noProof/>
              </w:rPr>
              <w:t>E.</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Grant Award Notification</w:t>
            </w:r>
            <w:r w:rsidR="00805238">
              <w:rPr>
                <w:noProof/>
                <w:webHidden/>
              </w:rPr>
              <w:tab/>
            </w:r>
            <w:r w:rsidR="00805238">
              <w:rPr>
                <w:noProof/>
                <w:webHidden/>
              </w:rPr>
              <w:fldChar w:fldCharType="begin"/>
            </w:r>
            <w:r w:rsidR="00805238">
              <w:rPr>
                <w:noProof/>
                <w:webHidden/>
              </w:rPr>
              <w:instrText xml:space="preserve"> PAGEREF _Toc8915798 \h </w:instrText>
            </w:r>
            <w:r w:rsidR="00805238">
              <w:rPr>
                <w:noProof/>
                <w:webHidden/>
              </w:rPr>
            </w:r>
            <w:r w:rsidR="00805238">
              <w:rPr>
                <w:noProof/>
                <w:webHidden/>
              </w:rPr>
              <w:fldChar w:fldCharType="separate"/>
            </w:r>
            <w:r w:rsidR="00721B4F">
              <w:rPr>
                <w:noProof/>
                <w:webHidden/>
              </w:rPr>
              <w:t>11</w:t>
            </w:r>
            <w:r w:rsidR="00805238">
              <w:rPr>
                <w:noProof/>
                <w:webHidden/>
              </w:rPr>
              <w:fldChar w:fldCharType="end"/>
            </w:r>
          </w:hyperlink>
        </w:p>
        <w:p w14:paraId="37EF7B90" w14:textId="3CA1097C" w:rsidR="00805238" w:rsidRDefault="00AF5DB9" w:rsidP="001752A4">
          <w:pPr>
            <w:pStyle w:val="TOC3"/>
            <w:rPr>
              <w:rFonts w:asciiTheme="minorHAnsi" w:eastAsiaTheme="minorEastAsia" w:hAnsiTheme="minorHAnsi" w:cstheme="minorBidi"/>
              <w:color w:val="auto"/>
              <w:sz w:val="22"/>
              <w:szCs w:val="22"/>
              <w:shd w:val="clear" w:color="auto" w:fill="auto"/>
            </w:rPr>
          </w:pPr>
          <w:hyperlink w:anchor="_Toc8915799" w:history="1">
            <w:r w:rsidR="00805238" w:rsidRPr="006C6E1E">
              <w:rPr>
                <w:rStyle w:val="Hyperlink"/>
                <w:rFonts w:eastAsiaTheme="minorHAnsi"/>
              </w:rPr>
              <w:t>VI.</w:t>
            </w:r>
            <w:r w:rsidR="00805238">
              <w:rPr>
                <w:rFonts w:asciiTheme="minorHAnsi" w:eastAsiaTheme="minorEastAsia" w:hAnsiTheme="minorHAnsi" w:cstheme="minorBidi"/>
                <w:color w:val="auto"/>
                <w:sz w:val="22"/>
                <w:szCs w:val="22"/>
                <w:shd w:val="clear" w:color="auto" w:fill="auto"/>
              </w:rPr>
              <w:tab/>
            </w:r>
            <w:r w:rsidR="00805238" w:rsidRPr="006C6E1E">
              <w:rPr>
                <w:rStyle w:val="Hyperlink"/>
                <w:rFonts w:eastAsiaTheme="minorHAnsi"/>
              </w:rPr>
              <w:t>Fiscal Terms and Conditions</w:t>
            </w:r>
            <w:r w:rsidR="00805238">
              <w:rPr>
                <w:webHidden/>
              </w:rPr>
              <w:tab/>
            </w:r>
            <w:r w:rsidR="00805238">
              <w:rPr>
                <w:webHidden/>
              </w:rPr>
              <w:fldChar w:fldCharType="begin"/>
            </w:r>
            <w:r w:rsidR="00805238">
              <w:rPr>
                <w:webHidden/>
              </w:rPr>
              <w:instrText xml:space="preserve"> PAGEREF _Toc8915799 \h </w:instrText>
            </w:r>
            <w:r w:rsidR="00805238">
              <w:rPr>
                <w:webHidden/>
              </w:rPr>
            </w:r>
            <w:r w:rsidR="00805238">
              <w:rPr>
                <w:webHidden/>
              </w:rPr>
              <w:fldChar w:fldCharType="separate"/>
            </w:r>
            <w:r w:rsidR="00721B4F">
              <w:rPr>
                <w:webHidden/>
              </w:rPr>
              <w:t>11</w:t>
            </w:r>
            <w:r w:rsidR="00805238">
              <w:rPr>
                <w:webHidden/>
              </w:rPr>
              <w:fldChar w:fldCharType="end"/>
            </w:r>
          </w:hyperlink>
        </w:p>
        <w:p w14:paraId="79640E50" w14:textId="08F5A26E"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800" w:history="1">
            <w:r w:rsidR="00805238" w:rsidRPr="006C6E1E">
              <w:rPr>
                <w:rStyle w:val="Hyperlink"/>
                <w:rFonts w:eastAsiaTheme="majorEastAsia"/>
                <w:bCs/>
                <w:noProof/>
              </w:rPr>
              <w:t>A.</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Payment Process</w:t>
            </w:r>
            <w:r w:rsidR="00805238">
              <w:rPr>
                <w:noProof/>
                <w:webHidden/>
              </w:rPr>
              <w:tab/>
            </w:r>
            <w:r w:rsidR="00805238">
              <w:rPr>
                <w:noProof/>
                <w:webHidden/>
              </w:rPr>
              <w:fldChar w:fldCharType="begin"/>
            </w:r>
            <w:r w:rsidR="00805238">
              <w:rPr>
                <w:noProof/>
                <w:webHidden/>
              </w:rPr>
              <w:instrText xml:space="preserve"> PAGEREF _Toc8915800 \h </w:instrText>
            </w:r>
            <w:r w:rsidR="00805238">
              <w:rPr>
                <w:noProof/>
                <w:webHidden/>
              </w:rPr>
            </w:r>
            <w:r w:rsidR="00805238">
              <w:rPr>
                <w:noProof/>
                <w:webHidden/>
              </w:rPr>
              <w:fldChar w:fldCharType="separate"/>
            </w:r>
            <w:r w:rsidR="00721B4F">
              <w:rPr>
                <w:noProof/>
                <w:webHidden/>
              </w:rPr>
              <w:t>12</w:t>
            </w:r>
            <w:r w:rsidR="00805238">
              <w:rPr>
                <w:noProof/>
                <w:webHidden/>
              </w:rPr>
              <w:fldChar w:fldCharType="end"/>
            </w:r>
          </w:hyperlink>
        </w:p>
        <w:p w14:paraId="0E860C73" w14:textId="52651B45"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801" w:history="1">
            <w:r w:rsidR="00805238" w:rsidRPr="006C6E1E">
              <w:rPr>
                <w:rStyle w:val="Hyperlink"/>
                <w:rFonts w:eastAsiaTheme="majorEastAsia"/>
                <w:noProof/>
              </w:rPr>
              <w:t>B.</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Personnel Requirements</w:t>
            </w:r>
            <w:r w:rsidR="00805238">
              <w:rPr>
                <w:noProof/>
                <w:webHidden/>
              </w:rPr>
              <w:tab/>
            </w:r>
            <w:r w:rsidR="00805238">
              <w:rPr>
                <w:noProof/>
                <w:webHidden/>
              </w:rPr>
              <w:fldChar w:fldCharType="begin"/>
            </w:r>
            <w:r w:rsidR="00805238">
              <w:rPr>
                <w:noProof/>
                <w:webHidden/>
              </w:rPr>
              <w:instrText xml:space="preserve"> PAGEREF _Toc8915801 \h </w:instrText>
            </w:r>
            <w:r w:rsidR="00805238">
              <w:rPr>
                <w:noProof/>
                <w:webHidden/>
              </w:rPr>
            </w:r>
            <w:r w:rsidR="00805238">
              <w:rPr>
                <w:noProof/>
                <w:webHidden/>
              </w:rPr>
              <w:fldChar w:fldCharType="separate"/>
            </w:r>
            <w:r w:rsidR="00721B4F">
              <w:rPr>
                <w:noProof/>
                <w:webHidden/>
              </w:rPr>
              <w:t>12</w:t>
            </w:r>
            <w:r w:rsidR="00805238">
              <w:rPr>
                <w:noProof/>
                <w:webHidden/>
              </w:rPr>
              <w:fldChar w:fldCharType="end"/>
            </w:r>
          </w:hyperlink>
        </w:p>
        <w:p w14:paraId="47985525" w14:textId="0BD40095"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802" w:history="1">
            <w:r w:rsidR="00805238" w:rsidRPr="006C6E1E">
              <w:rPr>
                <w:rStyle w:val="Hyperlink"/>
                <w:rFonts w:eastAsiaTheme="majorEastAsia"/>
                <w:noProof/>
              </w:rPr>
              <w:t>C.</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Allowable Costs</w:t>
            </w:r>
            <w:r w:rsidR="00805238">
              <w:rPr>
                <w:noProof/>
                <w:webHidden/>
              </w:rPr>
              <w:tab/>
            </w:r>
            <w:r w:rsidR="00805238">
              <w:rPr>
                <w:noProof/>
                <w:webHidden/>
              </w:rPr>
              <w:fldChar w:fldCharType="begin"/>
            </w:r>
            <w:r w:rsidR="00805238">
              <w:rPr>
                <w:noProof/>
                <w:webHidden/>
              </w:rPr>
              <w:instrText xml:space="preserve"> PAGEREF _Toc8915802 \h </w:instrText>
            </w:r>
            <w:r w:rsidR="00805238">
              <w:rPr>
                <w:noProof/>
                <w:webHidden/>
              </w:rPr>
            </w:r>
            <w:r w:rsidR="00805238">
              <w:rPr>
                <w:noProof/>
                <w:webHidden/>
              </w:rPr>
              <w:fldChar w:fldCharType="separate"/>
            </w:r>
            <w:r w:rsidR="00721B4F">
              <w:rPr>
                <w:noProof/>
                <w:webHidden/>
              </w:rPr>
              <w:t>13</w:t>
            </w:r>
            <w:r w:rsidR="00805238">
              <w:rPr>
                <w:noProof/>
                <w:webHidden/>
              </w:rPr>
              <w:fldChar w:fldCharType="end"/>
            </w:r>
          </w:hyperlink>
        </w:p>
        <w:p w14:paraId="3A073D37" w14:textId="5F2717CA"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803" w:history="1">
            <w:r w:rsidR="00805238" w:rsidRPr="006C6E1E">
              <w:rPr>
                <w:rStyle w:val="Hyperlink"/>
                <w:rFonts w:eastAsiaTheme="majorEastAsia"/>
                <w:noProof/>
              </w:rPr>
              <w:t>D.</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Nonallowable Costs</w:t>
            </w:r>
            <w:r w:rsidR="00805238">
              <w:rPr>
                <w:noProof/>
                <w:webHidden/>
              </w:rPr>
              <w:tab/>
            </w:r>
            <w:r w:rsidR="00805238">
              <w:rPr>
                <w:noProof/>
                <w:webHidden/>
              </w:rPr>
              <w:fldChar w:fldCharType="begin"/>
            </w:r>
            <w:r w:rsidR="00805238">
              <w:rPr>
                <w:noProof/>
                <w:webHidden/>
              </w:rPr>
              <w:instrText xml:space="preserve"> PAGEREF _Toc8915803 \h </w:instrText>
            </w:r>
            <w:r w:rsidR="00805238">
              <w:rPr>
                <w:noProof/>
                <w:webHidden/>
              </w:rPr>
            </w:r>
            <w:r w:rsidR="00805238">
              <w:rPr>
                <w:noProof/>
                <w:webHidden/>
              </w:rPr>
              <w:fldChar w:fldCharType="separate"/>
            </w:r>
            <w:r w:rsidR="00721B4F">
              <w:rPr>
                <w:noProof/>
                <w:webHidden/>
              </w:rPr>
              <w:t>14</w:t>
            </w:r>
            <w:r w:rsidR="00805238">
              <w:rPr>
                <w:noProof/>
                <w:webHidden/>
              </w:rPr>
              <w:fldChar w:fldCharType="end"/>
            </w:r>
          </w:hyperlink>
        </w:p>
        <w:p w14:paraId="42C4397A" w14:textId="79C87B0B"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804" w:history="1">
            <w:r w:rsidR="00805238" w:rsidRPr="006C6E1E">
              <w:rPr>
                <w:rStyle w:val="Hyperlink"/>
                <w:rFonts w:eastAsiaTheme="majorEastAsia"/>
                <w:noProof/>
              </w:rPr>
              <w:t>E.</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Budget Revisions</w:t>
            </w:r>
            <w:r w:rsidR="00805238">
              <w:rPr>
                <w:noProof/>
                <w:webHidden/>
              </w:rPr>
              <w:tab/>
            </w:r>
            <w:r w:rsidR="00805238">
              <w:rPr>
                <w:noProof/>
                <w:webHidden/>
              </w:rPr>
              <w:fldChar w:fldCharType="begin"/>
            </w:r>
            <w:r w:rsidR="00805238">
              <w:rPr>
                <w:noProof/>
                <w:webHidden/>
              </w:rPr>
              <w:instrText xml:space="preserve"> PAGEREF _Toc8915804 \h </w:instrText>
            </w:r>
            <w:r w:rsidR="00805238">
              <w:rPr>
                <w:noProof/>
                <w:webHidden/>
              </w:rPr>
            </w:r>
            <w:r w:rsidR="00805238">
              <w:rPr>
                <w:noProof/>
                <w:webHidden/>
              </w:rPr>
              <w:fldChar w:fldCharType="separate"/>
            </w:r>
            <w:r w:rsidR="00721B4F">
              <w:rPr>
                <w:noProof/>
                <w:webHidden/>
              </w:rPr>
              <w:t>15</w:t>
            </w:r>
            <w:r w:rsidR="00805238">
              <w:rPr>
                <w:noProof/>
                <w:webHidden/>
              </w:rPr>
              <w:fldChar w:fldCharType="end"/>
            </w:r>
          </w:hyperlink>
        </w:p>
        <w:p w14:paraId="7CDDD6A2" w14:textId="1B254CF5"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805" w:history="1">
            <w:r w:rsidR="00805238" w:rsidRPr="006C6E1E">
              <w:rPr>
                <w:rStyle w:val="Hyperlink"/>
                <w:rFonts w:eastAsiaTheme="majorEastAsia"/>
                <w:noProof/>
              </w:rPr>
              <w:t>F.</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Match Requirement</w:t>
            </w:r>
            <w:r w:rsidR="00805238">
              <w:rPr>
                <w:noProof/>
                <w:webHidden/>
              </w:rPr>
              <w:tab/>
            </w:r>
            <w:r w:rsidR="00805238">
              <w:rPr>
                <w:noProof/>
                <w:webHidden/>
              </w:rPr>
              <w:fldChar w:fldCharType="begin"/>
            </w:r>
            <w:r w:rsidR="00805238">
              <w:rPr>
                <w:noProof/>
                <w:webHidden/>
              </w:rPr>
              <w:instrText xml:space="preserve"> PAGEREF _Toc8915805 \h </w:instrText>
            </w:r>
            <w:r w:rsidR="00805238">
              <w:rPr>
                <w:noProof/>
                <w:webHidden/>
              </w:rPr>
            </w:r>
            <w:r w:rsidR="00805238">
              <w:rPr>
                <w:noProof/>
                <w:webHidden/>
              </w:rPr>
              <w:fldChar w:fldCharType="separate"/>
            </w:r>
            <w:r w:rsidR="00721B4F">
              <w:rPr>
                <w:noProof/>
                <w:webHidden/>
              </w:rPr>
              <w:t>15</w:t>
            </w:r>
            <w:r w:rsidR="00805238">
              <w:rPr>
                <w:noProof/>
                <w:webHidden/>
              </w:rPr>
              <w:fldChar w:fldCharType="end"/>
            </w:r>
          </w:hyperlink>
        </w:p>
        <w:p w14:paraId="657FF278" w14:textId="01062581"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806" w:history="1">
            <w:r w:rsidR="00805238" w:rsidRPr="006C6E1E">
              <w:rPr>
                <w:rStyle w:val="Hyperlink"/>
                <w:rFonts w:eastAsiaTheme="majorEastAsia"/>
                <w:noProof/>
              </w:rPr>
              <w:t>G.</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Record Retention</w:t>
            </w:r>
            <w:r w:rsidR="00805238">
              <w:rPr>
                <w:noProof/>
                <w:webHidden/>
              </w:rPr>
              <w:tab/>
            </w:r>
            <w:r w:rsidR="00805238">
              <w:rPr>
                <w:noProof/>
                <w:webHidden/>
              </w:rPr>
              <w:fldChar w:fldCharType="begin"/>
            </w:r>
            <w:r w:rsidR="00805238">
              <w:rPr>
                <w:noProof/>
                <w:webHidden/>
              </w:rPr>
              <w:instrText xml:space="preserve"> PAGEREF _Toc8915806 \h </w:instrText>
            </w:r>
            <w:r w:rsidR="00805238">
              <w:rPr>
                <w:noProof/>
                <w:webHidden/>
              </w:rPr>
            </w:r>
            <w:r w:rsidR="00805238">
              <w:rPr>
                <w:noProof/>
                <w:webHidden/>
              </w:rPr>
              <w:fldChar w:fldCharType="separate"/>
            </w:r>
            <w:r w:rsidR="00721B4F">
              <w:rPr>
                <w:noProof/>
                <w:webHidden/>
              </w:rPr>
              <w:t>15</w:t>
            </w:r>
            <w:r w:rsidR="00805238">
              <w:rPr>
                <w:noProof/>
                <w:webHidden/>
              </w:rPr>
              <w:fldChar w:fldCharType="end"/>
            </w:r>
          </w:hyperlink>
        </w:p>
        <w:p w14:paraId="7885DBE7" w14:textId="63D978D0"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807" w:history="1">
            <w:r w:rsidR="00805238" w:rsidRPr="006C6E1E">
              <w:rPr>
                <w:rStyle w:val="Hyperlink"/>
                <w:rFonts w:eastAsiaTheme="majorEastAsia"/>
                <w:noProof/>
              </w:rPr>
              <w:t>H.</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Final Expenditure Report</w:t>
            </w:r>
            <w:r w:rsidR="00805238">
              <w:rPr>
                <w:noProof/>
                <w:webHidden/>
              </w:rPr>
              <w:tab/>
            </w:r>
            <w:r w:rsidR="00805238">
              <w:rPr>
                <w:noProof/>
                <w:webHidden/>
              </w:rPr>
              <w:fldChar w:fldCharType="begin"/>
            </w:r>
            <w:r w:rsidR="00805238">
              <w:rPr>
                <w:noProof/>
                <w:webHidden/>
              </w:rPr>
              <w:instrText xml:space="preserve"> PAGEREF _Toc8915807 \h </w:instrText>
            </w:r>
            <w:r w:rsidR="00805238">
              <w:rPr>
                <w:noProof/>
                <w:webHidden/>
              </w:rPr>
            </w:r>
            <w:r w:rsidR="00805238">
              <w:rPr>
                <w:noProof/>
                <w:webHidden/>
              </w:rPr>
              <w:fldChar w:fldCharType="separate"/>
            </w:r>
            <w:r w:rsidR="00721B4F">
              <w:rPr>
                <w:noProof/>
                <w:webHidden/>
              </w:rPr>
              <w:t>16</w:t>
            </w:r>
            <w:r w:rsidR="00805238">
              <w:rPr>
                <w:noProof/>
                <w:webHidden/>
              </w:rPr>
              <w:fldChar w:fldCharType="end"/>
            </w:r>
          </w:hyperlink>
        </w:p>
        <w:p w14:paraId="425225DA" w14:textId="28FCB12F" w:rsidR="00805238" w:rsidRDefault="00AF5DB9" w:rsidP="001752A4">
          <w:pPr>
            <w:pStyle w:val="TOC3"/>
            <w:rPr>
              <w:rFonts w:asciiTheme="minorHAnsi" w:eastAsiaTheme="minorEastAsia" w:hAnsiTheme="minorHAnsi" w:cstheme="minorBidi"/>
              <w:color w:val="auto"/>
              <w:sz w:val="22"/>
              <w:szCs w:val="22"/>
              <w:shd w:val="clear" w:color="auto" w:fill="auto"/>
            </w:rPr>
          </w:pPr>
          <w:hyperlink w:anchor="_Toc8915808" w:history="1">
            <w:r w:rsidR="00805238" w:rsidRPr="006C6E1E">
              <w:rPr>
                <w:rStyle w:val="Hyperlink"/>
                <w:rFonts w:eastAsiaTheme="minorHAnsi"/>
              </w:rPr>
              <w:t>VII.</w:t>
            </w:r>
            <w:r w:rsidR="00805238">
              <w:rPr>
                <w:rFonts w:asciiTheme="minorHAnsi" w:eastAsiaTheme="minorEastAsia" w:hAnsiTheme="minorHAnsi" w:cstheme="minorBidi"/>
                <w:color w:val="auto"/>
                <w:sz w:val="22"/>
                <w:szCs w:val="22"/>
                <w:shd w:val="clear" w:color="auto" w:fill="auto"/>
              </w:rPr>
              <w:tab/>
            </w:r>
            <w:r w:rsidR="00805238" w:rsidRPr="006C6E1E">
              <w:rPr>
                <w:rStyle w:val="Hyperlink"/>
                <w:rFonts w:eastAsiaTheme="minorHAnsi"/>
              </w:rPr>
              <w:t>Application Submission Elements</w:t>
            </w:r>
            <w:r w:rsidR="00805238">
              <w:rPr>
                <w:webHidden/>
              </w:rPr>
              <w:tab/>
            </w:r>
            <w:r w:rsidR="00805238">
              <w:rPr>
                <w:webHidden/>
              </w:rPr>
              <w:fldChar w:fldCharType="begin"/>
            </w:r>
            <w:r w:rsidR="00805238">
              <w:rPr>
                <w:webHidden/>
              </w:rPr>
              <w:instrText xml:space="preserve"> PAGEREF _Toc8915808 \h </w:instrText>
            </w:r>
            <w:r w:rsidR="00805238">
              <w:rPr>
                <w:webHidden/>
              </w:rPr>
            </w:r>
            <w:r w:rsidR="00805238">
              <w:rPr>
                <w:webHidden/>
              </w:rPr>
              <w:fldChar w:fldCharType="separate"/>
            </w:r>
            <w:r w:rsidR="00721B4F">
              <w:rPr>
                <w:webHidden/>
              </w:rPr>
              <w:t>16</w:t>
            </w:r>
            <w:r w:rsidR="00805238">
              <w:rPr>
                <w:webHidden/>
              </w:rPr>
              <w:fldChar w:fldCharType="end"/>
            </w:r>
          </w:hyperlink>
        </w:p>
        <w:p w14:paraId="6482FCA0" w14:textId="0126336A"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809" w:history="1">
            <w:r w:rsidR="00805238" w:rsidRPr="006C6E1E">
              <w:rPr>
                <w:rStyle w:val="Hyperlink"/>
                <w:rFonts w:eastAsiaTheme="majorEastAsia"/>
                <w:noProof/>
              </w:rPr>
              <w:t>A.</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Intent to Submit an Application</w:t>
            </w:r>
            <w:r w:rsidR="00805238">
              <w:rPr>
                <w:noProof/>
                <w:webHidden/>
              </w:rPr>
              <w:tab/>
            </w:r>
            <w:r w:rsidR="00805238">
              <w:rPr>
                <w:noProof/>
                <w:webHidden/>
              </w:rPr>
              <w:fldChar w:fldCharType="begin"/>
            </w:r>
            <w:r w:rsidR="00805238">
              <w:rPr>
                <w:noProof/>
                <w:webHidden/>
              </w:rPr>
              <w:instrText xml:space="preserve"> PAGEREF _Toc8915809 \h </w:instrText>
            </w:r>
            <w:r w:rsidR="00805238">
              <w:rPr>
                <w:noProof/>
                <w:webHidden/>
              </w:rPr>
            </w:r>
            <w:r w:rsidR="00805238">
              <w:rPr>
                <w:noProof/>
                <w:webHidden/>
              </w:rPr>
              <w:fldChar w:fldCharType="separate"/>
            </w:r>
            <w:r w:rsidR="00721B4F">
              <w:rPr>
                <w:noProof/>
                <w:webHidden/>
              </w:rPr>
              <w:t>16</w:t>
            </w:r>
            <w:r w:rsidR="00805238">
              <w:rPr>
                <w:noProof/>
                <w:webHidden/>
              </w:rPr>
              <w:fldChar w:fldCharType="end"/>
            </w:r>
          </w:hyperlink>
        </w:p>
        <w:p w14:paraId="10227D90" w14:textId="318F2D18"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810" w:history="1">
            <w:r w:rsidR="00805238" w:rsidRPr="006C6E1E">
              <w:rPr>
                <w:rStyle w:val="Hyperlink"/>
                <w:rFonts w:eastAsiaTheme="majorEastAsia"/>
                <w:noProof/>
              </w:rPr>
              <w:t>B.</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Application Technical Requirements and Disqualifications</w:t>
            </w:r>
            <w:r w:rsidR="00805238">
              <w:rPr>
                <w:noProof/>
                <w:webHidden/>
              </w:rPr>
              <w:tab/>
            </w:r>
            <w:r w:rsidR="00805238">
              <w:rPr>
                <w:noProof/>
                <w:webHidden/>
              </w:rPr>
              <w:fldChar w:fldCharType="begin"/>
            </w:r>
            <w:r w:rsidR="00805238">
              <w:rPr>
                <w:noProof/>
                <w:webHidden/>
              </w:rPr>
              <w:instrText xml:space="preserve"> PAGEREF _Toc8915810 \h </w:instrText>
            </w:r>
            <w:r w:rsidR="00805238">
              <w:rPr>
                <w:noProof/>
                <w:webHidden/>
              </w:rPr>
            </w:r>
            <w:r w:rsidR="00805238">
              <w:rPr>
                <w:noProof/>
                <w:webHidden/>
              </w:rPr>
              <w:fldChar w:fldCharType="separate"/>
            </w:r>
            <w:r w:rsidR="00721B4F">
              <w:rPr>
                <w:noProof/>
                <w:webHidden/>
              </w:rPr>
              <w:t>16</w:t>
            </w:r>
            <w:r w:rsidR="00805238">
              <w:rPr>
                <w:noProof/>
                <w:webHidden/>
              </w:rPr>
              <w:fldChar w:fldCharType="end"/>
            </w:r>
          </w:hyperlink>
        </w:p>
        <w:p w14:paraId="1637C552" w14:textId="5CC1C56A"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811" w:history="1">
            <w:r w:rsidR="00805238" w:rsidRPr="006C6E1E">
              <w:rPr>
                <w:rStyle w:val="Hyperlink"/>
                <w:rFonts w:eastAsiaTheme="majorEastAsia"/>
                <w:noProof/>
              </w:rPr>
              <w:t>C.</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Project Budget</w:t>
            </w:r>
            <w:r w:rsidR="00805238">
              <w:rPr>
                <w:noProof/>
                <w:webHidden/>
              </w:rPr>
              <w:tab/>
            </w:r>
            <w:r w:rsidR="00805238">
              <w:rPr>
                <w:noProof/>
                <w:webHidden/>
              </w:rPr>
              <w:fldChar w:fldCharType="begin"/>
            </w:r>
            <w:r w:rsidR="00805238">
              <w:rPr>
                <w:noProof/>
                <w:webHidden/>
              </w:rPr>
              <w:instrText xml:space="preserve"> PAGEREF _Toc8915811 \h </w:instrText>
            </w:r>
            <w:r w:rsidR="00805238">
              <w:rPr>
                <w:noProof/>
                <w:webHidden/>
              </w:rPr>
            </w:r>
            <w:r w:rsidR="00805238">
              <w:rPr>
                <w:noProof/>
                <w:webHidden/>
              </w:rPr>
              <w:fldChar w:fldCharType="separate"/>
            </w:r>
            <w:r w:rsidR="00721B4F">
              <w:rPr>
                <w:noProof/>
                <w:webHidden/>
              </w:rPr>
              <w:t>17</w:t>
            </w:r>
            <w:r w:rsidR="00805238">
              <w:rPr>
                <w:noProof/>
                <w:webHidden/>
              </w:rPr>
              <w:fldChar w:fldCharType="end"/>
            </w:r>
          </w:hyperlink>
        </w:p>
        <w:p w14:paraId="7499A39E" w14:textId="10BF54BB" w:rsidR="00805238" w:rsidRDefault="00AF5DB9" w:rsidP="001752A4">
          <w:pPr>
            <w:pStyle w:val="TOC3"/>
            <w:rPr>
              <w:rFonts w:asciiTheme="minorHAnsi" w:eastAsiaTheme="minorEastAsia" w:hAnsiTheme="minorHAnsi" w:cstheme="minorBidi"/>
              <w:color w:val="auto"/>
              <w:sz w:val="22"/>
              <w:szCs w:val="22"/>
              <w:shd w:val="clear" w:color="auto" w:fill="auto"/>
            </w:rPr>
          </w:pPr>
          <w:hyperlink w:anchor="_Toc8915812" w:history="1">
            <w:r w:rsidR="00805238" w:rsidRPr="006C6E1E">
              <w:rPr>
                <w:rStyle w:val="Hyperlink"/>
              </w:rPr>
              <w:t>VIII.</w:t>
            </w:r>
            <w:r w:rsidR="006322A8">
              <w:rPr>
                <w:rFonts w:asciiTheme="minorHAnsi" w:eastAsiaTheme="minorEastAsia" w:hAnsiTheme="minorHAnsi" w:cstheme="minorBidi"/>
                <w:color w:val="auto"/>
                <w:sz w:val="22"/>
                <w:szCs w:val="22"/>
                <w:shd w:val="clear" w:color="auto" w:fill="auto"/>
              </w:rPr>
              <w:t xml:space="preserve"> </w:t>
            </w:r>
            <w:r w:rsidR="00805238" w:rsidRPr="006C6E1E">
              <w:rPr>
                <w:rStyle w:val="Hyperlink"/>
              </w:rPr>
              <w:t>Program Application</w:t>
            </w:r>
            <w:r w:rsidR="00805238">
              <w:rPr>
                <w:webHidden/>
              </w:rPr>
              <w:tab/>
            </w:r>
            <w:r w:rsidR="00805238">
              <w:rPr>
                <w:webHidden/>
              </w:rPr>
              <w:fldChar w:fldCharType="begin"/>
            </w:r>
            <w:r w:rsidR="00805238">
              <w:rPr>
                <w:webHidden/>
              </w:rPr>
              <w:instrText xml:space="preserve"> PAGEREF _Toc8915812 \h </w:instrText>
            </w:r>
            <w:r w:rsidR="00805238">
              <w:rPr>
                <w:webHidden/>
              </w:rPr>
            </w:r>
            <w:r w:rsidR="00805238">
              <w:rPr>
                <w:webHidden/>
              </w:rPr>
              <w:fldChar w:fldCharType="separate"/>
            </w:r>
            <w:r w:rsidR="00721B4F">
              <w:rPr>
                <w:webHidden/>
              </w:rPr>
              <w:t>19</w:t>
            </w:r>
            <w:r w:rsidR="00805238">
              <w:rPr>
                <w:webHidden/>
              </w:rPr>
              <w:fldChar w:fldCharType="end"/>
            </w:r>
          </w:hyperlink>
        </w:p>
        <w:p w14:paraId="4526D384" w14:textId="1722443B"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813" w:history="1">
            <w:r w:rsidR="00805238" w:rsidRPr="006C6E1E">
              <w:rPr>
                <w:rStyle w:val="Hyperlink"/>
                <w:rFonts w:eastAsiaTheme="majorEastAsia"/>
                <w:noProof/>
              </w:rPr>
              <w:t>A.</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Application Narrative</w:t>
            </w:r>
            <w:r w:rsidR="00805238">
              <w:rPr>
                <w:noProof/>
                <w:webHidden/>
              </w:rPr>
              <w:tab/>
            </w:r>
            <w:r w:rsidR="00805238">
              <w:rPr>
                <w:noProof/>
                <w:webHidden/>
              </w:rPr>
              <w:fldChar w:fldCharType="begin"/>
            </w:r>
            <w:r w:rsidR="00805238">
              <w:rPr>
                <w:noProof/>
                <w:webHidden/>
              </w:rPr>
              <w:instrText xml:space="preserve"> PAGEREF _Toc8915813 \h </w:instrText>
            </w:r>
            <w:r w:rsidR="00805238">
              <w:rPr>
                <w:noProof/>
                <w:webHidden/>
              </w:rPr>
            </w:r>
            <w:r w:rsidR="00805238">
              <w:rPr>
                <w:noProof/>
                <w:webHidden/>
              </w:rPr>
              <w:fldChar w:fldCharType="separate"/>
            </w:r>
            <w:r w:rsidR="00721B4F">
              <w:rPr>
                <w:noProof/>
                <w:webHidden/>
              </w:rPr>
              <w:t>19</w:t>
            </w:r>
            <w:r w:rsidR="00805238">
              <w:rPr>
                <w:noProof/>
                <w:webHidden/>
              </w:rPr>
              <w:fldChar w:fldCharType="end"/>
            </w:r>
          </w:hyperlink>
        </w:p>
        <w:p w14:paraId="7D8D572D" w14:textId="18A04B0D" w:rsidR="00805238" w:rsidRDefault="00AF5DB9" w:rsidP="005A1FB2">
          <w:pPr>
            <w:pStyle w:val="TOC4"/>
            <w:rPr>
              <w:rFonts w:asciiTheme="minorHAnsi" w:eastAsiaTheme="minorEastAsia" w:hAnsiTheme="minorHAnsi" w:cstheme="minorBidi"/>
              <w:noProof/>
              <w:color w:val="auto"/>
              <w:sz w:val="22"/>
              <w:szCs w:val="22"/>
              <w:shd w:val="clear" w:color="auto" w:fill="auto"/>
            </w:rPr>
          </w:pPr>
          <w:hyperlink w:anchor="_Toc8915814" w:history="1">
            <w:r w:rsidR="00805238" w:rsidRPr="006C6E1E">
              <w:rPr>
                <w:rStyle w:val="Hyperlink"/>
                <w:rFonts w:eastAsiaTheme="majorEastAsia"/>
                <w:iCs/>
                <w:noProof/>
              </w:rPr>
              <w:t>B.</w:t>
            </w:r>
            <w:r w:rsidR="00805238">
              <w:rPr>
                <w:rFonts w:asciiTheme="minorHAnsi" w:eastAsiaTheme="minorEastAsia" w:hAnsiTheme="minorHAnsi" w:cstheme="minorBidi"/>
                <w:noProof/>
                <w:color w:val="auto"/>
                <w:sz w:val="22"/>
                <w:szCs w:val="22"/>
                <w:shd w:val="clear" w:color="auto" w:fill="auto"/>
              </w:rPr>
              <w:tab/>
            </w:r>
            <w:r w:rsidR="00805238" w:rsidRPr="006C6E1E">
              <w:rPr>
                <w:rStyle w:val="Hyperlink"/>
                <w:rFonts w:eastAsiaTheme="majorEastAsia"/>
                <w:noProof/>
              </w:rPr>
              <w:t>T</w:t>
            </w:r>
            <w:r w:rsidR="006322A8">
              <w:rPr>
                <w:rStyle w:val="Hyperlink"/>
                <w:rFonts w:eastAsiaTheme="majorEastAsia"/>
                <w:noProof/>
              </w:rPr>
              <w:t>obacco-</w:t>
            </w:r>
            <w:r w:rsidR="00805238" w:rsidRPr="006C6E1E">
              <w:rPr>
                <w:rStyle w:val="Hyperlink"/>
                <w:rFonts w:eastAsiaTheme="majorEastAsia"/>
                <w:noProof/>
              </w:rPr>
              <w:t>U</w:t>
            </w:r>
            <w:r w:rsidR="006322A8">
              <w:rPr>
                <w:rStyle w:val="Hyperlink"/>
                <w:rFonts w:eastAsiaTheme="majorEastAsia"/>
                <w:noProof/>
              </w:rPr>
              <w:t xml:space="preserve">se </w:t>
            </w:r>
            <w:r w:rsidR="00805238" w:rsidRPr="006C6E1E">
              <w:rPr>
                <w:rStyle w:val="Hyperlink"/>
                <w:rFonts w:eastAsiaTheme="majorEastAsia"/>
                <w:noProof/>
              </w:rPr>
              <w:t>P</w:t>
            </w:r>
            <w:r w:rsidR="006322A8">
              <w:rPr>
                <w:rStyle w:val="Hyperlink"/>
                <w:rFonts w:eastAsiaTheme="majorEastAsia"/>
                <w:noProof/>
              </w:rPr>
              <w:t xml:space="preserve">revention </w:t>
            </w:r>
            <w:r w:rsidR="00805238" w:rsidRPr="006C6E1E">
              <w:rPr>
                <w:rStyle w:val="Hyperlink"/>
                <w:rFonts w:eastAsiaTheme="majorEastAsia"/>
                <w:noProof/>
              </w:rPr>
              <w:t>E</w:t>
            </w:r>
            <w:r w:rsidR="006322A8">
              <w:rPr>
                <w:rStyle w:val="Hyperlink"/>
                <w:rFonts w:eastAsiaTheme="majorEastAsia"/>
                <w:noProof/>
              </w:rPr>
              <w:t>ducation</w:t>
            </w:r>
            <w:r w:rsidR="00805238" w:rsidRPr="006C6E1E">
              <w:rPr>
                <w:rStyle w:val="Hyperlink"/>
                <w:rFonts w:eastAsiaTheme="majorEastAsia"/>
                <w:noProof/>
              </w:rPr>
              <w:t xml:space="preserve"> Capacity Building Provider</w:t>
            </w:r>
            <w:r w:rsidR="00D65C03">
              <w:rPr>
                <w:rStyle w:val="Hyperlink"/>
                <w:rFonts w:eastAsiaTheme="majorEastAsia"/>
                <w:noProof/>
              </w:rPr>
              <w:tab/>
            </w:r>
            <w:r w:rsidR="00D65C03">
              <w:rPr>
                <w:rStyle w:val="Hyperlink"/>
                <w:rFonts w:eastAsiaTheme="majorEastAsia"/>
                <w:noProof/>
              </w:rPr>
              <w:tab/>
            </w:r>
            <w:r w:rsidR="00805238" w:rsidRPr="006C6E1E">
              <w:rPr>
                <w:rStyle w:val="Hyperlink"/>
                <w:rFonts w:eastAsiaTheme="majorEastAsia"/>
                <w:noProof/>
              </w:rPr>
              <w:t xml:space="preserve"> Expertise and Proposed Activities</w:t>
            </w:r>
            <w:r w:rsidR="00805238">
              <w:rPr>
                <w:noProof/>
                <w:webHidden/>
              </w:rPr>
              <w:tab/>
            </w:r>
            <w:r w:rsidR="00805238">
              <w:rPr>
                <w:noProof/>
                <w:webHidden/>
              </w:rPr>
              <w:fldChar w:fldCharType="begin"/>
            </w:r>
            <w:r w:rsidR="00805238">
              <w:rPr>
                <w:noProof/>
                <w:webHidden/>
              </w:rPr>
              <w:instrText xml:space="preserve"> PAGEREF _Toc8915814 \h </w:instrText>
            </w:r>
            <w:r w:rsidR="00805238">
              <w:rPr>
                <w:noProof/>
                <w:webHidden/>
              </w:rPr>
            </w:r>
            <w:r w:rsidR="00805238">
              <w:rPr>
                <w:noProof/>
                <w:webHidden/>
              </w:rPr>
              <w:fldChar w:fldCharType="separate"/>
            </w:r>
            <w:r w:rsidR="00721B4F">
              <w:rPr>
                <w:noProof/>
                <w:webHidden/>
              </w:rPr>
              <w:t>19</w:t>
            </w:r>
            <w:r w:rsidR="00805238">
              <w:rPr>
                <w:noProof/>
                <w:webHidden/>
              </w:rPr>
              <w:fldChar w:fldCharType="end"/>
            </w:r>
          </w:hyperlink>
        </w:p>
        <w:p w14:paraId="32564C97" w14:textId="586BED5D" w:rsidR="00805238" w:rsidRDefault="00AF5DB9" w:rsidP="001752A4">
          <w:pPr>
            <w:pStyle w:val="TOC3"/>
            <w:rPr>
              <w:rFonts w:asciiTheme="minorHAnsi" w:eastAsiaTheme="minorEastAsia" w:hAnsiTheme="minorHAnsi" w:cstheme="minorBidi"/>
              <w:color w:val="auto"/>
              <w:sz w:val="22"/>
              <w:szCs w:val="22"/>
              <w:shd w:val="clear" w:color="auto" w:fill="auto"/>
            </w:rPr>
          </w:pPr>
          <w:hyperlink w:anchor="_Toc8915815" w:history="1">
            <w:r w:rsidR="00805238" w:rsidRPr="006C6E1E">
              <w:rPr>
                <w:rStyle w:val="Hyperlink"/>
              </w:rPr>
              <w:t>IX.</w:t>
            </w:r>
            <w:r w:rsidR="00805238">
              <w:rPr>
                <w:rFonts w:asciiTheme="minorHAnsi" w:eastAsiaTheme="minorEastAsia" w:hAnsiTheme="minorHAnsi" w:cstheme="minorBidi"/>
                <w:color w:val="auto"/>
                <w:sz w:val="22"/>
                <w:szCs w:val="22"/>
                <w:shd w:val="clear" w:color="auto" w:fill="auto"/>
              </w:rPr>
              <w:tab/>
            </w:r>
            <w:r w:rsidR="00805238" w:rsidRPr="006C6E1E">
              <w:rPr>
                <w:rStyle w:val="Hyperlink"/>
              </w:rPr>
              <w:t>Application Checklist</w:t>
            </w:r>
            <w:r w:rsidR="00805238">
              <w:rPr>
                <w:webHidden/>
              </w:rPr>
              <w:tab/>
            </w:r>
            <w:r w:rsidR="00805238">
              <w:rPr>
                <w:webHidden/>
              </w:rPr>
              <w:fldChar w:fldCharType="begin"/>
            </w:r>
            <w:r w:rsidR="00805238">
              <w:rPr>
                <w:webHidden/>
              </w:rPr>
              <w:instrText xml:space="preserve"> PAGEREF _Toc8915815 \h </w:instrText>
            </w:r>
            <w:r w:rsidR="00805238">
              <w:rPr>
                <w:webHidden/>
              </w:rPr>
            </w:r>
            <w:r w:rsidR="00805238">
              <w:rPr>
                <w:webHidden/>
              </w:rPr>
              <w:fldChar w:fldCharType="separate"/>
            </w:r>
            <w:r w:rsidR="00721B4F">
              <w:rPr>
                <w:webHidden/>
              </w:rPr>
              <w:t>21</w:t>
            </w:r>
            <w:r w:rsidR="00805238">
              <w:rPr>
                <w:webHidden/>
              </w:rPr>
              <w:fldChar w:fldCharType="end"/>
            </w:r>
          </w:hyperlink>
        </w:p>
        <w:p w14:paraId="33C4FE6B" w14:textId="3F7DF91A" w:rsidR="00805238" w:rsidRDefault="00AF5DB9" w:rsidP="001752A4">
          <w:pPr>
            <w:pStyle w:val="TOC3"/>
            <w:rPr>
              <w:rFonts w:asciiTheme="minorHAnsi" w:eastAsiaTheme="minorEastAsia" w:hAnsiTheme="minorHAnsi" w:cstheme="minorBidi"/>
              <w:color w:val="auto"/>
              <w:sz w:val="22"/>
              <w:szCs w:val="22"/>
              <w:shd w:val="clear" w:color="auto" w:fill="auto"/>
            </w:rPr>
          </w:pPr>
          <w:hyperlink w:anchor="_Toc8915816" w:history="1">
            <w:r w:rsidR="00805238" w:rsidRPr="006C6E1E">
              <w:rPr>
                <w:rStyle w:val="Hyperlink"/>
              </w:rPr>
              <w:t>Appendix 1: Scoring Form and Rubric</w:t>
            </w:r>
            <w:r w:rsidR="00805238">
              <w:rPr>
                <w:webHidden/>
              </w:rPr>
              <w:tab/>
            </w:r>
            <w:r w:rsidR="00805238">
              <w:rPr>
                <w:webHidden/>
              </w:rPr>
              <w:fldChar w:fldCharType="begin"/>
            </w:r>
            <w:r w:rsidR="00805238">
              <w:rPr>
                <w:webHidden/>
              </w:rPr>
              <w:instrText xml:space="preserve"> PAGEREF _Toc8915816 \h </w:instrText>
            </w:r>
            <w:r w:rsidR="00805238">
              <w:rPr>
                <w:webHidden/>
              </w:rPr>
            </w:r>
            <w:r w:rsidR="00805238">
              <w:rPr>
                <w:webHidden/>
              </w:rPr>
              <w:fldChar w:fldCharType="separate"/>
            </w:r>
            <w:r w:rsidR="00721B4F">
              <w:rPr>
                <w:webHidden/>
              </w:rPr>
              <w:t>22</w:t>
            </w:r>
            <w:r w:rsidR="00805238">
              <w:rPr>
                <w:webHidden/>
              </w:rPr>
              <w:fldChar w:fldCharType="end"/>
            </w:r>
          </w:hyperlink>
        </w:p>
        <w:p w14:paraId="5B4AD028" w14:textId="06563CDF" w:rsidR="00113601" w:rsidRDefault="00113601">
          <w:r>
            <w:rPr>
              <w:b/>
            </w:rPr>
            <w:fldChar w:fldCharType="end"/>
          </w:r>
        </w:p>
      </w:sdtContent>
    </w:sdt>
    <w:p w14:paraId="37B67386" w14:textId="76A3F53E" w:rsidR="003F0FFC" w:rsidRPr="00917AF2" w:rsidRDefault="00917AF2" w:rsidP="0064459C">
      <w:pPr>
        <w:pStyle w:val="NoSpacing"/>
        <w:rPr>
          <w:szCs w:val="36"/>
        </w:rPr>
        <w:sectPr w:rsidR="003F0FFC" w:rsidRPr="00917AF2" w:rsidSect="007A3FD0">
          <w:footerReference w:type="first" r:id="rId12"/>
          <w:pgSz w:w="12240" w:h="15840"/>
          <w:pgMar w:top="1440" w:right="1440" w:bottom="1440" w:left="1440" w:header="720" w:footer="720" w:gutter="0"/>
          <w:pgNumType w:fmt="lowerRoman" w:start="1"/>
          <w:cols w:space="720"/>
          <w:docGrid w:linePitch="360"/>
        </w:sectPr>
      </w:pPr>
      <w:bookmarkStart w:id="17" w:name="_Toc530553117"/>
      <w:bookmarkStart w:id="18" w:name="_Toc3789226"/>
      <w:r w:rsidRPr="007A4AA1">
        <w:rPr>
          <w:b/>
          <w:szCs w:val="36"/>
        </w:rPr>
        <w:t>Note:</w:t>
      </w:r>
      <w:r w:rsidR="00DC72FA">
        <w:rPr>
          <w:szCs w:val="36"/>
        </w:rPr>
        <w:t xml:space="preserve"> Attachments A–F</w:t>
      </w:r>
      <w:r w:rsidRPr="00917AF2">
        <w:rPr>
          <w:szCs w:val="36"/>
        </w:rPr>
        <w:t xml:space="preserve"> are available on the </w:t>
      </w:r>
      <w:r w:rsidR="007A4AA1" w:rsidRPr="00616592">
        <w:rPr>
          <w:bCs/>
          <w:szCs w:val="20"/>
        </w:rPr>
        <w:t xml:space="preserve">CDE </w:t>
      </w:r>
      <w:r w:rsidR="007A4AA1">
        <w:rPr>
          <w:bCs/>
          <w:szCs w:val="20"/>
        </w:rPr>
        <w:t>TUPE</w:t>
      </w:r>
      <w:r w:rsidR="007A4AA1" w:rsidRPr="00616592">
        <w:rPr>
          <w:bCs/>
          <w:szCs w:val="20"/>
        </w:rPr>
        <w:t xml:space="preserve"> </w:t>
      </w:r>
      <w:r w:rsidR="007A4AA1" w:rsidRPr="00616592">
        <w:rPr>
          <w:bCs/>
          <w:szCs w:val="20"/>
          <w:lang w:val="en"/>
        </w:rPr>
        <w:t>Funding w</w:t>
      </w:r>
      <w:proofErr w:type="spellStart"/>
      <w:r w:rsidR="007A4AA1" w:rsidRPr="00616592">
        <w:rPr>
          <w:bCs/>
          <w:szCs w:val="20"/>
        </w:rPr>
        <w:t>eb</w:t>
      </w:r>
      <w:proofErr w:type="spellEnd"/>
      <w:r w:rsidR="007A4AA1" w:rsidRPr="00616592">
        <w:rPr>
          <w:bCs/>
          <w:szCs w:val="20"/>
        </w:rPr>
        <w:t xml:space="preserve"> page at </w:t>
      </w:r>
      <w:hyperlink r:id="rId13" w:tooltip="Tobacco Use Prevention Education Program Funding web page" w:history="1">
        <w:r w:rsidR="007A4AA1" w:rsidRPr="00616592">
          <w:rPr>
            <w:bCs/>
            <w:color w:val="0000FF"/>
            <w:szCs w:val="20"/>
            <w:u w:val="single"/>
          </w:rPr>
          <w:t>https://www.cde.ca.gov/ls/he/at/tupefunding.asp</w:t>
        </w:r>
      </w:hyperlink>
      <w:r w:rsidRPr="00917AF2">
        <w:rPr>
          <w:szCs w:val="36"/>
        </w:rPr>
        <w:t>.</w:t>
      </w:r>
    </w:p>
    <w:p w14:paraId="1E65D77C" w14:textId="5444FFB3" w:rsidR="0030086E" w:rsidRPr="009E1F8E" w:rsidRDefault="0030086E" w:rsidP="00001EA9">
      <w:pPr>
        <w:pStyle w:val="Heading3"/>
        <w:spacing w:after="240"/>
        <w:ind w:left="360"/>
      </w:pPr>
      <w:bookmarkStart w:id="19" w:name="_Toc8915772"/>
      <w:bookmarkEnd w:id="17"/>
      <w:bookmarkEnd w:id="18"/>
      <w:r w:rsidRPr="009E1F8E">
        <w:lastRenderedPageBreak/>
        <w:t>Critical Dates for the Application Process</w:t>
      </w:r>
      <w:bookmarkEnd w:id="19"/>
    </w:p>
    <w:p w14:paraId="5EBF253A" w14:textId="25613046" w:rsidR="00503F6A" w:rsidRPr="00616592" w:rsidRDefault="00503F6A" w:rsidP="00001EA9">
      <w:pPr>
        <w:spacing w:before="0" w:after="0"/>
        <w:ind w:left="360"/>
        <w:rPr>
          <w:bCs/>
          <w:color w:val="0000FF"/>
          <w:u w:val="single"/>
          <w:shd w:val="clear" w:color="auto" w:fill="auto"/>
        </w:rPr>
      </w:pPr>
      <w:r w:rsidRPr="00616592">
        <w:rPr>
          <w:bCs/>
          <w:color w:val="auto"/>
          <w:szCs w:val="20"/>
          <w:shd w:val="clear" w:color="auto" w:fill="auto"/>
        </w:rPr>
        <w:t>The following chart identifies the anticipated critical dates for the application</w:t>
      </w:r>
      <w:r w:rsidR="0020114C">
        <w:rPr>
          <w:bCs/>
          <w:color w:val="auto"/>
          <w:szCs w:val="20"/>
          <w:shd w:val="clear" w:color="auto" w:fill="auto"/>
        </w:rPr>
        <w:t xml:space="preserve"> grant</w:t>
      </w:r>
      <w:r w:rsidRPr="00616592">
        <w:rPr>
          <w:bCs/>
          <w:color w:val="auto"/>
          <w:szCs w:val="20"/>
          <w:shd w:val="clear" w:color="auto" w:fill="auto"/>
        </w:rPr>
        <w:t xml:space="preserve"> process. These dates may be extended by the </w:t>
      </w:r>
      <w:r w:rsidR="00582587">
        <w:rPr>
          <w:bCs/>
          <w:color w:val="auto"/>
          <w:szCs w:val="20"/>
          <w:shd w:val="clear" w:color="auto" w:fill="auto"/>
        </w:rPr>
        <w:t>CDE</w:t>
      </w:r>
      <w:r w:rsidRPr="00616592">
        <w:rPr>
          <w:bCs/>
          <w:color w:val="auto"/>
          <w:szCs w:val="20"/>
          <w:shd w:val="clear" w:color="auto" w:fill="auto"/>
        </w:rPr>
        <w:t xml:space="preserve"> at its discretion. </w:t>
      </w:r>
    </w:p>
    <w:p w14:paraId="39754637" w14:textId="77777777" w:rsidR="00D37701" w:rsidRPr="00616592" w:rsidRDefault="00D37701" w:rsidP="0030086E">
      <w:pPr>
        <w:spacing w:before="0" w:after="0"/>
        <w:rPr>
          <w:bCs/>
          <w:color w:val="FF0000"/>
          <w:szCs w:val="20"/>
          <w:shd w:val="clear" w:color="auto" w:fill="auto"/>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shows the critical dates for the application process."/>
      </w:tblPr>
      <w:tblGrid>
        <w:gridCol w:w="3145"/>
        <w:gridCol w:w="5693"/>
      </w:tblGrid>
      <w:tr w:rsidR="00503F6A" w:rsidRPr="00616592" w14:paraId="2E2A2767" w14:textId="77777777" w:rsidTr="000D74CD">
        <w:trPr>
          <w:cantSplit/>
          <w:trHeight w:val="350"/>
          <w:tblHeader/>
        </w:trPr>
        <w:tc>
          <w:tcPr>
            <w:tcW w:w="3145" w:type="dxa"/>
            <w:shd w:val="clear" w:color="auto" w:fill="auto"/>
          </w:tcPr>
          <w:p w14:paraId="66040B45" w14:textId="77777777" w:rsidR="00503F6A" w:rsidRPr="00616592" w:rsidRDefault="00503F6A" w:rsidP="00A836AA">
            <w:pPr>
              <w:spacing w:before="0" w:after="0"/>
              <w:rPr>
                <w:b/>
                <w:bCs/>
                <w:color w:val="auto"/>
                <w:szCs w:val="20"/>
                <w:shd w:val="clear" w:color="auto" w:fill="auto"/>
              </w:rPr>
            </w:pPr>
            <w:r w:rsidRPr="00616592">
              <w:rPr>
                <w:b/>
                <w:bCs/>
                <w:color w:val="auto"/>
                <w:szCs w:val="20"/>
                <w:shd w:val="clear" w:color="auto" w:fill="auto"/>
              </w:rPr>
              <w:t>Dates</w:t>
            </w:r>
          </w:p>
        </w:tc>
        <w:tc>
          <w:tcPr>
            <w:tcW w:w="5693" w:type="dxa"/>
            <w:shd w:val="clear" w:color="auto" w:fill="auto"/>
          </w:tcPr>
          <w:p w14:paraId="443130CE" w14:textId="77777777" w:rsidR="00503F6A" w:rsidRPr="00616592" w:rsidRDefault="00503F6A" w:rsidP="00A836AA">
            <w:pPr>
              <w:spacing w:before="0" w:after="0"/>
              <w:rPr>
                <w:b/>
                <w:bCs/>
                <w:color w:val="auto"/>
                <w:szCs w:val="20"/>
                <w:shd w:val="clear" w:color="auto" w:fill="auto"/>
              </w:rPr>
            </w:pPr>
            <w:r w:rsidRPr="00616592">
              <w:rPr>
                <w:b/>
                <w:bCs/>
                <w:color w:val="auto"/>
                <w:szCs w:val="20"/>
                <w:shd w:val="clear" w:color="auto" w:fill="auto"/>
              </w:rPr>
              <w:t>Critical Events</w:t>
            </w:r>
          </w:p>
        </w:tc>
      </w:tr>
      <w:tr w:rsidR="00503F6A" w:rsidRPr="00616592" w14:paraId="174CDB89" w14:textId="77777777" w:rsidTr="000D74CD">
        <w:trPr>
          <w:cantSplit/>
          <w:trHeight w:val="971"/>
          <w:tblHeader/>
        </w:trPr>
        <w:tc>
          <w:tcPr>
            <w:tcW w:w="3145" w:type="dxa"/>
            <w:shd w:val="clear" w:color="auto" w:fill="auto"/>
          </w:tcPr>
          <w:p w14:paraId="223668B8" w14:textId="083BB3A3" w:rsidR="00503F6A" w:rsidRPr="000E76B2" w:rsidDel="00467EDE" w:rsidRDefault="00796D4C" w:rsidP="003302E5">
            <w:pPr>
              <w:spacing w:before="0" w:after="0"/>
              <w:rPr>
                <w:b/>
                <w:bCs/>
                <w:color w:val="auto"/>
                <w:szCs w:val="20"/>
                <w:shd w:val="clear" w:color="auto" w:fill="auto"/>
              </w:rPr>
            </w:pPr>
            <w:r>
              <w:rPr>
                <w:b/>
                <w:bCs/>
                <w:color w:val="auto"/>
                <w:szCs w:val="20"/>
                <w:shd w:val="clear" w:color="auto" w:fill="auto"/>
              </w:rPr>
              <w:t xml:space="preserve">July </w:t>
            </w:r>
            <w:r w:rsidR="003302E5">
              <w:rPr>
                <w:b/>
                <w:bCs/>
                <w:color w:val="auto"/>
                <w:szCs w:val="20"/>
                <w:shd w:val="clear" w:color="auto" w:fill="auto"/>
              </w:rPr>
              <w:t>26</w:t>
            </w:r>
            <w:r w:rsidR="00503F6A" w:rsidRPr="000E76B2">
              <w:rPr>
                <w:b/>
                <w:bCs/>
                <w:color w:val="auto"/>
                <w:szCs w:val="20"/>
                <w:shd w:val="clear" w:color="auto" w:fill="auto"/>
              </w:rPr>
              <w:t>,</w:t>
            </w:r>
            <w:r w:rsidR="00503F6A" w:rsidRPr="000E76B2">
              <w:rPr>
                <w:b/>
                <w:bCs/>
                <w:color w:val="FF0000"/>
                <w:szCs w:val="20"/>
                <w:shd w:val="clear" w:color="auto" w:fill="auto"/>
              </w:rPr>
              <w:t xml:space="preserve"> </w:t>
            </w:r>
            <w:r w:rsidR="00503F6A" w:rsidRPr="000E76B2">
              <w:rPr>
                <w:b/>
                <w:bCs/>
                <w:color w:val="auto"/>
                <w:szCs w:val="20"/>
                <w:shd w:val="clear" w:color="auto" w:fill="auto"/>
              </w:rPr>
              <w:t>2019</w:t>
            </w:r>
          </w:p>
        </w:tc>
        <w:tc>
          <w:tcPr>
            <w:tcW w:w="5693" w:type="dxa"/>
            <w:shd w:val="clear" w:color="auto" w:fill="auto"/>
          </w:tcPr>
          <w:p w14:paraId="1C5C2D91" w14:textId="5BEBA705" w:rsidR="00503F6A" w:rsidRPr="00616592" w:rsidRDefault="00503F6A" w:rsidP="00BE59BF">
            <w:pPr>
              <w:spacing w:before="0" w:after="0"/>
              <w:rPr>
                <w:bCs/>
                <w:color w:val="auto"/>
                <w:szCs w:val="20"/>
                <w:u w:val="single"/>
                <w:shd w:val="clear" w:color="auto" w:fill="auto"/>
              </w:rPr>
            </w:pPr>
            <w:r w:rsidRPr="00616592">
              <w:rPr>
                <w:bCs/>
                <w:color w:val="auto"/>
                <w:szCs w:val="20"/>
                <w:shd w:val="clear" w:color="auto" w:fill="auto"/>
              </w:rPr>
              <w:t xml:space="preserve">RFA and supporting documents are posted on the CDE </w:t>
            </w:r>
            <w:r w:rsidR="00BE59BF">
              <w:rPr>
                <w:bCs/>
                <w:color w:val="auto"/>
                <w:szCs w:val="20"/>
                <w:shd w:val="clear" w:color="auto" w:fill="auto"/>
              </w:rPr>
              <w:t>Tobacco-Used Prevention Education</w:t>
            </w:r>
            <w:r w:rsidRPr="00616592">
              <w:rPr>
                <w:bCs/>
                <w:color w:val="auto"/>
                <w:szCs w:val="20"/>
                <w:shd w:val="clear" w:color="auto" w:fill="auto"/>
              </w:rPr>
              <w:t xml:space="preserve"> </w:t>
            </w:r>
            <w:r w:rsidRPr="00616592">
              <w:rPr>
                <w:bCs/>
                <w:color w:val="auto"/>
                <w:szCs w:val="20"/>
                <w:shd w:val="clear" w:color="auto" w:fill="auto"/>
                <w:lang w:val="en"/>
              </w:rPr>
              <w:t>Funding w</w:t>
            </w:r>
            <w:proofErr w:type="spellStart"/>
            <w:r w:rsidRPr="00616592">
              <w:rPr>
                <w:bCs/>
                <w:color w:val="auto"/>
                <w:szCs w:val="20"/>
                <w:shd w:val="clear" w:color="auto" w:fill="auto"/>
              </w:rPr>
              <w:t>eb</w:t>
            </w:r>
            <w:proofErr w:type="spellEnd"/>
            <w:r w:rsidRPr="00616592">
              <w:rPr>
                <w:bCs/>
                <w:color w:val="auto"/>
                <w:szCs w:val="20"/>
                <w:shd w:val="clear" w:color="auto" w:fill="auto"/>
              </w:rPr>
              <w:t xml:space="preserve"> page at </w:t>
            </w:r>
            <w:hyperlink r:id="rId14" w:tooltip="Tobacco Use Prevention Education Program Funding web page" w:history="1">
              <w:r w:rsidRPr="00616592">
                <w:rPr>
                  <w:bCs/>
                  <w:color w:val="0000FF"/>
                  <w:szCs w:val="20"/>
                  <w:u w:val="single"/>
                  <w:shd w:val="clear" w:color="auto" w:fill="auto"/>
                </w:rPr>
                <w:t>https://www.cde.ca.gov/ls/he/at/tupefunding.asp</w:t>
              </w:r>
            </w:hyperlink>
            <w:r w:rsidR="009C342A" w:rsidRPr="009C342A">
              <w:rPr>
                <w:bCs/>
                <w:color w:val="0000FF"/>
                <w:szCs w:val="20"/>
                <w:shd w:val="clear" w:color="auto" w:fill="auto"/>
              </w:rPr>
              <w:t>.</w:t>
            </w:r>
          </w:p>
        </w:tc>
      </w:tr>
      <w:tr w:rsidR="00503F6A" w:rsidRPr="00616592" w14:paraId="407DCE97" w14:textId="77777777" w:rsidTr="00651327">
        <w:trPr>
          <w:cantSplit/>
          <w:trHeight w:val="593"/>
          <w:tblHeader/>
        </w:trPr>
        <w:tc>
          <w:tcPr>
            <w:tcW w:w="3145" w:type="dxa"/>
            <w:shd w:val="clear" w:color="auto" w:fill="auto"/>
          </w:tcPr>
          <w:p w14:paraId="7A8ED1A9" w14:textId="0EF7DF2B" w:rsidR="00503F6A" w:rsidRPr="000E76B2" w:rsidRDefault="00796D4C" w:rsidP="005B4309">
            <w:pPr>
              <w:spacing w:before="0" w:after="0"/>
              <w:rPr>
                <w:b/>
                <w:bCs/>
                <w:color w:val="auto"/>
                <w:szCs w:val="20"/>
                <w:shd w:val="clear" w:color="auto" w:fill="auto"/>
              </w:rPr>
            </w:pPr>
            <w:r>
              <w:rPr>
                <w:b/>
                <w:bCs/>
                <w:color w:val="auto"/>
                <w:szCs w:val="20"/>
                <w:shd w:val="clear" w:color="auto" w:fill="auto"/>
              </w:rPr>
              <w:t xml:space="preserve">July </w:t>
            </w:r>
            <w:r w:rsidR="005B4309">
              <w:rPr>
                <w:b/>
                <w:bCs/>
                <w:color w:val="auto"/>
                <w:szCs w:val="20"/>
                <w:shd w:val="clear" w:color="auto" w:fill="auto"/>
              </w:rPr>
              <w:t>26</w:t>
            </w:r>
            <w:r w:rsidR="00197932" w:rsidRPr="00197932">
              <w:rPr>
                <w:b/>
                <w:bCs/>
                <w:color w:val="auto"/>
                <w:szCs w:val="20"/>
                <w:shd w:val="clear" w:color="auto" w:fill="auto"/>
              </w:rPr>
              <w:t>–</w:t>
            </w:r>
            <w:r w:rsidR="005B4309">
              <w:rPr>
                <w:b/>
                <w:bCs/>
                <w:color w:val="auto"/>
                <w:szCs w:val="20"/>
                <w:shd w:val="clear" w:color="auto" w:fill="auto"/>
              </w:rPr>
              <w:t>August 30</w:t>
            </w:r>
            <w:r w:rsidR="00503F6A" w:rsidRPr="000E76B2">
              <w:rPr>
                <w:b/>
                <w:bCs/>
                <w:color w:val="auto"/>
                <w:szCs w:val="20"/>
                <w:shd w:val="clear" w:color="auto" w:fill="auto"/>
              </w:rPr>
              <w:t>, 2019</w:t>
            </w:r>
          </w:p>
        </w:tc>
        <w:tc>
          <w:tcPr>
            <w:tcW w:w="5693" w:type="dxa"/>
            <w:shd w:val="clear" w:color="auto" w:fill="auto"/>
          </w:tcPr>
          <w:p w14:paraId="540E37C1" w14:textId="77AC5AE8" w:rsidR="00503F6A" w:rsidRPr="00616592" w:rsidRDefault="00E117AA" w:rsidP="00A836AA">
            <w:pPr>
              <w:spacing w:before="0" w:after="0"/>
              <w:rPr>
                <w:bCs/>
                <w:color w:val="auto"/>
                <w:szCs w:val="20"/>
                <w:shd w:val="clear" w:color="auto" w:fill="auto"/>
              </w:rPr>
            </w:pPr>
            <w:r>
              <w:rPr>
                <w:bCs/>
                <w:color w:val="auto"/>
                <w:szCs w:val="20"/>
                <w:shd w:val="clear" w:color="auto" w:fill="auto"/>
              </w:rPr>
              <w:t>CBP</w:t>
            </w:r>
            <w:r w:rsidR="00503F6A" w:rsidRPr="00616592">
              <w:rPr>
                <w:bCs/>
                <w:color w:val="auto"/>
                <w:szCs w:val="20"/>
                <w:shd w:val="clear" w:color="auto" w:fill="auto"/>
              </w:rPr>
              <w:t xml:space="preserve"> RFA Helpdesk available at </w:t>
            </w:r>
            <w:hyperlink r:id="rId15" w:tooltip="Tobacco-Use Prevention Education Office Helpdesk Email Address Link" w:history="1">
              <w:r w:rsidR="00503F6A" w:rsidRPr="00616592">
                <w:rPr>
                  <w:bCs/>
                  <w:color w:val="0000FF"/>
                  <w:szCs w:val="20"/>
                  <w:u w:val="single"/>
                  <w:shd w:val="clear" w:color="auto" w:fill="auto"/>
                </w:rPr>
                <w:t>tupe@cde.ca.gov</w:t>
              </w:r>
            </w:hyperlink>
            <w:r w:rsidR="009C342A" w:rsidRPr="009C342A">
              <w:rPr>
                <w:bCs/>
                <w:color w:val="0000FF"/>
                <w:szCs w:val="20"/>
                <w:shd w:val="clear" w:color="auto" w:fill="auto"/>
              </w:rPr>
              <w:t>.</w:t>
            </w:r>
          </w:p>
        </w:tc>
      </w:tr>
      <w:tr w:rsidR="00503F6A" w:rsidRPr="00616592" w14:paraId="28BDA545" w14:textId="77777777" w:rsidTr="00BE59BF">
        <w:trPr>
          <w:cantSplit/>
          <w:trHeight w:val="1142"/>
          <w:tblHeader/>
        </w:trPr>
        <w:tc>
          <w:tcPr>
            <w:tcW w:w="3145" w:type="dxa"/>
            <w:shd w:val="clear" w:color="auto" w:fill="auto"/>
          </w:tcPr>
          <w:p w14:paraId="356B4AC7" w14:textId="6C19FDDA" w:rsidR="00503F6A" w:rsidRPr="000E76B2" w:rsidRDefault="005B4309" w:rsidP="003302E5">
            <w:pPr>
              <w:spacing w:before="0" w:after="0"/>
              <w:rPr>
                <w:b/>
                <w:bCs/>
                <w:color w:val="auto"/>
                <w:szCs w:val="20"/>
                <w:shd w:val="clear" w:color="auto" w:fill="auto"/>
              </w:rPr>
            </w:pPr>
            <w:r>
              <w:rPr>
                <w:b/>
                <w:bCs/>
                <w:color w:val="auto"/>
                <w:szCs w:val="20"/>
                <w:shd w:val="clear" w:color="auto" w:fill="auto"/>
              </w:rPr>
              <w:t>August 2</w:t>
            </w:r>
            <w:r w:rsidR="00503F6A" w:rsidRPr="000E76B2">
              <w:rPr>
                <w:b/>
                <w:bCs/>
                <w:color w:val="auto"/>
                <w:szCs w:val="20"/>
                <w:shd w:val="clear" w:color="auto" w:fill="auto"/>
              </w:rPr>
              <w:t>, 2019</w:t>
            </w:r>
          </w:p>
        </w:tc>
        <w:tc>
          <w:tcPr>
            <w:tcW w:w="5693" w:type="dxa"/>
            <w:shd w:val="clear" w:color="auto" w:fill="auto"/>
          </w:tcPr>
          <w:p w14:paraId="7020788D" w14:textId="4B59FDD9" w:rsidR="00503F6A" w:rsidRPr="00616592" w:rsidRDefault="00EF1F89" w:rsidP="0063546D">
            <w:pPr>
              <w:spacing w:before="0" w:after="0"/>
              <w:rPr>
                <w:bCs/>
                <w:color w:val="auto"/>
                <w:szCs w:val="20"/>
                <w:shd w:val="clear" w:color="auto" w:fill="auto"/>
              </w:rPr>
            </w:pPr>
            <w:r>
              <w:rPr>
                <w:bCs/>
                <w:color w:val="auto"/>
                <w:szCs w:val="20"/>
                <w:shd w:val="clear" w:color="auto" w:fill="auto"/>
              </w:rPr>
              <w:t>CBP g</w:t>
            </w:r>
            <w:r w:rsidR="005773D2">
              <w:rPr>
                <w:bCs/>
                <w:color w:val="auto"/>
                <w:szCs w:val="20"/>
                <w:shd w:val="clear" w:color="auto" w:fill="auto"/>
              </w:rPr>
              <w:t>rant</w:t>
            </w:r>
            <w:r w:rsidR="00503F6A" w:rsidRPr="00616592">
              <w:rPr>
                <w:bCs/>
                <w:color w:val="auto"/>
                <w:szCs w:val="20"/>
                <w:shd w:val="clear" w:color="auto" w:fill="auto"/>
              </w:rPr>
              <w:t xml:space="preserve"> RFA Guidance Webinar (pre-recorded) posted on </w:t>
            </w:r>
            <w:r w:rsidR="00503F6A" w:rsidRPr="003D4FB0">
              <w:rPr>
                <w:bCs/>
                <w:color w:val="auto"/>
                <w:szCs w:val="20"/>
                <w:shd w:val="clear" w:color="auto" w:fill="auto"/>
              </w:rPr>
              <w:t xml:space="preserve">the CDE </w:t>
            </w:r>
            <w:r w:rsidR="00612CDA" w:rsidRPr="003D4FB0">
              <w:rPr>
                <w:bCs/>
                <w:color w:val="auto"/>
                <w:szCs w:val="20"/>
                <w:shd w:val="clear" w:color="auto" w:fill="auto"/>
              </w:rPr>
              <w:t>R</w:t>
            </w:r>
            <w:r w:rsidR="00BE59BF">
              <w:rPr>
                <w:bCs/>
                <w:color w:val="auto"/>
                <w:szCs w:val="20"/>
                <w:shd w:val="clear" w:color="auto" w:fill="auto"/>
              </w:rPr>
              <w:t>equest for Applications</w:t>
            </w:r>
            <w:r w:rsidR="00750D4E" w:rsidRPr="00750D4E">
              <w:rPr>
                <w:bCs/>
                <w:color w:val="auto"/>
                <w:szCs w:val="20"/>
                <w:shd w:val="clear" w:color="auto" w:fill="auto"/>
              </w:rPr>
              <w:t xml:space="preserve"> </w:t>
            </w:r>
            <w:r w:rsidR="00503F6A" w:rsidRPr="00616592">
              <w:rPr>
                <w:bCs/>
                <w:color w:val="auto"/>
                <w:szCs w:val="20"/>
                <w:shd w:val="clear" w:color="auto" w:fill="auto"/>
              </w:rPr>
              <w:t xml:space="preserve">web page at </w:t>
            </w:r>
            <w:hyperlink r:id="rId16" w:tooltip="Capacity Building Provider Grant Request for Applicatoins web page" w:history="1">
              <w:r w:rsidR="0063546D" w:rsidRPr="00727022">
                <w:rPr>
                  <w:rStyle w:val="Hyperlink"/>
                  <w:bCs/>
                  <w:szCs w:val="20"/>
                  <w:shd w:val="clear" w:color="auto" w:fill="auto"/>
                </w:rPr>
                <w:t>https://www.cde.ca.gov/fg/fo/r8/cbprfa.asp</w:t>
              </w:r>
            </w:hyperlink>
            <w:r w:rsidR="00FC4E88" w:rsidRPr="00FC4E88">
              <w:rPr>
                <w:rStyle w:val="Hyperlink"/>
                <w:bCs/>
                <w:szCs w:val="20"/>
                <w:u w:val="none"/>
                <w:shd w:val="clear" w:color="auto" w:fill="auto"/>
              </w:rPr>
              <w:t>.</w:t>
            </w:r>
            <w:r w:rsidR="00637A40" w:rsidRPr="00FC4E88">
              <w:rPr>
                <w:bCs/>
                <w:color w:val="auto"/>
                <w:szCs w:val="20"/>
                <w:shd w:val="clear" w:color="auto" w:fill="auto"/>
              </w:rPr>
              <w:t xml:space="preserve"> </w:t>
            </w:r>
          </w:p>
        </w:tc>
      </w:tr>
      <w:tr w:rsidR="00503F6A" w:rsidRPr="00616592" w14:paraId="6489DDE8" w14:textId="77777777" w:rsidTr="000D74CD">
        <w:trPr>
          <w:cantSplit/>
          <w:trHeight w:val="1475"/>
          <w:tblHeader/>
        </w:trPr>
        <w:tc>
          <w:tcPr>
            <w:tcW w:w="3145" w:type="dxa"/>
            <w:shd w:val="clear" w:color="auto" w:fill="auto"/>
          </w:tcPr>
          <w:p w14:paraId="0E7A1F36" w14:textId="133AB658" w:rsidR="00503F6A" w:rsidRPr="000E76B2" w:rsidRDefault="003302E5" w:rsidP="00EA26F0">
            <w:pPr>
              <w:spacing w:before="0" w:after="0"/>
              <w:rPr>
                <w:b/>
                <w:bCs/>
                <w:color w:val="auto"/>
                <w:szCs w:val="20"/>
                <w:shd w:val="clear" w:color="auto" w:fill="auto"/>
              </w:rPr>
            </w:pPr>
            <w:r>
              <w:rPr>
                <w:b/>
                <w:bCs/>
                <w:color w:val="auto"/>
                <w:szCs w:val="20"/>
                <w:shd w:val="clear" w:color="auto" w:fill="auto"/>
              </w:rPr>
              <w:t xml:space="preserve">August </w:t>
            </w:r>
            <w:r w:rsidR="005B4309">
              <w:rPr>
                <w:b/>
                <w:bCs/>
                <w:color w:val="auto"/>
                <w:szCs w:val="20"/>
                <w:shd w:val="clear" w:color="auto" w:fill="auto"/>
              </w:rPr>
              <w:t>6</w:t>
            </w:r>
            <w:r w:rsidR="00C362EA" w:rsidRPr="000E76B2">
              <w:rPr>
                <w:b/>
                <w:bCs/>
                <w:color w:val="auto"/>
                <w:szCs w:val="20"/>
                <w:shd w:val="clear" w:color="auto" w:fill="auto"/>
              </w:rPr>
              <w:t>,</w:t>
            </w:r>
            <w:r w:rsidR="00503F6A" w:rsidRPr="000E76B2">
              <w:rPr>
                <w:b/>
                <w:bCs/>
                <w:color w:val="auto"/>
                <w:szCs w:val="20"/>
                <w:shd w:val="clear" w:color="auto" w:fill="auto"/>
              </w:rPr>
              <w:t xml:space="preserve"> 2019</w:t>
            </w:r>
          </w:p>
        </w:tc>
        <w:tc>
          <w:tcPr>
            <w:tcW w:w="5693" w:type="dxa"/>
            <w:shd w:val="clear" w:color="auto" w:fill="auto"/>
          </w:tcPr>
          <w:p w14:paraId="7E0C179B" w14:textId="2E687635" w:rsidR="00503F6A" w:rsidRPr="00616592" w:rsidRDefault="00503F6A" w:rsidP="00A836AA">
            <w:pPr>
              <w:spacing w:before="0" w:after="0"/>
              <w:rPr>
                <w:bCs/>
                <w:color w:val="auto"/>
                <w:szCs w:val="20"/>
                <w:shd w:val="clear" w:color="auto" w:fill="auto"/>
              </w:rPr>
            </w:pPr>
            <w:r w:rsidRPr="00616592">
              <w:rPr>
                <w:b/>
                <w:bCs/>
                <w:color w:val="auto"/>
                <w:szCs w:val="20"/>
                <w:shd w:val="clear" w:color="auto" w:fill="auto"/>
              </w:rPr>
              <w:t xml:space="preserve">Intent to Submit </w:t>
            </w:r>
            <w:r w:rsidR="00BB1229">
              <w:rPr>
                <w:b/>
                <w:bCs/>
                <w:color w:val="auto"/>
                <w:szCs w:val="20"/>
                <w:shd w:val="clear" w:color="auto" w:fill="auto"/>
              </w:rPr>
              <w:t xml:space="preserve">(ITS) </w:t>
            </w:r>
            <w:r w:rsidRPr="00616592">
              <w:rPr>
                <w:b/>
                <w:bCs/>
                <w:color w:val="auto"/>
                <w:szCs w:val="20"/>
                <w:shd w:val="clear" w:color="auto" w:fill="auto"/>
              </w:rPr>
              <w:t>an Application is due to the CDE.</w:t>
            </w:r>
            <w:r w:rsidRPr="00616592">
              <w:rPr>
                <w:bCs/>
                <w:color w:val="auto"/>
                <w:szCs w:val="20"/>
                <w:shd w:val="clear" w:color="auto" w:fill="auto"/>
              </w:rPr>
              <w:t xml:space="preserve"> Failure to submit this completed form will result in disqualification of the application from the reading and scoring process</w:t>
            </w:r>
            <w:r w:rsidR="009C342A">
              <w:rPr>
                <w:bCs/>
                <w:color w:val="auto"/>
                <w:szCs w:val="20"/>
                <w:shd w:val="clear" w:color="auto" w:fill="auto"/>
              </w:rPr>
              <w:t>.</w:t>
            </w:r>
          </w:p>
          <w:p w14:paraId="30F28FF8" w14:textId="038ECA57" w:rsidR="00503F6A" w:rsidRPr="00616592" w:rsidRDefault="00503F6A" w:rsidP="00A836AA">
            <w:pPr>
              <w:spacing w:before="0" w:after="0"/>
              <w:rPr>
                <w:bCs/>
                <w:color w:val="auto"/>
                <w:szCs w:val="20"/>
                <w:shd w:val="clear" w:color="auto" w:fill="auto"/>
              </w:rPr>
            </w:pPr>
            <w:r w:rsidRPr="00616592">
              <w:rPr>
                <w:bCs/>
                <w:color w:val="auto"/>
                <w:szCs w:val="20"/>
                <w:shd w:val="clear" w:color="auto" w:fill="auto"/>
              </w:rPr>
              <w:t>Postmarks will not be accepted</w:t>
            </w:r>
            <w:r w:rsidR="009C342A">
              <w:rPr>
                <w:bCs/>
                <w:color w:val="auto"/>
                <w:szCs w:val="20"/>
                <w:shd w:val="clear" w:color="auto" w:fill="auto"/>
              </w:rPr>
              <w:t>.</w:t>
            </w:r>
          </w:p>
        </w:tc>
      </w:tr>
      <w:tr w:rsidR="00503F6A" w:rsidRPr="00616592" w14:paraId="4ED81393" w14:textId="77777777" w:rsidTr="000D74CD">
        <w:trPr>
          <w:cantSplit/>
          <w:trHeight w:val="899"/>
          <w:tblHeader/>
        </w:trPr>
        <w:tc>
          <w:tcPr>
            <w:tcW w:w="3145" w:type="dxa"/>
            <w:shd w:val="clear" w:color="auto" w:fill="auto"/>
          </w:tcPr>
          <w:p w14:paraId="1812EBB2" w14:textId="4E71F6BB" w:rsidR="00503F6A" w:rsidRPr="000E76B2" w:rsidRDefault="00EA26F0" w:rsidP="003302E5">
            <w:pPr>
              <w:spacing w:before="0" w:after="0"/>
              <w:rPr>
                <w:b/>
                <w:bCs/>
                <w:color w:val="auto"/>
                <w:szCs w:val="20"/>
                <w:shd w:val="clear" w:color="auto" w:fill="auto"/>
              </w:rPr>
            </w:pPr>
            <w:r>
              <w:rPr>
                <w:b/>
                <w:bCs/>
                <w:color w:val="auto"/>
                <w:szCs w:val="20"/>
                <w:shd w:val="clear" w:color="auto" w:fill="auto"/>
              </w:rPr>
              <w:t xml:space="preserve">August </w:t>
            </w:r>
            <w:r w:rsidR="005B4309">
              <w:rPr>
                <w:b/>
                <w:bCs/>
                <w:color w:val="auto"/>
                <w:szCs w:val="20"/>
                <w:shd w:val="clear" w:color="auto" w:fill="auto"/>
              </w:rPr>
              <w:t>30</w:t>
            </w:r>
            <w:r w:rsidR="00503F6A" w:rsidRPr="000E76B2">
              <w:rPr>
                <w:b/>
                <w:bCs/>
                <w:color w:val="auto"/>
                <w:szCs w:val="20"/>
                <w:shd w:val="clear" w:color="auto" w:fill="auto"/>
              </w:rPr>
              <w:t>, 2019</w:t>
            </w:r>
          </w:p>
        </w:tc>
        <w:tc>
          <w:tcPr>
            <w:tcW w:w="5693" w:type="dxa"/>
            <w:shd w:val="clear" w:color="auto" w:fill="auto"/>
          </w:tcPr>
          <w:p w14:paraId="28E8BA0C" w14:textId="77777777" w:rsidR="00503F6A" w:rsidRPr="00616592" w:rsidRDefault="00503F6A" w:rsidP="00A836AA">
            <w:pPr>
              <w:spacing w:before="0" w:after="0"/>
              <w:rPr>
                <w:bCs/>
                <w:color w:val="auto"/>
                <w:szCs w:val="20"/>
                <w:shd w:val="clear" w:color="auto" w:fill="auto"/>
              </w:rPr>
            </w:pPr>
            <w:r w:rsidRPr="00616592">
              <w:rPr>
                <w:b/>
                <w:bCs/>
                <w:color w:val="auto"/>
                <w:szCs w:val="20"/>
                <w:shd w:val="clear" w:color="auto" w:fill="auto"/>
              </w:rPr>
              <w:t>Submission deadline for applications</w:t>
            </w:r>
            <w:r w:rsidRPr="00616592">
              <w:rPr>
                <w:bCs/>
                <w:color w:val="auto"/>
                <w:szCs w:val="20"/>
                <w:shd w:val="clear" w:color="auto" w:fill="auto"/>
              </w:rPr>
              <w:t xml:space="preserve"> in hard copy to the CDE by 4 p.m.</w:t>
            </w:r>
          </w:p>
          <w:p w14:paraId="0336228C" w14:textId="2028308B" w:rsidR="00503F6A" w:rsidRPr="00616592" w:rsidRDefault="00503F6A" w:rsidP="00A836AA">
            <w:pPr>
              <w:spacing w:before="0" w:after="0"/>
              <w:rPr>
                <w:bCs/>
                <w:color w:val="auto"/>
                <w:szCs w:val="20"/>
                <w:shd w:val="clear" w:color="auto" w:fill="auto"/>
              </w:rPr>
            </w:pPr>
            <w:r w:rsidRPr="00616592">
              <w:rPr>
                <w:bCs/>
                <w:color w:val="auto"/>
                <w:szCs w:val="20"/>
                <w:shd w:val="clear" w:color="auto" w:fill="auto"/>
              </w:rPr>
              <w:t>Postmarks will not be accepted</w:t>
            </w:r>
            <w:r w:rsidR="009C342A">
              <w:rPr>
                <w:bCs/>
                <w:color w:val="auto"/>
                <w:szCs w:val="20"/>
                <w:shd w:val="clear" w:color="auto" w:fill="auto"/>
              </w:rPr>
              <w:t>.</w:t>
            </w:r>
            <w:r w:rsidRPr="00616592">
              <w:rPr>
                <w:bCs/>
                <w:color w:val="auto"/>
                <w:szCs w:val="20"/>
                <w:shd w:val="clear" w:color="auto" w:fill="auto"/>
              </w:rPr>
              <w:t xml:space="preserve"> </w:t>
            </w:r>
          </w:p>
        </w:tc>
      </w:tr>
      <w:tr w:rsidR="00503F6A" w:rsidRPr="00616592" w14:paraId="625E36D6" w14:textId="77777777" w:rsidTr="000D74CD">
        <w:trPr>
          <w:cantSplit/>
          <w:trHeight w:val="1772"/>
          <w:tblHeader/>
        </w:trPr>
        <w:tc>
          <w:tcPr>
            <w:tcW w:w="3145" w:type="dxa"/>
            <w:shd w:val="clear" w:color="auto" w:fill="auto"/>
          </w:tcPr>
          <w:p w14:paraId="5273C984" w14:textId="05133695" w:rsidR="00503F6A" w:rsidRPr="000E76B2" w:rsidRDefault="005B4309" w:rsidP="00EA26F0">
            <w:pPr>
              <w:spacing w:before="0" w:after="0"/>
              <w:rPr>
                <w:b/>
                <w:bCs/>
                <w:color w:val="auto"/>
                <w:szCs w:val="20"/>
                <w:shd w:val="clear" w:color="auto" w:fill="auto"/>
              </w:rPr>
            </w:pPr>
            <w:r>
              <w:rPr>
                <w:b/>
                <w:bCs/>
                <w:color w:val="auto"/>
                <w:szCs w:val="20"/>
                <w:shd w:val="clear" w:color="auto" w:fill="auto"/>
              </w:rPr>
              <w:t>September 4</w:t>
            </w:r>
            <w:r w:rsidR="0066528A">
              <w:rPr>
                <w:b/>
                <w:bCs/>
                <w:color w:val="auto"/>
                <w:szCs w:val="20"/>
                <w:shd w:val="clear" w:color="auto" w:fill="auto"/>
              </w:rPr>
              <w:t xml:space="preserve">, </w:t>
            </w:r>
            <w:r w:rsidR="00C27FD5">
              <w:rPr>
                <w:b/>
                <w:bCs/>
                <w:color w:val="auto"/>
                <w:szCs w:val="20"/>
                <w:shd w:val="clear" w:color="auto" w:fill="auto"/>
              </w:rPr>
              <w:t>2019</w:t>
            </w:r>
          </w:p>
        </w:tc>
        <w:tc>
          <w:tcPr>
            <w:tcW w:w="5693" w:type="dxa"/>
            <w:shd w:val="clear" w:color="auto" w:fill="auto"/>
          </w:tcPr>
          <w:p w14:paraId="3F06B900" w14:textId="1DFD5402" w:rsidR="00503F6A" w:rsidRPr="00616592" w:rsidRDefault="00503F6A" w:rsidP="00A836AA">
            <w:pPr>
              <w:spacing w:before="0" w:after="0"/>
              <w:rPr>
                <w:bCs/>
                <w:color w:val="auto"/>
                <w:szCs w:val="20"/>
                <w:shd w:val="clear" w:color="auto" w:fill="auto"/>
              </w:rPr>
            </w:pPr>
            <w:r w:rsidRPr="00616592">
              <w:rPr>
                <w:bCs/>
                <w:color w:val="auto"/>
                <w:szCs w:val="20"/>
                <w:shd w:val="clear" w:color="auto" w:fill="auto"/>
              </w:rPr>
              <w:t>Applicants are notified if they have been disqualified based on CDE screening of applications</w:t>
            </w:r>
            <w:r w:rsidR="009C342A">
              <w:rPr>
                <w:bCs/>
                <w:color w:val="auto"/>
                <w:szCs w:val="20"/>
                <w:shd w:val="clear" w:color="auto" w:fill="auto"/>
              </w:rPr>
              <w:t>.</w:t>
            </w:r>
          </w:p>
          <w:p w14:paraId="11B86C55" w14:textId="77777777" w:rsidR="002477DA" w:rsidRPr="002477DA" w:rsidRDefault="002477DA" w:rsidP="002477DA">
            <w:pPr>
              <w:spacing w:before="0" w:after="0"/>
              <w:rPr>
                <w:bCs/>
                <w:color w:val="auto"/>
                <w:szCs w:val="20"/>
                <w:shd w:val="clear" w:color="auto" w:fill="auto"/>
              </w:rPr>
            </w:pPr>
            <w:r w:rsidRPr="002477DA">
              <w:rPr>
                <w:bCs/>
                <w:color w:val="auto"/>
                <w:szCs w:val="20"/>
                <w:shd w:val="clear" w:color="auto" w:fill="auto"/>
              </w:rPr>
              <w:t>Appeals are due to the CDE 10 days after notification of disqualification.</w:t>
            </w:r>
          </w:p>
          <w:p w14:paraId="507CE4B1" w14:textId="6B20C0A8" w:rsidR="00503F6A" w:rsidRPr="00616592" w:rsidRDefault="002477DA" w:rsidP="002477DA">
            <w:pPr>
              <w:spacing w:before="0" w:after="0"/>
              <w:rPr>
                <w:bCs/>
                <w:color w:val="auto"/>
                <w:szCs w:val="20"/>
                <w:shd w:val="clear" w:color="auto" w:fill="auto"/>
              </w:rPr>
            </w:pPr>
            <w:r w:rsidRPr="002477DA">
              <w:rPr>
                <w:bCs/>
                <w:color w:val="auto"/>
                <w:szCs w:val="20"/>
                <w:shd w:val="clear" w:color="auto" w:fill="auto"/>
              </w:rPr>
              <w:t>Review and scoring of eligible applications.</w:t>
            </w:r>
          </w:p>
        </w:tc>
      </w:tr>
      <w:tr w:rsidR="00503F6A" w:rsidRPr="00616592" w14:paraId="7B27A799" w14:textId="77777777" w:rsidTr="008666AE">
        <w:trPr>
          <w:cantSplit/>
          <w:trHeight w:val="1178"/>
          <w:tblHeader/>
        </w:trPr>
        <w:tc>
          <w:tcPr>
            <w:tcW w:w="3145" w:type="dxa"/>
            <w:shd w:val="clear" w:color="auto" w:fill="auto"/>
          </w:tcPr>
          <w:p w14:paraId="536A9618" w14:textId="4D21B304" w:rsidR="00503F6A" w:rsidRPr="00FE263E" w:rsidRDefault="005B4309" w:rsidP="00A836AA">
            <w:pPr>
              <w:spacing w:before="0" w:after="0"/>
              <w:rPr>
                <w:b/>
                <w:bCs/>
                <w:color w:val="auto"/>
                <w:szCs w:val="20"/>
                <w:shd w:val="clear" w:color="auto" w:fill="auto"/>
              </w:rPr>
            </w:pPr>
            <w:r>
              <w:rPr>
                <w:b/>
                <w:bCs/>
                <w:color w:val="auto"/>
                <w:szCs w:val="20"/>
                <w:shd w:val="clear" w:color="auto" w:fill="auto"/>
              </w:rPr>
              <w:t>September 10</w:t>
            </w:r>
            <w:r w:rsidR="0066528A">
              <w:rPr>
                <w:b/>
                <w:bCs/>
                <w:color w:val="auto"/>
                <w:szCs w:val="20"/>
                <w:shd w:val="clear" w:color="auto" w:fill="auto"/>
              </w:rPr>
              <w:t xml:space="preserve">, </w:t>
            </w:r>
            <w:r w:rsidR="00C27FD5">
              <w:rPr>
                <w:b/>
                <w:bCs/>
                <w:color w:val="auto"/>
                <w:szCs w:val="20"/>
                <w:shd w:val="clear" w:color="auto" w:fill="auto"/>
              </w:rPr>
              <w:t>2019</w:t>
            </w:r>
          </w:p>
        </w:tc>
        <w:tc>
          <w:tcPr>
            <w:tcW w:w="5693" w:type="dxa"/>
            <w:shd w:val="clear" w:color="auto" w:fill="auto"/>
          </w:tcPr>
          <w:p w14:paraId="3B0CF534" w14:textId="2A3D872E" w:rsidR="00503F6A" w:rsidRPr="00616592" w:rsidRDefault="00503F6A" w:rsidP="0063546D">
            <w:pPr>
              <w:spacing w:before="0" w:after="0"/>
              <w:rPr>
                <w:bCs/>
                <w:color w:val="auto"/>
                <w:szCs w:val="20"/>
                <w:shd w:val="clear" w:color="auto" w:fill="auto"/>
              </w:rPr>
            </w:pPr>
            <w:r w:rsidRPr="00616592">
              <w:rPr>
                <w:bCs/>
                <w:color w:val="auto"/>
                <w:szCs w:val="20"/>
                <w:shd w:val="clear" w:color="auto" w:fill="auto"/>
              </w:rPr>
              <w:t xml:space="preserve">Intent to Award (ITA) is posted on the CDE </w:t>
            </w:r>
            <w:r w:rsidR="007822F5">
              <w:rPr>
                <w:bCs/>
                <w:color w:val="auto"/>
                <w:szCs w:val="20"/>
                <w:shd w:val="clear" w:color="auto" w:fill="auto"/>
              </w:rPr>
              <w:t>RFA</w:t>
            </w:r>
            <w:r w:rsidRPr="00616592">
              <w:rPr>
                <w:bCs/>
                <w:color w:val="auto"/>
                <w:szCs w:val="20"/>
                <w:shd w:val="clear" w:color="auto" w:fill="auto"/>
              </w:rPr>
              <w:t xml:space="preserve"> web page (the I</w:t>
            </w:r>
            <w:r w:rsidR="00610A31" w:rsidRPr="00616592">
              <w:rPr>
                <w:bCs/>
                <w:color w:val="auto"/>
                <w:szCs w:val="20"/>
                <w:shd w:val="clear" w:color="auto" w:fill="auto"/>
              </w:rPr>
              <w:t xml:space="preserve">TA is </w:t>
            </w:r>
            <w:r w:rsidR="00612CDA" w:rsidRPr="00612CDA">
              <w:rPr>
                <w:b/>
                <w:bCs/>
                <w:color w:val="auto"/>
                <w:szCs w:val="20"/>
                <w:shd w:val="clear" w:color="auto" w:fill="auto"/>
              </w:rPr>
              <w:t>not</w:t>
            </w:r>
            <w:r w:rsidR="00610A31" w:rsidRPr="00616592">
              <w:rPr>
                <w:bCs/>
                <w:color w:val="auto"/>
                <w:szCs w:val="20"/>
                <w:shd w:val="clear" w:color="auto" w:fill="auto"/>
              </w:rPr>
              <w:t xml:space="preserve"> the final funding decision</w:t>
            </w:r>
            <w:r w:rsidRPr="00616592">
              <w:rPr>
                <w:bCs/>
                <w:color w:val="auto"/>
                <w:szCs w:val="20"/>
                <w:shd w:val="clear" w:color="auto" w:fill="auto"/>
              </w:rPr>
              <w:t>)</w:t>
            </w:r>
            <w:r w:rsidR="00637A40">
              <w:rPr>
                <w:bCs/>
                <w:color w:val="auto"/>
                <w:szCs w:val="20"/>
                <w:shd w:val="clear" w:color="auto" w:fill="auto"/>
              </w:rPr>
              <w:t xml:space="preserve"> </w:t>
            </w:r>
            <w:r w:rsidR="000D74CD" w:rsidRPr="00616592">
              <w:rPr>
                <w:bCs/>
                <w:color w:val="auto"/>
                <w:szCs w:val="20"/>
                <w:shd w:val="clear" w:color="auto" w:fill="auto"/>
              </w:rPr>
              <w:t xml:space="preserve">on </w:t>
            </w:r>
            <w:r w:rsidR="000D74CD" w:rsidRPr="003D4FB0">
              <w:rPr>
                <w:bCs/>
                <w:color w:val="auto"/>
                <w:szCs w:val="20"/>
                <w:shd w:val="clear" w:color="auto" w:fill="auto"/>
              </w:rPr>
              <w:t xml:space="preserve">the CDE </w:t>
            </w:r>
            <w:r w:rsidR="008666AE">
              <w:rPr>
                <w:bCs/>
                <w:color w:val="auto"/>
                <w:szCs w:val="20"/>
                <w:shd w:val="clear" w:color="auto" w:fill="auto"/>
              </w:rPr>
              <w:t>Request for Applications</w:t>
            </w:r>
            <w:r w:rsidR="000D74CD" w:rsidRPr="00750D4E">
              <w:rPr>
                <w:bCs/>
                <w:color w:val="auto"/>
                <w:szCs w:val="20"/>
                <w:shd w:val="clear" w:color="auto" w:fill="auto"/>
              </w:rPr>
              <w:t xml:space="preserve"> </w:t>
            </w:r>
            <w:r w:rsidR="000D74CD" w:rsidRPr="00616592">
              <w:rPr>
                <w:bCs/>
                <w:color w:val="auto"/>
                <w:szCs w:val="20"/>
                <w:shd w:val="clear" w:color="auto" w:fill="auto"/>
              </w:rPr>
              <w:t xml:space="preserve">web page at </w:t>
            </w:r>
            <w:hyperlink r:id="rId17" w:tooltip="Capacity Building Provider Grant Request for Applications web page" w:history="1">
              <w:r w:rsidR="0063546D" w:rsidRPr="00727022">
                <w:rPr>
                  <w:rStyle w:val="Hyperlink"/>
                  <w:bCs/>
                  <w:szCs w:val="20"/>
                  <w:shd w:val="clear" w:color="auto" w:fill="auto"/>
                </w:rPr>
                <w:t>https://www.cde.ca.gov/fg/fo/r8/cbprfa.asp</w:t>
              </w:r>
            </w:hyperlink>
            <w:r w:rsidR="00FC4E88" w:rsidRPr="00FC4E88">
              <w:rPr>
                <w:rStyle w:val="Hyperlink"/>
                <w:bCs/>
                <w:szCs w:val="20"/>
                <w:u w:val="none"/>
                <w:shd w:val="clear" w:color="auto" w:fill="auto"/>
              </w:rPr>
              <w:t>.</w:t>
            </w:r>
          </w:p>
        </w:tc>
      </w:tr>
      <w:tr w:rsidR="00503F6A" w:rsidRPr="00616592" w14:paraId="67054531" w14:textId="77777777" w:rsidTr="00BE59BF">
        <w:trPr>
          <w:cantSplit/>
          <w:trHeight w:val="1430"/>
          <w:tblHeader/>
        </w:trPr>
        <w:tc>
          <w:tcPr>
            <w:tcW w:w="3145" w:type="dxa"/>
            <w:shd w:val="clear" w:color="auto" w:fill="auto"/>
          </w:tcPr>
          <w:p w14:paraId="3B55A55F" w14:textId="20DD85D5" w:rsidR="00503F6A" w:rsidRPr="00FE263E" w:rsidRDefault="0066528A" w:rsidP="00A836AA">
            <w:pPr>
              <w:spacing w:before="0" w:after="0"/>
              <w:rPr>
                <w:b/>
                <w:bCs/>
                <w:color w:val="auto"/>
                <w:szCs w:val="20"/>
                <w:shd w:val="clear" w:color="auto" w:fill="auto"/>
              </w:rPr>
            </w:pPr>
            <w:r>
              <w:rPr>
                <w:b/>
                <w:bCs/>
                <w:color w:val="auto"/>
                <w:szCs w:val="20"/>
                <w:shd w:val="clear" w:color="auto" w:fill="auto"/>
              </w:rPr>
              <w:t xml:space="preserve">September </w:t>
            </w:r>
            <w:r w:rsidR="005B4309">
              <w:rPr>
                <w:b/>
                <w:bCs/>
                <w:color w:val="auto"/>
                <w:szCs w:val="20"/>
                <w:shd w:val="clear" w:color="auto" w:fill="auto"/>
              </w:rPr>
              <w:t>17</w:t>
            </w:r>
            <w:r>
              <w:rPr>
                <w:b/>
                <w:bCs/>
                <w:color w:val="auto"/>
                <w:szCs w:val="20"/>
                <w:shd w:val="clear" w:color="auto" w:fill="auto"/>
              </w:rPr>
              <w:t>,</w:t>
            </w:r>
            <w:r w:rsidR="00AD0FC0">
              <w:rPr>
                <w:b/>
                <w:bCs/>
                <w:color w:val="auto"/>
                <w:szCs w:val="20"/>
                <w:shd w:val="clear" w:color="auto" w:fill="auto"/>
              </w:rPr>
              <w:t xml:space="preserve"> </w:t>
            </w:r>
            <w:r w:rsidR="00C27FD5">
              <w:rPr>
                <w:b/>
                <w:bCs/>
                <w:color w:val="auto"/>
                <w:szCs w:val="20"/>
                <w:shd w:val="clear" w:color="auto" w:fill="auto"/>
              </w:rPr>
              <w:t>2019</w:t>
            </w:r>
          </w:p>
        </w:tc>
        <w:tc>
          <w:tcPr>
            <w:tcW w:w="5693" w:type="dxa"/>
            <w:shd w:val="clear" w:color="auto" w:fill="auto"/>
          </w:tcPr>
          <w:p w14:paraId="5FB6130A" w14:textId="774C858C" w:rsidR="00503F6A" w:rsidRPr="00616592" w:rsidRDefault="00503F6A" w:rsidP="0063546D">
            <w:pPr>
              <w:spacing w:before="0" w:after="0"/>
              <w:rPr>
                <w:bCs/>
                <w:color w:val="auto"/>
                <w:szCs w:val="20"/>
                <w:shd w:val="clear" w:color="auto" w:fill="auto"/>
              </w:rPr>
            </w:pPr>
            <w:r w:rsidRPr="00616592">
              <w:rPr>
                <w:bCs/>
                <w:color w:val="auto"/>
                <w:szCs w:val="20"/>
                <w:shd w:val="clear" w:color="auto" w:fill="auto"/>
              </w:rPr>
              <w:t xml:space="preserve">Final Funding </w:t>
            </w:r>
            <w:r w:rsidR="00610A31" w:rsidRPr="00616592">
              <w:rPr>
                <w:bCs/>
                <w:color w:val="auto"/>
                <w:szCs w:val="20"/>
                <w:shd w:val="clear" w:color="auto" w:fill="auto"/>
              </w:rPr>
              <w:t>Decision</w:t>
            </w:r>
            <w:r w:rsidRPr="00616592">
              <w:rPr>
                <w:bCs/>
                <w:color w:val="auto"/>
                <w:szCs w:val="20"/>
                <w:shd w:val="clear" w:color="auto" w:fill="auto"/>
              </w:rPr>
              <w:t xml:space="preserve"> is posted on the CDE </w:t>
            </w:r>
            <w:r w:rsidR="007822F5">
              <w:rPr>
                <w:bCs/>
                <w:color w:val="auto"/>
                <w:szCs w:val="20"/>
                <w:shd w:val="clear" w:color="auto" w:fill="auto"/>
              </w:rPr>
              <w:t>RFA</w:t>
            </w:r>
            <w:r w:rsidRPr="00616592">
              <w:rPr>
                <w:bCs/>
                <w:color w:val="auto"/>
                <w:szCs w:val="20"/>
                <w:shd w:val="clear" w:color="auto" w:fill="auto"/>
              </w:rPr>
              <w:t xml:space="preserve"> web page (once all data is verified and appeals are decided)</w:t>
            </w:r>
            <w:r w:rsidR="00637A40">
              <w:rPr>
                <w:bCs/>
                <w:color w:val="auto"/>
                <w:szCs w:val="20"/>
                <w:shd w:val="clear" w:color="auto" w:fill="auto"/>
              </w:rPr>
              <w:t xml:space="preserve"> </w:t>
            </w:r>
            <w:r w:rsidR="000D74CD" w:rsidRPr="00616592">
              <w:rPr>
                <w:bCs/>
                <w:color w:val="auto"/>
                <w:szCs w:val="20"/>
                <w:shd w:val="clear" w:color="auto" w:fill="auto"/>
              </w:rPr>
              <w:t xml:space="preserve">on </w:t>
            </w:r>
            <w:r w:rsidR="000D74CD" w:rsidRPr="003D4FB0">
              <w:rPr>
                <w:bCs/>
                <w:color w:val="auto"/>
                <w:szCs w:val="20"/>
                <w:shd w:val="clear" w:color="auto" w:fill="auto"/>
              </w:rPr>
              <w:t xml:space="preserve">the CDE </w:t>
            </w:r>
            <w:r w:rsidR="00BE59BF">
              <w:rPr>
                <w:bCs/>
                <w:color w:val="auto"/>
                <w:szCs w:val="20"/>
                <w:shd w:val="clear" w:color="auto" w:fill="auto"/>
              </w:rPr>
              <w:t>Request for Applications</w:t>
            </w:r>
            <w:r w:rsidR="000D74CD" w:rsidRPr="00750D4E">
              <w:rPr>
                <w:bCs/>
                <w:color w:val="auto"/>
                <w:szCs w:val="20"/>
                <w:shd w:val="clear" w:color="auto" w:fill="auto"/>
              </w:rPr>
              <w:t xml:space="preserve"> </w:t>
            </w:r>
            <w:r w:rsidR="000D74CD" w:rsidRPr="00616592">
              <w:rPr>
                <w:bCs/>
                <w:color w:val="auto"/>
                <w:szCs w:val="20"/>
                <w:shd w:val="clear" w:color="auto" w:fill="auto"/>
              </w:rPr>
              <w:t xml:space="preserve">web page at </w:t>
            </w:r>
            <w:hyperlink r:id="rId18" w:tooltip="Capacity Building Provider Grant Request for Applications web page" w:history="1">
              <w:r w:rsidR="00A97250" w:rsidRPr="00727022">
                <w:rPr>
                  <w:rStyle w:val="Hyperlink"/>
                  <w:bCs/>
                  <w:szCs w:val="20"/>
                  <w:shd w:val="clear" w:color="auto" w:fill="auto"/>
                </w:rPr>
                <w:t>https://www.cde.ca.gov/fg/fo/r8/cbprfa.asp</w:t>
              </w:r>
            </w:hyperlink>
            <w:r w:rsidR="00FC4E88" w:rsidRPr="00FC4E88">
              <w:rPr>
                <w:rStyle w:val="Hyperlink"/>
                <w:bCs/>
                <w:szCs w:val="20"/>
                <w:u w:val="none"/>
                <w:shd w:val="clear" w:color="auto" w:fill="auto"/>
              </w:rPr>
              <w:t>.</w:t>
            </w:r>
          </w:p>
        </w:tc>
      </w:tr>
      <w:tr w:rsidR="00503F6A" w:rsidRPr="00616592" w14:paraId="1328C2BE" w14:textId="77777777" w:rsidTr="00651327">
        <w:trPr>
          <w:cantSplit/>
          <w:trHeight w:val="576"/>
          <w:tblHeader/>
        </w:trPr>
        <w:tc>
          <w:tcPr>
            <w:tcW w:w="3145" w:type="dxa"/>
            <w:shd w:val="clear" w:color="auto" w:fill="auto"/>
          </w:tcPr>
          <w:p w14:paraId="503C4B7B" w14:textId="6D640D00" w:rsidR="00503F6A" w:rsidRPr="00FE263E" w:rsidRDefault="0066528A" w:rsidP="00A836AA">
            <w:pPr>
              <w:spacing w:before="0" w:after="0"/>
              <w:rPr>
                <w:b/>
                <w:bCs/>
                <w:color w:val="auto"/>
                <w:szCs w:val="20"/>
                <w:shd w:val="clear" w:color="auto" w:fill="auto"/>
              </w:rPr>
            </w:pPr>
            <w:r>
              <w:rPr>
                <w:b/>
                <w:bCs/>
                <w:color w:val="auto"/>
                <w:szCs w:val="20"/>
                <w:shd w:val="clear" w:color="auto" w:fill="auto"/>
              </w:rPr>
              <w:t>S</w:t>
            </w:r>
            <w:r w:rsidR="005B4309">
              <w:rPr>
                <w:b/>
                <w:bCs/>
                <w:color w:val="auto"/>
                <w:szCs w:val="20"/>
                <w:shd w:val="clear" w:color="auto" w:fill="auto"/>
              </w:rPr>
              <w:t>eptember 20</w:t>
            </w:r>
            <w:r>
              <w:rPr>
                <w:b/>
                <w:bCs/>
                <w:color w:val="auto"/>
                <w:szCs w:val="20"/>
                <w:shd w:val="clear" w:color="auto" w:fill="auto"/>
              </w:rPr>
              <w:t>,</w:t>
            </w:r>
            <w:r w:rsidR="00AD0FC0">
              <w:rPr>
                <w:b/>
                <w:bCs/>
                <w:color w:val="auto"/>
                <w:szCs w:val="20"/>
                <w:shd w:val="clear" w:color="auto" w:fill="auto"/>
              </w:rPr>
              <w:t xml:space="preserve"> </w:t>
            </w:r>
            <w:r w:rsidR="00C27FD5">
              <w:rPr>
                <w:b/>
                <w:bCs/>
                <w:color w:val="auto"/>
                <w:szCs w:val="20"/>
                <w:shd w:val="clear" w:color="auto" w:fill="auto"/>
              </w:rPr>
              <w:t>2019</w:t>
            </w:r>
          </w:p>
        </w:tc>
        <w:tc>
          <w:tcPr>
            <w:tcW w:w="5693" w:type="dxa"/>
            <w:shd w:val="clear" w:color="auto" w:fill="auto"/>
          </w:tcPr>
          <w:p w14:paraId="34288FFE" w14:textId="58B97986" w:rsidR="00503F6A" w:rsidRPr="00616592" w:rsidRDefault="000E76B2" w:rsidP="006D1034">
            <w:pPr>
              <w:spacing w:before="0" w:after="0"/>
              <w:rPr>
                <w:bCs/>
                <w:color w:val="auto"/>
                <w:szCs w:val="20"/>
                <w:shd w:val="clear" w:color="auto" w:fill="auto"/>
              </w:rPr>
            </w:pPr>
            <w:r>
              <w:rPr>
                <w:bCs/>
                <w:color w:val="auto"/>
                <w:szCs w:val="20"/>
                <w:shd w:val="clear" w:color="auto" w:fill="auto"/>
              </w:rPr>
              <w:t>AO-400</w:t>
            </w:r>
            <w:r w:rsidR="00610A31" w:rsidRPr="00616592">
              <w:rPr>
                <w:bCs/>
                <w:color w:val="auto"/>
                <w:szCs w:val="20"/>
                <w:shd w:val="clear" w:color="auto" w:fill="auto"/>
              </w:rPr>
              <w:t xml:space="preserve"> sent to </w:t>
            </w:r>
            <w:r w:rsidR="00486D75">
              <w:rPr>
                <w:bCs/>
                <w:color w:val="auto"/>
                <w:szCs w:val="20"/>
                <w:shd w:val="clear" w:color="auto" w:fill="auto"/>
              </w:rPr>
              <w:t xml:space="preserve">the </w:t>
            </w:r>
            <w:r w:rsidR="006D1034">
              <w:rPr>
                <w:bCs/>
                <w:color w:val="auto"/>
                <w:szCs w:val="20"/>
                <w:shd w:val="clear" w:color="auto" w:fill="auto"/>
              </w:rPr>
              <w:t>g</w:t>
            </w:r>
            <w:r w:rsidR="00486D75">
              <w:rPr>
                <w:bCs/>
                <w:color w:val="auto"/>
                <w:szCs w:val="20"/>
                <w:shd w:val="clear" w:color="auto" w:fill="auto"/>
              </w:rPr>
              <w:t>rantee</w:t>
            </w:r>
            <w:r w:rsidR="00054647">
              <w:rPr>
                <w:bCs/>
                <w:color w:val="auto"/>
                <w:szCs w:val="20"/>
                <w:shd w:val="clear" w:color="auto" w:fill="auto"/>
              </w:rPr>
              <w:t>.</w:t>
            </w:r>
          </w:p>
        </w:tc>
      </w:tr>
      <w:tr w:rsidR="00503F6A" w:rsidRPr="00616592" w14:paraId="34B0EDCB" w14:textId="77777777" w:rsidTr="00651327">
        <w:trPr>
          <w:cantSplit/>
          <w:trHeight w:val="576"/>
          <w:tblHeader/>
        </w:trPr>
        <w:tc>
          <w:tcPr>
            <w:tcW w:w="3145" w:type="dxa"/>
            <w:shd w:val="clear" w:color="auto" w:fill="auto"/>
          </w:tcPr>
          <w:p w14:paraId="1DC3A0BB" w14:textId="4DC4765E" w:rsidR="00503F6A" w:rsidRPr="00FE263E" w:rsidRDefault="00FE4826" w:rsidP="00A836AA">
            <w:pPr>
              <w:spacing w:before="0" w:after="0"/>
              <w:rPr>
                <w:b/>
                <w:bCs/>
                <w:color w:val="auto"/>
                <w:szCs w:val="20"/>
                <w:shd w:val="clear" w:color="auto" w:fill="auto"/>
              </w:rPr>
            </w:pPr>
            <w:r>
              <w:rPr>
                <w:b/>
                <w:bCs/>
                <w:color w:val="auto"/>
                <w:szCs w:val="20"/>
                <w:shd w:val="clear" w:color="auto" w:fill="auto"/>
              </w:rPr>
              <w:t xml:space="preserve">October </w:t>
            </w:r>
            <w:r w:rsidRPr="00FE263E">
              <w:rPr>
                <w:b/>
                <w:bCs/>
                <w:color w:val="auto"/>
                <w:szCs w:val="20"/>
                <w:shd w:val="clear" w:color="auto" w:fill="auto"/>
              </w:rPr>
              <w:t xml:space="preserve"> </w:t>
            </w:r>
            <w:r w:rsidR="00503F6A" w:rsidRPr="00FE263E">
              <w:rPr>
                <w:b/>
                <w:bCs/>
                <w:color w:val="auto"/>
                <w:szCs w:val="20"/>
                <w:shd w:val="clear" w:color="auto" w:fill="auto"/>
              </w:rPr>
              <w:t>1, 2019</w:t>
            </w:r>
          </w:p>
        </w:tc>
        <w:tc>
          <w:tcPr>
            <w:tcW w:w="5693" w:type="dxa"/>
            <w:shd w:val="clear" w:color="auto" w:fill="auto"/>
          </w:tcPr>
          <w:p w14:paraId="74F9F821" w14:textId="5E7800BD" w:rsidR="00503F6A" w:rsidRPr="00616592" w:rsidRDefault="00503F6A" w:rsidP="00A836AA">
            <w:pPr>
              <w:spacing w:before="0" w:after="0"/>
              <w:rPr>
                <w:bCs/>
                <w:color w:val="auto"/>
                <w:szCs w:val="20"/>
                <w:shd w:val="clear" w:color="auto" w:fill="auto"/>
              </w:rPr>
            </w:pPr>
            <w:r w:rsidRPr="00616592">
              <w:rPr>
                <w:bCs/>
                <w:color w:val="auto"/>
                <w:szCs w:val="20"/>
                <w:shd w:val="clear" w:color="auto" w:fill="auto"/>
              </w:rPr>
              <w:t>Grant period begins</w:t>
            </w:r>
            <w:r w:rsidR="00054647">
              <w:rPr>
                <w:bCs/>
                <w:color w:val="auto"/>
                <w:szCs w:val="20"/>
                <w:shd w:val="clear" w:color="auto" w:fill="auto"/>
              </w:rPr>
              <w:t>.</w:t>
            </w:r>
          </w:p>
        </w:tc>
      </w:tr>
    </w:tbl>
    <w:p w14:paraId="216E077D" w14:textId="77777777" w:rsidR="007F076C" w:rsidRPr="00616592" w:rsidRDefault="007F076C" w:rsidP="009E1F8E">
      <w:pPr>
        <w:pStyle w:val="Heading2"/>
        <w:sectPr w:rsidR="007F076C" w:rsidRPr="00616592" w:rsidSect="000B1527">
          <w:headerReference w:type="first" r:id="rId19"/>
          <w:footerReference w:type="first" r:id="rId20"/>
          <w:pgSz w:w="12240" w:h="15840"/>
          <w:pgMar w:top="1440" w:right="1440" w:bottom="1440" w:left="1440" w:header="720" w:footer="720" w:gutter="0"/>
          <w:pgNumType w:start="1"/>
          <w:cols w:space="720"/>
          <w:docGrid w:linePitch="360"/>
        </w:sectPr>
      </w:pPr>
    </w:p>
    <w:p w14:paraId="7C5A70A0" w14:textId="77777777" w:rsidR="00FA01F5" w:rsidRPr="00FA01F5" w:rsidRDefault="00FA01F5" w:rsidP="00A44586">
      <w:pPr>
        <w:pStyle w:val="Heading3"/>
        <w:numPr>
          <w:ilvl w:val="0"/>
          <w:numId w:val="21"/>
        </w:numPr>
      </w:pPr>
      <w:bookmarkStart w:id="20" w:name="_Toc5882525"/>
      <w:bookmarkStart w:id="21" w:name="_Toc8915773"/>
      <w:bookmarkEnd w:id="16"/>
      <w:bookmarkEnd w:id="15"/>
      <w:r w:rsidRPr="00FA01F5">
        <w:lastRenderedPageBreak/>
        <w:t>Description and Purpose of the Program</w:t>
      </w:r>
      <w:bookmarkEnd w:id="20"/>
      <w:bookmarkEnd w:id="21"/>
    </w:p>
    <w:p w14:paraId="4EEB3E23" w14:textId="1D7EF0A7" w:rsidR="006707C1" w:rsidRPr="009E1F8E" w:rsidRDefault="006707C1" w:rsidP="0024561D">
      <w:pPr>
        <w:pStyle w:val="Heading4"/>
      </w:pPr>
      <w:bookmarkStart w:id="22" w:name="_Toc8915774"/>
      <w:r w:rsidRPr="009E1F8E">
        <w:t>Background</w:t>
      </w:r>
      <w:bookmarkEnd w:id="22"/>
    </w:p>
    <w:p w14:paraId="31CAE578" w14:textId="21792A58" w:rsidR="000E2E7F" w:rsidRPr="00616592" w:rsidRDefault="000E2E7F" w:rsidP="001834EA">
      <w:pPr>
        <w:spacing w:after="0"/>
        <w:ind w:left="1080"/>
      </w:pPr>
      <w:r w:rsidRPr="00616592">
        <w:t xml:space="preserve">The </w:t>
      </w:r>
      <w:r w:rsidR="00955E22">
        <w:t>California Department of Education (</w:t>
      </w:r>
      <w:r w:rsidRPr="00616592">
        <w:t>CDE</w:t>
      </w:r>
      <w:r w:rsidR="00955E22">
        <w:t>)</w:t>
      </w:r>
      <w:r w:rsidRPr="00616592">
        <w:t xml:space="preserve"> invite</w:t>
      </w:r>
      <w:r w:rsidR="00A0255A" w:rsidRPr="00616592">
        <w:t>s</w:t>
      </w:r>
      <w:r w:rsidRPr="00616592">
        <w:t xml:space="preserve"> </w:t>
      </w:r>
      <w:r w:rsidR="00197932">
        <w:t>county</w:t>
      </w:r>
      <w:r w:rsidR="00955E22">
        <w:t xml:space="preserve"> offices of education (COE)</w:t>
      </w:r>
      <w:r w:rsidRPr="00616592">
        <w:t xml:space="preserve"> to submit a</w:t>
      </w:r>
      <w:r w:rsidR="00F369A6">
        <w:t xml:space="preserve"> grant</w:t>
      </w:r>
      <w:r w:rsidRPr="00616592">
        <w:t xml:space="preserve"> application to be named </w:t>
      </w:r>
      <w:r w:rsidR="00A0255A" w:rsidRPr="00616592">
        <w:t xml:space="preserve">the </w:t>
      </w:r>
      <w:r w:rsidR="00955E22">
        <w:t>Tobacco-Use Prevention Education (</w:t>
      </w:r>
      <w:r w:rsidR="009B4CC5">
        <w:t>TUPE</w:t>
      </w:r>
      <w:r w:rsidR="00955E22">
        <w:t>)</w:t>
      </w:r>
      <w:r w:rsidR="009B4CC5">
        <w:t xml:space="preserve"> </w:t>
      </w:r>
      <w:r w:rsidR="00955E22">
        <w:t>Capacity Building Provider (</w:t>
      </w:r>
      <w:r w:rsidR="00621EB4">
        <w:t>C</w:t>
      </w:r>
      <w:r w:rsidR="00E117AA">
        <w:t>BP</w:t>
      </w:r>
      <w:r w:rsidR="00955E22">
        <w:t>)</w:t>
      </w:r>
      <w:r w:rsidR="00F369A6">
        <w:t>,</w:t>
      </w:r>
      <w:r w:rsidR="000916DC" w:rsidRPr="00616592">
        <w:t xml:space="preserve"> </w:t>
      </w:r>
      <w:r w:rsidR="00585A7E" w:rsidRPr="00616592">
        <w:t xml:space="preserve">to provide leadership for California’s </w:t>
      </w:r>
      <w:r w:rsidR="002F2E1A" w:rsidRPr="00616592">
        <w:t xml:space="preserve">TUPE </w:t>
      </w:r>
      <w:r w:rsidR="002F2E1A" w:rsidRPr="001A3615">
        <w:rPr>
          <w:color w:val="auto"/>
        </w:rPr>
        <w:t>Program</w:t>
      </w:r>
      <w:r w:rsidR="00585A7E" w:rsidRPr="00616592">
        <w:t>.</w:t>
      </w:r>
    </w:p>
    <w:p w14:paraId="6C05713A" w14:textId="24CBE58D" w:rsidR="003C4F1A" w:rsidRPr="00616592" w:rsidRDefault="003C4F1A" w:rsidP="00442A70">
      <w:pPr>
        <w:spacing w:after="0"/>
        <w:ind w:left="1080"/>
        <w:rPr>
          <w:bCs/>
        </w:rPr>
      </w:pPr>
      <w:r w:rsidRPr="00616592">
        <w:rPr>
          <w:bCs/>
        </w:rPr>
        <w:t xml:space="preserve">In 1988, California voters approved Proposition 99, the </w:t>
      </w:r>
      <w:r w:rsidRPr="00616592">
        <w:rPr>
          <w:bCs/>
          <w:iCs/>
        </w:rPr>
        <w:t>Tobacco Tax and Health Protection Act</w:t>
      </w:r>
      <w:r w:rsidR="00955E22">
        <w:rPr>
          <w:bCs/>
        </w:rPr>
        <w:t>, which requires</w:t>
      </w:r>
      <w:r w:rsidRPr="00616592">
        <w:rPr>
          <w:bCs/>
        </w:rPr>
        <w:t xml:space="preserve"> the </w:t>
      </w:r>
      <w:r w:rsidR="00A7409A">
        <w:rPr>
          <w:bCs/>
        </w:rPr>
        <w:t xml:space="preserve">CDE to establish a </w:t>
      </w:r>
      <w:r w:rsidRPr="00616592">
        <w:rPr>
          <w:bCs/>
        </w:rPr>
        <w:t xml:space="preserve">TUPE </w:t>
      </w:r>
      <w:r w:rsidR="001A22EB">
        <w:rPr>
          <w:bCs/>
        </w:rPr>
        <w:t>P</w:t>
      </w:r>
      <w:r w:rsidRPr="00616592">
        <w:rPr>
          <w:bCs/>
        </w:rPr>
        <w:t>rogram t</w:t>
      </w:r>
      <w:r w:rsidR="00955E22">
        <w:rPr>
          <w:bCs/>
        </w:rPr>
        <w:t>o</w:t>
      </w:r>
      <w:r w:rsidRPr="00616592">
        <w:rPr>
          <w:bCs/>
        </w:rPr>
        <w:t xml:space="preserve"> provide students in grades </w:t>
      </w:r>
      <w:r w:rsidR="00E62C8F">
        <w:rPr>
          <w:bCs/>
        </w:rPr>
        <w:t xml:space="preserve">six through twelve </w:t>
      </w:r>
      <w:r w:rsidRPr="00616592">
        <w:rPr>
          <w:bCs/>
        </w:rPr>
        <w:t>inclusive with the knowledge and skills directed at the prevention of tobacco use and tobacco-related diseases.</w:t>
      </w:r>
    </w:p>
    <w:p w14:paraId="4B88C0F4" w14:textId="407B0524" w:rsidR="003C4F1A" w:rsidRPr="00616592" w:rsidRDefault="003C4F1A" w:rsidP="00442A70">
      <w:pPr>
        <w:spacing w:after="0"/>
        <w:ind w:left="1080"/>
        <w:rPr>
          <w:bCs/>
        </w:rPr>
      </w:pPr>
      <w:r w:rsidRPr="00616592">
        <w:rPr>
          <w:bCs/>
        </w:rPr>
        <w:t xml:space="preserve">In 2016, California voters additionally approved Proposition 56, which aims to further prevent and reduce the use of tobacco and nicotine products by young people in accordance with California </w:t>
      </w:r>
      <w:r w:rsidRPr="00616592">
        <w:rPr>
          <w:bCs/>
          <w:i/>
        </w:rPr>
        <w:t>Health and Safety Code</w:t>
      </w:r>
      <w:r w:rsidRPr="00616592">
        <w:rPr>
          <w:bCs/>
        </w:rPr>
        <w:t xml:space="preserve"> </w:t>
      </w:r>
      <w:r w:rsidRPr="00616592">
        <w:rPr>
          <w:bCs/>
          <w:i/>
        </w:rPr>
        <w:t>(HSC)</w:t>
      </w:r>
      <w:r w:rsidR="00955E22">
        <w:rPr>
          <w:bCs/>
        </w:rPr>
        <w:t xml:space="preserve"> Section 104420</w:t>
      </w:r>
      <w:r w:rsidRPr="00616592">
        <w:rPr>
          <w:bCs/>
        </w:rPr>
        <w:t xml:space="preserve"> and accelerate and monitor the rate of decline in tobacco-related disparities for the purpose of eliminating tobacco-related disparities (California </w:t>
      </w:r>
      <w:r w:rsidRPr="00616592">
        <w:rPr>
          <w:bCs/>
          <w:i/>
        </w:rPr>
        <w:t>Revenue and Taxation Code</w:t>
      </w:r>
      <w:r w:rsidRPr="00616592">
        <w:rPr>
          <w:bCs/>
        </w:rPr>
        <w:t xml:space="preserve"> Section 30130.55[b][2]</w:t>
      </w:r>
      <w:r w:rsidRPr="00616592">
        <w:rPr>
          <w:bCs/>
          <w:i/>
        </w:rPr>
        <w:t xml:space="preserve"> Healthcare, Research and Prevention Tobacco Tax Act of 2016</w:t>
      </w:r>
      <w:r w:rsidRPr="00616592">
        <w:rPr>
          <w:bCs/>
        </w:rPr>
        <w:t>,</w:t>
      </w:r>
      <w:r w:rsidRPr="00616592">
        <w:rPr>
          <w:bCs/>
          <w:i/>
        </w:rPr>
        <w:t xml:space="preserve"> Distribution of Revenue</w:t>
      </w:r>
      <w:r w:rsidRPr="00616592">
        <w:rPr>
          <w:bCs/>
        </w:rPr>
        <w:t xml:space="preserve">). The authorizing legislation can be found on the California </w:t>
      </w:r>
      <w:r w:rsidR="00A705C7">
        <w:rPr>
          <w:bCs/>
        </w:rPr>
        <w:t>Legislative Information</w:t>
      </w:r>
      <w:r w:rsidRPr="00616592">
        <w:rPr>
          <w:bCs/>
        </w:rPr>
        <w:t xml:space="preserve"> website at </w:t>
      </w:r>
      <w:hyperlink r:id="rId21" w:tooltip="Legislative information web page" w:history="1">
        <w:r w:rsidRPr="00616592">
          <w:rPr>
            <w:rStyle w:val="Hyperlink"/>
            <w:bCs/>
          </w:rPr>
          <w:t>https://leginfo.legislature.ca.gov/</w:t>
        </w:r>
      </w:hyperlink>
      <w:r w:rsidRPr="00616592">
        <w:rPr>
          <w:bCs/>
        </w:rPr>
        <w:t xml:space="preserve">. </w:t>
      </w:r>
    </w:p>
    <w:p w14:paraId="585F3618" w14:textId="2E7FC345" w:rsidR="003C4F1A" w:rsidRPr="00616592" w:rsidRDefault="003C4F1A" w:rsidP="005F0F12">
      <w:pPr>
        <w:spacing w:after="0"/>
        <w:ind w:left="1080"/>
        <w:rPr>
          <w:bCs/>
        </w:rPr>
      </w:pPr>
      <w:r w:rsidRPr="00616592">
        <w:rPr>
          <w:bCs/>
        </w:rPr>
        <w:t xml:space="preserve">Several grant programs were developed as a result of the passage of Proposition 99 and Proposition 56. </w:t>
      </w:r>
      <w:r w:rsidR="00955E22">
        <w:rPr>
          <w:bCs/>
        </w:rPr>
        <w:t xml:space="preserve">The CDE </w:t>
      </w:r>
      <w:r w:rsidR="00873940">
        <w:rPr>
          <w:bCs/>
        </w:rPr>
        <w:t xml:space="preserve">instituted </w:t>
      </w:r>
      <w:r w:rsidR="00D771BE">
        <w:rPr>
          <w:bCs/>
        </w:rPr>
        <w:t>grant</w:t>
      </w:r>
      <w:r w:rsidR="00873940">
        <w:rPr>
          <w:bCs/>
        </w:rPr>
        <w:t xml:space="preserve"> program</w:t>
      </w:r>
      <w:r w:rsidR="00D771BE">
        <w:rPr>
          <w:bCs/>
        </w:rPr>
        <w:t>s</w:t>
      </w:r>
      <w:r w:rsidRPr="00616592">
        <w:rPr>
          <w:bCs/>
        </w:rPr>
        <w:t xml:space="preserve"> for school districts, direct-funded charter schools, COE</w:t>
      </w:r>
      <w:r w:rsidR="00AB3C39">
        <w:rPr>
          <w:bCs/>
        </w:rPr>
        <w:t>s</w:t>
      </w:r>
      <w:r w:rsidR="00DA1741">
        <w:rPr>
          <w:bCs/>
        </w:rPr>
        <w:t>, and consortia</w:t>
      </w:r>
      <w:r w:rsidRPr="00616592">
        <w:rPr>
          <w:bCs/>
        </w:rPr>
        <w:t xml:space="preserve"> </w:t>
      </w:r>
      <w:r w:rsidR="00D771BE">
        <w:rPr>
          <w:bCs/>
        </w:rPr>
        <w:t>to conduct tobacco-use prevention activities for students</w:t>
      </w:r>
      <w:r w:rsidR="00D364E1">
        <w:rPr>
          <w:bCs/>
        </w:rPr>
        <w:t>, including program</w:t>
      </w:r>
      <w:r w:rsidR="00710CB4">
        <w:rPr>
          <w:bCs/>
        </w:rPr>
        <w:t>s to address health disparities</w:t>
      </w:r>
      <w:r w:rsidR="00D771BE">
        <w:rPr>
          <w:bCs/>
        </w:rPr>
        <w:t xml:space="preserve">. These grants </w:t>
      </w:r>
      <w:r w:rsidRPr="00616592">
        <w:rPr>
          <w:bCs/>
        </w:rPr>
        <w:t xml:space="preserve">fund the </w:t>
      </w:r>
      <w:r w:rsidR="00D771BE">
        <w:rPr>
          <w:bCs/>
        </w:rPr>
        <w:t>implementation</w:t>
      </w:r>
      <w:r w:rsidR="00D771BE" w:rsidRPr="00616592">
        <w:rPr>
          <w:bCs/>
        </w:rPr>
        <w:t xml:space="preserve"> </w:t>
      </w:r>
      <w:r w:rsidRPr="00616592">
        <w:rPr>
          <w:bCs/>
        </w:rPr>
        <w:t>of comprehensive, evidence-based tobacco-use prevention</w:t>
      </w:r>
      <w:r w:rsidR="00D364E1">
        <w:rPr>
          <w:bCs/>
        </w:rPr>
        <w:t xml:space="preserve"> programs.  Comprehensive programs include</w:t>
      </w:r>
      <w:r w:rsidRPr="00616592">
        <w:rPr>
          <w:bCs/>
        </w:rPr>
        <w:t xml:space="preserve"> youth development</w:t>
      </w:r>
      <w:r w:rsidR="00D364E1">
        <w:rPr>
          <w:bCs/>
        </w:rPr>
        <w:t xml:space="preserve"> activities</w:t>
      </w:r>
      <w:r w:rsidRPr="00616592">
        <w:rPr>
          <w:bCs/>
        </w:rPr>
        <w:t>, intervention</w:t>
      </w:r>
      <w:r w:rsidR="00D771BE">
        <w:rPr>
          <w:bCs/>
        </w:rPr>
        <w:t>s</w:t>
      </w:r>
      <w:r w:rsidRPr="00616592">
        <w:rPr>
          <w:bCs/>
        </w:rPr>
        <w:t xml:space="preserve">, and </w:t>
      </w:r>
      <w:r w:rsidR="00955E22">
        <w:rPr>
          <w:bCs/>
        </w:rPr>
        <w:t xml:space="preserve">activities </w:t>
      </w:r>
      <w:r w:rsidR="00A76AC4">
        <w:rPr>
          <w:bCs/>
        </w:rPr>
        <w:t>to reinforce</w:t>
      </w:r>
      <w:r w:rsidR="00955E22">
        <w:rPr>
          <w:bCs/>
        </w:rPr>
        <w:t xml:space="preserve"> tobacco-</w:t>
      </w:r>
      <w:r w:rsidRPr="00616592">
        <w:rPr>
          <w:bCs/>
        </w:rPr>
        <w:t>free school environments</w:t>
      </w:r>
      <w:r w:rsidR="00A76AC4">
        <w:rPr>
          <w:bCs/>
        </w:rPr>
        <w:t>, as well as</w:t>
      </w:r>
      <w:r w:rsidR="00D771BE" w:rsidRPr="00616592">
        <w:rPr>
          <w:bCs/>
        </w:rPr>
        <w:t xml:space="preserve"> </w:t>
      </w:r>
      <w:r w:rsidRPr="00616592">
        <w:rPr>
          <w:bCs/>
        </w:rPr>
        <w:t>cessation programs.</w:t>
      </w:r>
    </w:p>
    <w:p w14:paraId="17D84CFD" w14:textId="03CB5FEB" w:rsidR="00955E22" w:rsidRPr="00955E22" w:rsidRDefault="00955E22" w:rsidP="00955E22">
      <w:pPr>
        <w:spacing w:after="0"/>
        <w:ind w:left="1080"/>
      </w:pPr>
      <w:r w:rsidRPr="00955E22">
        <w:t xml:space="preserve">The TUPE Program is required to build the capacity of TUPE Coordinators of County offices of education (COEs) to implement TUPE programs at California schools. The selection of a </w:t>
      </w:r>
      <w:r w:rsidR="00A228FF">
        <w:t>CBP</w:t>
      </w:r>
      <w:r w:rsidRPr="00955E22">
        <w:t xml:space="preserve"> through this grant will allow the TUPE Office to ensure that all TUPE-funded programs are (1) familiar with evidence-based anti-tobacco use programs, and (2) well informed about California Department of Education (CDE) guidelines and requirements for submission, review, and approval of school-based plans. This grant will also allow the TUPE Office to ensure that COEs are able to provide effective technical assistance to schools and school districts within their own counties.</w:t>
      </w:r>
    </w:p>
    <w:p w14:paraId="44D81E52" w14:textId="662CBC72" w:rsidR="005F0F12" w:rsidRDefault="007525FE" w:rsidP="005F0F12">
      <w:pPr>
        <w:spacing w:after="0"/>
        <w:ind w:left="1080"/>
      </w:pPr>
      <w:r w:rsidRPr="00616592">
        <w:lastRenderedPageBreak/>
        <w:t xml:space="preserve">The CDE will select </w:t>
      </w:r>
      <w:r w:rsidRPr="00A5613A">
        <w:rPr>
          <w:b/>
        </w:rPr>
        <w:t>one</w:t>
      </w:r>
      <w:r w:rsidRPr="00616592">
        <w:t xml:space="preserve"> COE to carry</w:t>
      </w:r>
      <w:r w:rsidR="00F369A6">
        <w:t xml:space="preserve"> </w:t>
      </w:r>
      <w:r w:rsidRPr="00616592">
        <w:t>out the</w:t>
      </w:r>
      <w:r w:rsidR="00A31392" w:rsidRPr="00616592">
        <w:t xml:space="preserve"> </w:t>
      </w:r>
      <w:r w:rsidR="00EC188E" w:rsidRPr="00616592">
        <w:t xml:space="preserve">TUPE </w:t>
      </w:r>
      <w:r w:rsidR="00F369A6">
        <w:t>CBP</w:t>
      </w:r>
      <w:r w:rsidRPr="00616592">
        <w:t xml:space="preserve"> </w:t>
      </w:r>
      <w:r w:rsidR="00A31392" w:rsidRPr="00616592">
        <w:t xml:space="preserve">activities </w:t>
      </w:r>
      <w:r w:rsidR="002F2E1A" w:rsidRPr="00616592">
        <w:t>for</w:t>
      </w:r>
      <w:r w:rsidR="00963120">
        <w:t xml:space="preserve"> </w:t>
      </w:r>
      <w:r w:rsidR="00873940">
        <w:t>33</w:t>
      </w:r>
      <w:r w:rsidR="00963120">
        <w:t xml:space="preserve"> months, beginning </w:t>
      </w:r>
      <w:r w:rsidR="00A5613A">
        <w:t>October 1</w:t>
      </w:r>
      <w:r w:rsidR="00963120">
        <w:t>, 2019</w:t>
      </w:r>
      <w:r w:rsidR="00F369A6">
        <w:t>,</w:t>
      </w:r>
      <w:r w:rsidR="00963120">
        <w:t xml:space="preserve"> through </w:t>
      </w:r>
      <w:r w:rsidR="00BC10BA">
        <w:t>June 30, 2022</w:t>
      </w:r>
      <w:r w:rsidR="00BD2845">
        <w:t>.</w:t>
      </w:r>
      <w:r w:rsidRPr="00616592">
        <w:t xml:space="preserve"> The </w:t>
      </w:r>
      <w:r w:rsidR="002F2E1A" w:rsidRPr="00616592">
        <w:t>TUPE</w:t>
      </w:r>
      <w:r w:rsidR="00EC188E" w:rsidRPr="00616592">
        <w:t xml:space="preserve"> </w:t>
      </w:r>
      <w:r w:rsidR="00427DCB">
        <w:t>CBP</w:t>
      </w:r>
      <w:r w:rsidRPr="00616592">
        <w:t xml:space="preserve"> will </w:t>
      </w:r>
      <w:r w:rsidR="00585A7E" w:rsidRPr="00616592">
        <w:t xml:space="preserve">provide leadership </w:t>
      </w:r>
      <w:r w:rsidR="00963120">
        <w:t>to</w:t>
      </w:r>
      <w:r w:rsidR="00182856" w:rsidRPr="00616592">
        <w:t xml:space="preserve"> </w:t>
      </w:r>
      <w:r w:rsidRPr="00616592">
        <w:t>all</w:t>
      </w:r>
      <w:r w:rsidR="00120624" w:rsidRPr="00616592">
        <w:t xml:space="preserve"> </w:t>
      </w:r>
      <w:r w:rsidR="002F2E1A" w:rsidRPr="00616592">
        <w:t>TUPE</w:t>
      </w:r>
      <w:r w:rsidR="00585A7E" w:rsidRPr="00616592">
        <w:t xml:space="preserve"> </w:t>
      </w:r>
      <w:r w:rsidR="00F369A6">
        <w:t xml:space="preserve">County </w:t>
      </w:r>
      <w:r w:rsidR="00585A7E" w:rsidRPr="00616592">
        <w:t>Coordinators</w:t>
      </w:r>
      <w:r w:rsidR="004C41EE">
        <w:t xml:space="preserve"> and </w:t>
      </w:r>
      <w:r w:rsidR="004C41EE" w:rsidRPr="00716CE0">
        <w:t xml:space="preserve">TUPE-funded </w:t>
      </w:r>
      <w:r w:rsidR="001018A4">
        <w:t>local educati</w:t>
      </w:r>
      <w:r w:rsidR="00F369A6">
        <w:t>o</w:t>
      </w:r>
      <w:r w:rsidR="001018A4">
        <w:t xml:space="preserve">nal </w:t>
      </w:r>
      <w:r w:rsidR="00F369A6">
        <w:t>agencies</w:t>
      </w:r>
      <w:r w:rsidR="001018A4">
        <w:t xml:space="preserve"> (LEA</w:t>
      </w:r>
      <w:r w:rsidR="00F369A6">
        <w:t>s</w:t>
      </w:r>
      <w:r w:rsidR="001018A4">
        <w:t>)</w:t>
      </w:r>
      <w:r w:rsidR="00120624" w:rsidRPr="00716CE0">
        <w:t>.</w:t>
      </w:r>
      <w:r w:rsidR="00120624" w:rsidRPr="00616592">
        <w:t xml:space="preserve"> </w:t>
      </w:r>
      <w:r w:rsidR="00D3044C" w:rsidRPr="00616592">
        <w:t xml:space="preserve">The </w:t>
      </w:r>
      <w:r w:rsidR="002F2E1A" w:rsidRPr="00616592">
        <w:t>TUPE</w:t>
      </w:r>
      <w:r w:rsidR="00EC188E" w:rsidRPr="00616592">
        <w:t xml:space="preserve"> </w:t>
      </w:r>
      <w:r w:rsidR="00427DCB">
        <w:t>CBP</w:t>
      </w:r>
      <w:r w:rsidR="00D3044C" w:rsidRPr="00616592">
        <w:t xml:space="preserve"> will also serve as </w:t>
      </w:r>
      <w:r w:rsidR="00D3044C" w:rsidRPr="00CC2ABD">
        <w:t xml:space="preserve">the </w:t>
      </w:r>
      <w:r w:rsidR="002F2E1A" w:rsidRPr="00CC2ABD">
        <w:t>TUPE</w:t>
      </w:r>
      <w:r w:rsidR="00D3044C" w:rsidRPr="00CC2ABD">
        <w:t xml:space="preserve"> </w:t>
      </w:r>
      <w:r w:rsidR="00200047" w:rsidRPr="00CC2ABD">
        <w:t xml:space="preserve">Expert </w:t>
      </w:r>
      <w:r w:rsidR="00D3044C" w:rsidRPr="00CC2ABD">
        <w:t>Lead Agency</w:t>
      </w:r>
      <w:r w:rsidR="00D3044C" w:rsidRPr="00616592">
        <w:t xml:space="preserve">. In this role, the </w:t>
      </w:r>
      <w:r w:rsidR="002F2E1A" w:rsidRPr="00616592">
        <w:t>TUPE</w:t>
      </w:r>
      <w:r w:rsidR="00D3044C" w:rsidRPr="00616592">
        <w:t xml:space="preserve"> </w:t>
      </w:r>
      <w:r w:rsidR="00427DCB">
        <w:t>CBP</w:t>
      </w:r>
      <w:r w:rsidR="00D3044C" w:rsidRPr="00616592">
        <w:t xml:space="preserve"> will </w:t>
      </w:r>
      <w:r w:rsidR="00716CE0">
        <w:t>serve</w:t>
      </w:r>
      <w:r w:rsidR="00D3044C" w:rsidRPr="00616592">
        <w:t xml:space="preserve"> as an expert concerning current initiatives that support </w:t>
      </w:r>
      <w:r w:rsidR="00F369A6">
        <w:t xml:space="preserve">TUPE </w:t>
      </w:r>
      <w:r w:rsidR="00015B4A" w:rsidRPr="00616592">
        <w:t>activities conducted with LEAs funded by the</w:t>
      </w:r>
      <w:r w:rsidR="00F369A6">
        <w:t xml:space="preserve"> CDE</w:t>
      </w:r>
      <w:r w:rsidR="00015B4A" w:rsidRPr="00616592">
        <w:t xml:space="preserve"> TUPE Office</w:t>
      </w:r>
      <w:r w:rsidR="00D3044C" w:rsidRPr="00616592">
        <w:t>.</w:t>
      </w:r>
    </w:p>
    <w:p w14:paraId="5D463C87" w14:textId="6A8CDC16" w:rsidR="00A76AC4" w:rsidRDefault="00A76AC4" w:rsidP="005F0F12">
      <w:pPr>
        <w:spacing w:after="0"/>
        <w:ind w:left="1080"/>
      </w:pPr>
    </w:p>
    <w:p w14:paraId="1D7A7743" w14:textId="46B17DDE" w:rsidR="00A70665" w:rsidRPr="00FD0FB2" w:rsidRDefault="00741CE7" w:rsidP="0024561D">
      <w:pPr>
        <w:pStyle w:val="Heading4"/>
      </w:pPr>
      <w:bookmarkStart w:id="23" w:name="_Toc8915775"/>
      <w:r w:rsidRPr="00FD0FB2">
        <w:t>Purpose</w:t>
      </w:r>
      <w:bookmarkEnd w:id="23"/>
    </w:p>
    <w:p w14:paraId="03BD12F3" w14:textId="64740332" w:rsidR="00741CE7" w:rsidRDefault="00741CE7" w:rsidP="009C512D">
      <w:pPr>
        <w:spacing w:after="0"/>
        <w:ind w:left="1080"/>
        <w:rPr>
          <w:bCs/>
        </w:rPr>
      </w:pPr>
      <w:r w:rsidRPr="00616592">
        <w:rPr>
          <w:bCs/>
        </w:rPr>
        <w:t xml:space="preserve">The purpose of the TUPE </w:t>
      </w:r>
      <w:r w:rsidR="00911865">
        <w:rPr>
          <w:bCs/>
        </w:rPr>
        <w:t>P</w:t>
      </w:r>
      <w:r w:rsidRPr="00616592">
        <w:rPr>
          <w:bCs/>
        </w:rPr>
        <w:t>rogram is to prevent and/or reduce student tobacco use and nicotine addiction by funding LEA programs to provide education for young people to make healthful tobacco-related decisions through tobacco-specific, evidence-based educational instruction and activities that build knowledge, as well as social skills and youth development assets. Collaboration between the CDE and community-based tobacco control programs such as the California De</w:t>
      </w:r>
      <w:r w:rsidR="00443199">
        <w:rPr>
          <w:bCs/>
        </w:rPr>
        <w:t>partment of Public Health</w:t>
      </w:r>
      <w:r w:rsidRPr="00616592">
        <w:rPr>
          <w:bCs/>
        </w:rPr>
        <w:t xml:space="preserve">, California Tobacco Control Program, and </w:t>
      </w:r>
      <w:r w:rsidR="00954513">
        <w:rPr>
          <w:bCs/>
        </w:rPr>
        <w:t xml:space="preserve">the </w:t>
      </w:r>
      <w:r w:rsidRPr="00616592">
        <w:rPr>
          <w:bCs/>
        </w:rPr>
        <w:t>California</w:t>
      </w:r>
      <w:r w:rsidR="00D50AD0">
        <w:rPr>
          <w:bCs/>
        </w:rPr>
        <w:t xml:space="preserve"> Office of the Attorney General</w:t>
      </w:r>
      <w:r w:rsidRPr="00616592">
        <w:rPr>
          <w:bCs/>
        </w:rPr>
        <w:t xml:space="preserve"> is an integral part of this process</w:t>
      </w:r>
      <w:r w:rsidR="00061286">
        <w:rPr>
          <w:bCs/>
        </w:rPr>
        <w:t>. S</w:t>
      </w:r>
      <w:r w:rsidRPr="00616592">
        <w:rPr>
          <w:bCs/>
        </w:rPr>
        <w:t>chool</w:t>
      </w:r>
      <w:r w:rsidR="00061286">
        <w:rPr>
          <w:bCs/>
        </w:rPr>
        <w:t>s</w:t>
      </w:r>
      <w:r w:rsidRPr="00616592">
        <w:rPr>
          <w:bCs/>
        </w:rPr>
        <w:t>, parents/guardians, and the larger community should be involved in the collaborative efforts of the program so that students will be aware of a cohesive effort and concern for their health, and consequently, their ability</w:t>
      </w:r>
      <w:r w:rsidR="00882456">
        <w:rPr>
          <w:bCs/>
        </w:rPr>
        <w:t xml:space="preserve"> to succeed in school and live</w:t>
      </w:r>
      <w:r w:rsidRPr="00616592">
        <w:rPr>
          <w:bCs/>
        </w:rPr>
        <w:t xml:space="preserve"> healthy li</w:t>
      </w:r>
      <w:r w:rsidR="00061286">
        <w:rPr>
          <w:bCs/>
        </w:rPr>
        <w:t>ves</w:t>
      </w:r>
      <w:r w:rsidRPr="00616592">
        <w:rPr>
          <w:bCs/>
        </w:rPr>
        <w:t xml:space="preserve"> that </w:t>
      </w:r>
      <w:r w:rsidR="00061286">
        <w:rPr>
          <w:bCs/>
        </w:rPr>
        <w:t>are</w:t>
      </w:r>
      <w:r w:rsidRPr="00616592">
        <w:rPr>
          <w:bCs/>
        </w:rPr>
        <w:t xml:space="preserve"> tobacco</w:t>
      </w:r>
      <w:r w:rsidR="00716CE0">
        <w:rPr>
          <w:bCs/>
        </w:rPr>
        <w:t>-</w:t>
      </w:r>
      <w:r w:rsidRPr="00616592">
        <w:rPr>
          <w:bCs/>
        </w:rPr>
        <w:t xml:space="preserve"> and nicotine</w:t>
      </w:r>
      <w:r w:rsidR="00716CE0">
        <w:rPr>
          <w:bCs/>
        </w:rPr>
        <w:t>-</w:t>
      </w:r>
      <w:r w:rsidRPr="00616592">
        <w:rPr>
          <w:bCs/>
        </w:rPr>
        <w:t>free.</w:t>
      </w:r>
    </w:p>
    <w:p w14:paraId="7E3E0759" w14:textId="67FA3BAB" w:rsidR="00750D4E" w:rsidRPr="00F94CFF" w:rsidRDefault="00A70665" w:rsidP="00F94CFF">
      <w:pPr>
        <w:spacing w:after="0"/>
        <w:ind w:left="1080"/>
      </w:pPr>
      <w:r w:rsidRPr="00616592">
        <w:t xml:space="preserve">The </w:t>
      </w:r>
      <w:r w:rsidR="002F2E1A" w:rsidRPr="00616592">
        <w:t>TUPE</w:t>
      </w:r>
      <w:r w:rsidR="002B39E2" w:rsidRPr="00616592">
        <w:t xml:space="preserve"> </w:t>
      </w:r>
      <w:r w:rsidR="00427DCB">
        <w:t>CBP</w:t>
      </w:r>
      <w:r w:rsidR="00E53F7A" w:rsidRPr="00616592">
        <w:t xml:space="preserve"> will</w:t>
      </w:r>
      <w:r w:rsidR="002B39E2" w:rsidRPr="00616592">
        <w:t xml:space="preserve"> provide support and guidance to</w:t>
      </w:r>
      <w:r w:rsidR="00741CE7" w:rsidRPr="00616592">
        <w:t xml:space="preserve"> local</w:t>
      </w:r>
      <w:r w:rsidR="002B39E2" w:rsidRPr="00616592">
        <w:t xml:space="preserve"> </w:t>
      </w:r>
      <w:r w:rsidR="002F2E1A" w:rsidRPr="00616592">
        <w:t>TUPE</w:t>
      </w:r>
      <w:r w:rsidR="00944259" w:rsidRPr="00616592">
        <w:t>-funded programs</w:t>
      </w:r>
      <w:r w:rsidR="002B39E2" w:rsidRPr="00616592">
        <w:t>. These</w:t>
      </w:r>
      <w:r w:rsidR="00944259" w:rsidRPr="00616592">
        <w:t xml:space="preserve"> programs focus on</w:t>
      </w:r>
      <w:r w:rsidR="002B39E2" w:rsidRPr="00616592">
        <w:t xml:space="preserve"> </w:t>
      </w:r>
      <w:r w:rsidR="00944259" w:rsidRPr="00616592">
        <w:t xml:space="preserve">preventing and </w:t>
      </w:r>
      <w:r w:rsidR="00E53F7A" w:rsidRPr="00616592">
        <w:t xml:space="preserve">reducing </w:t>
      </w:r>
      <w:r w:rsidR="00954513">
        <w:t xml:space="preserve">the </w:t>
      </w:r>
      <w:r w:rsidR="00C3783C" w:rsidRPr="00616592">
        <w:t xml:space="preserve">use of </w:t>
      </w:r>
      <w:r w:rsidR="00E53F7A" w:rsidRPr="00616592">
        <w:t xml:space="preserve">tobacco </w:t>
      </w:r>
      <w:r w:rsidR="00C3783C" w:rsidRPr="00616592">
        <w:t>products</w:t>
      </w:r>
      <w:r w:rsidR="00E53F7A" w:rsidRPr="00616592">
        <w:t xml:space="preserve"> by school-aged youth</w:t>
      </w:r>
      <w:r w:rsidR="002B39E2" w:rsidRPr="00616592">
        <w:t xml:space="preserve">. The </w:t>
      </w:r>
      <w:r w:rsidR="00EC188E" w:rsidRPr="00616592">
        <w:t xml:space="preserve">TUPE </w:t>
      </w:r>
      <w:r w:rsidR="00427DCB">
        <w:t>CBP</w:t>
      </w:r>
      <w:r w:rsidR="002B39E2" w:rsidRPr="00616592">
        <w:t xml:space="preserve"> </w:t>
      </w:r>
      <w:r w:rsidR="00944259" w:rsidRPr="00616592">
        <w:t xml:space="preserve">will </w:t>
      </w:r>
      <w:r w:rsidR="00EA5096" w:rsidRPr="00616592">
        <w:t xml:space="preserve">also </w:t>
      </w:r>
      <w:r w:rsidR="002B39E2" w:rsidRPr="00616592">
        <w:t xml:space="preserve">provide leadership for the </w:t>
      </w:r>
      <w:r w:rsidR="002F2E1A" w:rsidRPr="00616592">
        <w:t>TUPE</w:t>
      </w:r>
      <w:r w:rsidR="002B39E2" w:rsidRPr="00616592">
        <w:t xml:space="preserve"> </w:t>
      </w:r>
      <w:r w:rsidR="00944259" w:rsidRPr="00616592">
        <w:t>program</w:t>
      </w:r>
      <w:r w:rsidR="002B39E2" w:rsidRPr="00616592">
        <w:t xml:space="preserve">s </w:t>
      </w:r>
      <w:r w:rsidR="00C3783C" w:rsidRPr="00616592">
        <w:t>on</w:t>
      </w:r>
      <w:r w:rsidR="002B39E2" w:rsidRPr="00616592">
        <w:t xml:space="preserve"> model programs</w:t>
      </w:r>
      <w:r w:rsidR="00585A7E" w:rsidRPr="00616592">
        <w:t>,</w:t>
      </w:r>
      <w:r w:rsidR="002B39E2" w:rsidRPr="00616592">
        <w:t xml:space="preserve"> best</w:t>
      </w:r>
      <w:r w:rsidR="00D771BE">
        <w:t xml:space="preserve"> </w:t>
      </w:r>
      <w:r w:rsidR="002B39E2" w:rsidRPr="00616592">
        <w:t>practices, and continuous program monitoring and improvement through current data resources.</w:t>
      </w:r>
      <w:bookmarkStart w:id="24" w:name="_Toc3534717"/>
    </w:p>
    <w:p w14:paraId="4F86A668" w14:textId="77777777" w:rsidR="00741CE7" w:rsidRPr="008E2F3D" w:rsidRDefault="00741CE7" w:rsidP="0024561D">
      <w:pPr>
        <w:pStyle w:val="Heading4"/>
        <w:rPr>
          <w:shd w:val="clear" w:color="auto" w:fill="auto"/>
        </w:rPr>
      </w:pPr>
      <w:bookmarkStart w:id="25" w:name="_Toc3789230"/>
      <w:bookmarkStart w:id="26" w:name="_Toc8915776"/>
      <w:r w:rsidRPr="008E2F3D">
        <w:rPr>
          <w:shd w:val="clear" w:color="auto" w:fill="auto"/>
        </w:rPr>
        <w:t>Funding</w:t>
      </w:r>
      <w:bookmarkEnd w:id="25"/>
      <w:bookmarkEnd w:id="26"/>
    </w:p>
    <w:p w14:paraId="7BAAD61E" w14:textId="59A8F2CE" w:rsidR="00741CE7" w:rsidRPr="00616592" w:rsidRDefault="00741CE7" w:rsidP="00E33815">
      <w:pPr>
        <w:spacing w:after="0"/>
        <w:ind w:left="1080"/>
        <w:rPr>
          <w:bCs/>
          <w:color w:val="auto"/>
          <w:shd w:val="clear" w:color="auto" w:fill="auto"/>
        </w:rPr>
      </w:pPr>
      <w:r w:rsidRPr="00616592">
        <w:rPr>
          <w:bCs/>
          <w:color w:val="auto"/>
          <w:shd w:val="clear" w:color="auto" w:fill="auto"/>
        </w:rPr>
        <w:t xml:space="preserve">An estimated </w:t>
      </w:r>
      <w:r w:rsidRPr="00006BE0">
        <w:rPr>
          <w:bCs/>
          <w:color w:val="auto"/>
          <w:shd w:val="clear" w:color="auto" w:fill="auto"/>
        </w:rPr>
        <w:t>$</w:t>
      </w:r>
      <w:r w:rsidR="00CE6294">
        <w:rPr>
          <w:bCs/>
          <w:color w:val="auto"/>
          <w:shd w:val="clear" w:color="auto" w:fill="auto"/>
        </w:rPr>
        <w:t>5.5</w:t>
      </w:r>
      <w:r w:rsidRPr="00616592">
        <w:rPr>
          <w:bCs/>
          <w:color w:val="auto"/>
          <w:shd w:val="clear" w:color="auto" w:fill="auto"/>
        </w:rPr>
        <w:t xml:space="preserve"> million from </w:t>
      </w:r>
      <w:r w:rsidRPr="00006BE0">
        <w:rPr>
          <w:bCs/>
          <w:color w:val="auto"/>
          <w:shd w:val="clear" w:color="auto" w:fill="auto"/>
        </w:rPr>
        <w:t>Proposition 56</w:t>
      </w:r>
      <w:r w:rsidRPr="00616592">
        <w:rPr>
          <w:bCs/>
          <w:color w:val="auto"/>
          <w:shd w:val="clear" w:color="auto" w:fill="auto"/>
        </w:rPr>
        <w:t xml:space="preserve"> funding has bee</w:t>
      </w:r>
      <w:r w:rsidR="00486D75">
        <w:rPr>
          <w:bCs/>
          <w:color w:val="auto"/>
          <w:shd w:val="clear" w:color="auto" w:fill="auto"/>
        </w:rPr>
        <w:t xml:space="preserve">n allocated to the CDE to fund </w:t>
      </w:r>
      <w:r w:rsidR="005773D2">
        <w:rPr>
          <w:bCs/>
          <w:color w:val="auto"/>
          <w:shd w:val="clear" w:color="auto" w:fill="auto"/>
        </w:rPr>
        <w:t>the</w:t>
      </w:r>
      <w:r w:rsidRPr="00616592">
        <w:rPr>
          <w:bCs/>
          <w:color w:val="auto"/>
          <w:shd w:val="clear" w:color="auto" w:fill="auto"/>
        </w:rPr>
        <w:t xml:space="preserve"> </w:t>
      </w:r>
      <w:r w:rsidR="00EC188E" w:rsidRPr="00616592">
        <w:rPr>
          <w:bCs/>
          <w:color w:val="auto"/>
          <w:shd w:val="clear" w:color="auto" w:fill="auto"/>
        </w:rPr>
        <w:t xml:space="preserve">TUPE </w:t>
      </w:r>
      <w:r w:rsidR="00427DCB">
        <w:rPr>
          <w:bCs/>
          <w:color w:val="auto"/>
          <w:shd w:val="clear" w:color="auto" w:fill="auto"/>
        </w:rPr>
        <w:t>CBP</w:t>
      </w:r>
      <w:r w:rsidR="00A61A34" w:rsidRPr="00616592">
        <w:rPr>
          <w:bCs/>
          <w:color w:val="auto"/>
          <w:shd w:val="clear" w:color="auto" w:fill="auto"/>
        </w:rPr>
        <w:t xml:space="preserve"> </w:t>
      </w:r>
      <w:r w:rsidR="00301272">
        <w:rPr>
          <w:bCs/>
          <w:color w:val="auto"/>
          <w:shd w:val="clear" w:color="auto" w:fill="auto"/>
        </w:rPr>
        <w:t xml:space="preserve">Grant </w:t>
      </w:r>
      <w:r w:rsidRPr="00616592">
        <w:rPr>
          <w:bCs/>
          <w:color w:val="auto"/>
          <w:shd w:val="clear" w:color="auto" w:fill="auto"/>
        </w:rPr>
        <w:t xml:space="preserve">for </w:t>
      </w:r>
      <w:r w:rsidR="00873940">
        <w:rPr>
          <w:bCs/>
          <w:color w:val="auto"/>
          <w:shd w:val="clear" w:color="auto" w:fill="auto"/>
        </w:rPr>
        <w:t>33</w:t>
      </w:r>
      <w:r w:rsidR="00963120">
        <w:rPr>
          <w:bCs/>
          <w:color w:val="auto"/>
          <w:shd w:val="clear" w:color="auto" w:fill="auto"/>
        </w:rPr>
        <w:t xml:space="preserve"> months</w:t>
      </w:r>
      <w:r w:rsidRPr="00616592">
        <w:rPr>
          <w:bCs/>
          <w:color w:val="auto"/>
          <w:shd w:val="clear" w:color="auto" w:fill="auto"/>
        </w:rPr>
        <w:t xml:space="preserve">, beginning </w:t>
      </w:r>
      <w:r w:rsidR="00A5613A">
        <w:rPr>
          <w:bCs/>
          <w:color w:val="auto"/>
          <w:shd w:val="clear" w:color="auto" w:fill="auto"/>
        </w:rPr>
        <w:t>October 1</w:t>
      </w:r>
      <w:r w:rsidR="00006BE0" w:rsidRPr="00963120">
        <w:rPr>
          <w:bCs/>
          <w:color w:val="auto"/>
          <w:shd w:val="clear" w:color="auto" w:fill="auto"/>
        </w:rPr>
        <w:t xml:space="preserve">, </w:t>
      </w:r>
      <w:r w:rsidR="009B4CC5" w:rsidRPr="00963120">
        <w:rPr>
          <w:bCs/>
          <w:color w:val="auto"/>
          <w:shd w:val="clear" w:color="auto" w:fill="auto"/>
        </w:rPr>
        <w:t>2019</w:t>
      </w:r>
      <w:r w:rsidR="00301272">
        <w:rPr>
          <w:bCs/>
          <w:color w:val="auto"/>
          <w:shd w:val="clear" w:color="auto" w:fill="auto"/>
        </w:rPr>
        <w:t>,</w:t>
      </w:r>
      <w:r w:rsidR="009B4CC5" w:rsidRPr="00963120">
        <w:rPr>
          <w:bCs/>
          <w:color w:val="auto"/>
          <w:shd w:val="clear" w:color="auto" w:fill="auto"/>
        </w:rPr>
        <w:t xml:space="preserve"> through</w:t>
      </w:r>
      <w:r w:rsidRPr="00963120">
        <w:rPr>
          <w:bCs/>
          <w:color w:val="auto"/>
          <w:shd w:val="clear" w:color="auto" w:fill="auto"/>
        </w:rPr>
        <w:t xml:space="preserve"> </w:t>
      </w:r>
      <w:r w:rsidR="00BC10BA">
        <w:rPr>
          <w:bCs/>
          <w:color w:val="auto"/>
          <w:shd w:val="clear" w:color="auto" w:fill="auto"/>
        </w:rPr>
        <w:t>June 30, 2022</w:t>
      </w:r>
      <w:r w:rsidRPr="00616592">
        <w:rPr>
          <w:bCs/>
          <w:color w:val="auto"/>
          <w:shd w:val="clear" w:color="auto" w:fill="auto"/>
        </w:rPr>
        <w:t xml:space="preserve">. The level of funding appropriated by the Legislature will </w:t>
      </w:r>
      <w:r w:rsidR="00963120">
        <w:rPr>
          <w:bCs/>
          <w:color w:val="auto"/>
          <w:shd w:val="clear" w:color="auto" w:fill="auto"/>
        </w:rPr>
        <w:t xml:space="preserve">determine </w:t>
      </w:r>
      <w:r w:rsidR="00A61A34" w:rsidRPr="00616592">
        <w:rPr>
          <w:bCs/>
          <w:color w:val="auto"/>
          <w:shd w:val="clear" w:color="auto" w:fill="auto"/>
        </w:rPr>
        <w:t>the final amount to be</w:t>
      </w:r>
      <w:r w:rsidRPr="00616592">
        <w:rPr>
          <w:bCs/>
          <w:color w:val="auto"/>
          <w:shd w:val="clear" w:color="auto" w:fill="auto"/>
        </w:rPr>
        <w:t xml:space="preserve"> awarded.</w:t>
      </w:r>
    </w:p>
    <w:p w14:paraId="63E54424" w14:textId="086BA245" w:rsidR="005B2E17" w:rsidRDefault="00741CE7" w:rsidP="00E33815">
      <w:pPr>
        <w:spacing w:after="0"/>
        <w:ind w:left="1080"/>
        <w:rPr>
          <w:bCs/>
          <w:color w:val="auto"/>
          <w:shd w:val="clear" w:color="auto" w:fill="auto"/>
        </w:rPr>
      </w:pPr>
      <w:r w:rsidRPr="00616592">
        <w:rPr>
          <w:bCs/>
          <w:color w:val="auto"/>
          <w:shd w:val="clear" w:color="auto" w:fill="auto"/>
        </w:rPr>
        <w:t xml:space="preserve">The CDE reserves the right to renew or extend </w:t>
      </w:r>
      <w:r w:rsidR="00301272">
        <w:rPr>
          <w:bCs/>
          <w:color w:val="auto"/>
          <w:shd w:val="clear" w:color="auto" w:fill="auto"/>
        </w:rPr>
        <w:t xml:space="preserve">the </w:t>
      </w:r>
      <w:r w:rsidR="007A3FD0">
        <w:rPr>
          <w:bCs/>
          <w:color w:val="auto"/>
          <w:shd w:val="clear" w:color="auto" w:fill="auto"/>
        </w:rPr>
        <w:t xml:space="preserve">grant </w:t>
      </w:r>
      <w:r w:rsidRPr="00616592">
        <w:rPr>
          <w:bCs/>
          <w:color w:val="auto"/>
          <w:shd w:val="clear" w:color="auto" w:fill="auto"/>
        </w:rPr>
        <w:t xml:space="preserve">in the best interest of the statewide tobacco prevention effort. Although it is anticipated that funding for the </w:t>
      </w:r>
      <w:r w:rsidR="00EC188E" w:rsidRPr="00616592">
        <w:rPr>
          <w:bCs/>
          <w:color w:val="auto"/>
          <w:shd w:val="clear" w:color="auto" w:fill="auto"/>
        </w:rPr>
        <w:t xml:space="preserve">TUPE </w:t>
      </w:r>
      <w:r w:rsidR="005F73C9">
        <w:rPr>
          <w:bCs/>
          <w:color w:val="auto"/>
          <w:shd w:val="clear" w:color="auto" w:fill="auto"/>
        </w:rPr>
        <w:t>CBP</w:t>
      </w:r>
      <w:r w:rsidR="005773D2">
        <w:rPr>
          <w:bCs/>
          <w:color w:val="auto"/>
          <w:shd w:val="clear" w:color="auto" w:fill="auto"/>
        </w:rPr>
        <w:t xml:space="preserve"> </w:t>
      </w:r>
      <w:r w:rsidR="00301272">
        <w:rPr>
          <w:bCs/>
          <w:color w:val="auto"/>
          <w:shd w:val="clear" w:color="auto" w:fill="auto"/>
        </w:rPr>
        <w:t>G</w:t>
      </w:r>
      <w:r w:rsidR="005773D2">
        <w:rPr>
          <w:bCs/>
          <w:color w:val="auto"/>
          <w:shd w:val="clear" w:color="auto" w:fill="auto"/>
        </w:rPr>
        <w:t>rant</w:t>
      </w:r>
      <w:r w:rsidRPr="00616592">
        <w:rPr>
          <w:bCs/>
          <w:color w:val="auto"/>
          <w:shd w:val="clear" w:color="auto" w:fill="auto"/>
        </w:rPr>
        <w:t xml:space="preserve"> will be available for future </w:t>
      </w:r>
      <w:r w:rsidR="007A705D" w:rsidRPr="00616592">
        <w:rPr>
          <w:bCs/>
          <w:color w:val="auto"/>
          <w:shd w:val="clear" w:color="auto" w:fill="auto"/>
        </w:rPr>
        <w:t>funding cycles</w:t>
      </w:r>
      <w:r w:rsidRPr="00616592">
        <w:rPr>
          <w:bCs/>
          <w:color w:val="auto"/>
          <w:shd w:val="clear" w:color="auto" w:fill="auto"/>
        </w:rPr>
        <w:t xml:space="preserve">, this may change as a result of the legislative process or oversight committee recommendations by </w:t>
      </w:r>
      <w:r w:rsidR="00301272">
        <w:rPr>
          <w:bCs/>
          <w:color w:val="auto"/>
          <w:shd w:val="clear" w:color="auto" w:fill="auto"/>
        </w:rPr>
        <w:t xml:space="preserve">the </w:t>
      </w:r>
      <w:r w:rsidR="00D2002B" w:rsidRPr="00EA5244">
        <w:t>Tobacco Education and Rese</w:t>
      </w:r>
      <w:r w:rsidR="008D4700">
        <w:t>arch Oversight Committee</w:t>
      </w:r>
      <w:r w:rsidR="00F27F46">
        <w:t>.</w:t>
      </w:r>
    </w:p>
    <w:p w14:paraId="2CACE283" w14:textId="1554CFD1" w:rsidR="00D944DF" w:rsidRPr="003824C0" w:rsidRDefault="0078701E" w:rsidP="0024561D">
      <w:pPr>
        <w:pStyle w:val="Heading4"/>
      </w:pPr>
      <w:bookmarkStart w:id="27" w:name="_Toc8915777"/>
      <w:r w:rsidRPr="003824C0">
        <w:lastRenderedPageBreak/>
        <w:t>Responsibilities</w:t>
      </w:r>
      <w:r w:rsidR="005D5D27" w:rsidRPr="003824C0">
        <w:t xml:space="preserve"> of the </w:t>
      </w:r>
      <w:r w:rsidR="00944259" w:rsidRPr="003824C0">
        <w:t>T</w:t>
      </w:r>
      <w:r w:rsidR="00D71DC2">
        <w:t>obacco-</w:t>
      </w:r>
      <w:r w:rsidR="00944259" w:rsidRPr="003824C0">
        <w:t>U</w:t>
      </w:r>
      <w:r w:rsidR="00D71DC2">
        <w:t xml:space="preserve">se </w:t>
      </w:r>
      <w:r w:rsidR="00944259" w:rsidRPr="003824C0">
        <w:t>P</w:t>
      </w:r>
      <w:r w:rsidR="00D71DC2">
        <w:t xml:space="preserve">revention </w:t>
      </w:r>
      <w:r w:rsidR="00944259" w:rsidRPr="003824C0">
        <w:t>E</w:t>
      </w:r>
      <w:r w:rsidR="00D71DC2">
        <w:t>ducation</w:t>
      </w:r>
      <w:r w:rsidR="008F3D56" w:rsidRPr="003824C0">
        <w:t xml:space="preserve"> </w:t>
      </w:r>
      <w:r w:rsidR="00427DCB" w:rsidRPr="003824C0">
        <w:t>C</w:t>
      </w:r>
      <w:r w:rsidR="00D71DC2">
        <w:t xml:space="preserve">apacity </w:t>
      </w:r>
      <w:r w:rsidR="00427DCB" w:rsidRPr="003824C0">
        <w:t>B</w:t>
      </w:r>
      <w:r w:rsidR="00D71DC2">
        <w:t xml:space="preserve">uilding </w:t>
      </w:r>
      <w:r w:rsidR="00427DCB" w:rsidRPr="003824C0">
        <w:t>P</w:t>
      </w:r>
      <w:bookmarkEnd w:id="24"/>
      <w:r w:rsidR="00D71DC2">
        <w:t>rovider</w:t>
      </w:r>
      <w:bookmarkEnd w:id="27"/>
    </w:p>
    <w:p w14:paraId="7F7A74C2" w14:textId="587A8089" w:rsidR="00D944DF" w:rsidRPr="00616592" w:rsidRDefault="00D944DF" w:rsidP="00E33815">
      <w:pPr>
        <w:spacing w:after="0" w:line="231" w:lineRule="atLeast"/>
        <w:ind w:left="1080"/>
      </w:pPr>
      <w:r w:rsidRPr="00616592">
        <w:t xml:space="preserve">The </w:t>
      </w:r>
      <w:r w:rsidR="00EC188E" w:rsidRPr="00616592">
        <w:t xml:space="preserve">TUPE </w:t>
      </w:r>
      <w:r w:rsidR="00427DCB">
        <w:t>CBP</w:t>
      </w:r>
      <w:r w:rsidR="00585A7E" w:rsidRPr="00616592">
        <w:t xml:space="preserve"> </w:t>
      </w:r>
      <w:r w:rsidRPr="00616592">
        <w:t xml:space="preserve">must have the capacity, resources, and expertise to carry out the following activities to build the capacity of </w:t>
      </w:r>
      <w:r w:rsidR="002F2E1A" w:rsidRPr="00616592">
        <w:t>TUPE</w:t>
      </w:r>
      <w:r w:rsidR="00C3783C" w:rsidRPr="00616592">
        <w:t>-funded programs</w:t>
      </w:r>
      <w:r w:rsidR="000C7A85" w:rsidRPr="00616592">
        <w:t xml:space="preserve"> to </w:t>
      </w:r>
      <w:r w:rsidR="00C3783C" w:rsidRPr="00616592">
        <w:t>prevent and reduce</w:t>
      </w:r>
      <w:r w:rsidR="00301272">
        <w:t xml:space="preserve"> the</w:t>
      </w:r>
      <w:r w:rsidR="00C3783C" w:rsidRPr="00616592">
        <w:t xml:space="preserve"> use of tobacco products by youth</w:t>
      </w:r>
      <w:r w:rsidRPr="00616592">
        <w:t>:</w:t>
      </w:r>
    </w:p>
    <w:p w14:paraId="17DE2706" w14:textId="357F7104" w:rsidR="00D944DF" w:rsidRPr="00616592" w:rsidRDefault="00D944DF" w:rsidP="00A44586">
      <w:pPr>
        <w:pStyle w:val="ListParagraph"/>
        <w:numPr>
          <w:ilvl w:val="0"/>
          <w:numId w:val="23"/>
        </w:numPr>
        <w:spacing w:after="0" w:line="231" w:lineRule="atLeast"/>
        <w:ind w:left="1800"/>
      </w:pPr>
      <w:r w:rsidRPr="00616592">
        <w:t xml:space="preserve">Create, </w:t>
      </w:r>
      <w:r w:rsidR="00AC2E3C">
        <w:t xml:space="preserve">disseminate, and </w:t>
      </w:r>
      <w:r w:rsidRPr="00616592">
        <w:t>facilitate</w:t>
      </w:r>
      <w:r w:rsidR="00AC2E3C">
        <w:t xml:space="preserve"> t</w:t>
      </w:r>
      <w:r w:rsidRPr="00616592">
        <w:t xml:space="preserve">he implementation of training materials that </w:t>
      </w:r>
      <w:r w:rsidR="00C3783C" w:rsidRPr="00616592">
        <w:t>address</w:t>
      </w:r>
      <w:r w:rsidRPr="00616592">
        <w:t xml:space="preserve"> the needs, challenges</w:t>
      </w:r>
      <w:r w:rsidR="008A4AC6" w:rsidRPr="00616592">
        <w:t>,</w:t>
      </w:r>
      <w:r w:rsidRPr="00616592">
        <w:t xml:space="preserve"> and barriers </w:t>
      </w:r>
      <w:r w:rsidR="00C3783C" w:rsidRPr="00616592">
        <w:t>that LEAs fac</w:t>
      </w:r>
      <w:r w:rsidR="006E43E9">
        <w:t xml:space="preserve">e in preventing student tobacco </w:t>
      </w:r>
      <w:r w:rsidR="00C3783C" w:rsidRPr="00616592">
        <w:t>use</w:t>
      </w:r>
      <w:r w:rsidRPr="00616592">
        <w:t>.</w:t>
      </w:r>
    </w:p>
    <w:p w14:paraId="4C073E15" w14:textId="63136027" w:rsidR="00D63FC6" w:rsidRPr="00616592" w:rsidRDefault="00D63FC6" w:rsidP="00A44586">
      <w:pPr>
        <w:pStyle w:val="ListParagraph"/>
        <w:numPr>
          <w:ilvl w:val="0"/>
          <w:numId w:val="23"/>
        </w:numPr>
        <w:spacing w:after="0" w:line="231" w:lineRule="atLeast"/>
        <w:ind w:left="1800"/>
      </w:pPr>
      <w:r w:rsidRPr="00616592">
        <w:t>Develop and disseminate</w:t>
      </w:r>
      <w:r w:rsidR="00AA6A84" w:rsidRPr="00616592">
        <w:t xml:space="preserve"> </w:t>
      </w:r>
      <w:r w:rsidR="00AC2E3C">
        <w:t>b</w:t>
      </w:r>
      <w:r w:rsidR="00D944DF" w:rsidRPr="00616592">
        <w:t xml:space="preserve">est practices </w:t>
      </w:r>
      <w:r w:rsidR="001E33C5" w:rsidRPr="00616592">
        <w:t xml:space="preserve">and model programs </w:t>
      </w:r>
      <w:r w:rsidR="00D944DF" w:rsidRPr="00616592">
        <w:t xml:space="preserve">for </w:t>
      </w:r>
      <w:r w:rsidR="00C3783C" w:rsidRPr="00616592">
        <w:t>LEAs</w:t>
      </w:r>
      <w:r w:rsidR="00D944DF" w:rsidRPr="00616592">
        <w:t xml:space="preserve"> to </w:t>
      </w:r>
      <w:r w:rsidR="00C3783C" w:rsidRPr="00616592">
        <w:t>implement effective, evidence</w:t>
      </w:r>
      <w:r w:rsidR="00AC2E3C">
        <w:t>-</w:t>
      </w:r>
      <w:r w:rsidR="00C3783C" w:rsidRPr="00616592">
        <w:t>informed</w:t>
      </w:r>
      <w:r w:rsidR="009A3ADB">
        <w:t xml:space="preserve"> TUPE</w:t>
      </w:r>
      <w:r w:rsidR="00C3783C" w:rsidRPr="00616592">
        <w:t xml:space="preserve"> programs</w:t>
      </w:r>
      <w:r w:rsidR="00882456">
        <w:t xml:space="preserve">, including intervention and </w:t>
      </w:r>
      <w:r w:rsidR="005948BA">
        <w:t>cessation</w:t>
      </w:r>
      <w:r w:rsidR="00200047" w:rsidRPr="00616592">
        <w:t>.</w:t>
      </w:r>
    </w:p>
    <w:p w14:paraId="1D4E9EDB" w14:textId="36FD4609" w:rsidR="00C3783C" w:rsidRPr="00616592" w:rsidRDefault="00C3783C" w:rsidP="000F390E">
      <w:pPr>
        <w:pStyle w:val="ListParagraph"/>
        <w:numPr>
          <w:ilvl w:val="0"/>
          <w:numId w:val="23"/>
        </w:numPr>
        <w:spacing w:line="231" w:lineRule="atLeast"/>
        <w:ind w:left="1800"/>
      </w:pPr>
      <w:r w:rsidRPr="00616592">
        <w:t xml:space="preserve">Develop and maintain a </w:t>
      </w:r>
      <w:r w:rsidR="00EC188E" w:rsidRPr="00616592">
        <w:t xml:space="preserve">TUPE </w:t>
      </w:r>
      <w:r w:rsidR="001C6DD5">
        <w:t>CBP</w:t>
      </w:r>
      <w:r w:rsidR="00621EB4">
        <w:t xml:space="preserve"> </w:t>
      </w:r>
      <w:r w:rsidR="00954ACD">
        <w:t>w</w:t>
      </w:r>
      <w:r w:rsidRPr="00616592">
        <w:t xml:space="preserve">ebsite to serve as a </w:t>
      </w:r>
      <w:r w:rsidRPr="00AC2E3C">
        <w:t>clearinghouse</w:t>
      </w:r>
      <w:r w:rsidRPr="00616592">
        <w:t xml:space="preserve"> of support materials for LEAs, which will include</w:t>
      </w:r>
      <w:r w:rsidR="00AA6A84" w:rsidRPr="00616592">
        <w:t xml:space="preserve"> resources</w:t>
      </w:r>
      <w:r w:rsidR="00425E4D">
        <w:t>,</w:t>
      </w:r>
      <w:r w:rsidR="00AA6A84" w:rsidRPr="00616592">
        <w:t xml:space="preserve"> including, but not limited to</w:t>
      </w:r>
      <w:r w:rsidRPr="00616592">
        <w:t>:</w:t>
      </w:r>
    </w:p>
    <w:p w14:paraId="0D2C8688" w14:textId="129F30A6" w:rsidR="00C3783C" w:rsidRPr="00616592" w:rsidRDefault="009A3ADB" w:rsidP="000F390E">
      <w:pPr>
        <w:pStyle w:val="ListParagraph"/>
        <w:numPr>
          <w:ilvl w:val="1"/>
          <w:numId w:val="24"/>
        </w:numPr>
        <w:spacing w:before="0" w:after="0"/>
        <w:ind w:left="2520"/>
      </w:pPr>
      <w:r>
        <w:t>W</w:t>
      </w:r>
      <w:r w:rsidR="009B4CC5" w:rsidRPr="00616592">
        <w:t>eb conference</w:t>
      </w:r>
      <w:r w:rsidR="00C3783C" w:rsidRPr="00616592">
        <w:t xml:space="preserve"> recording</w:t>
      </w:r>
      <w:r w:rsidR="00716CE0">
        <w:t>s</w:t>
      </w:r>
    </w:p>
    <w:p w14:paraId="3B1594DC" w14:textId="001A0C7A" w:rsidR="00C3783C" w:rsidRPr="00616592" w:rsidRDefault="00D7052A" w:rsidP="000F390E">
      <w:pPr>
        <w:pStyle w:val="ListParagraph"/>
        <w:numPr>
          <w:ilvl w:val="1"/>
          <w:numId w:val="24"/>
        </w:numPr>
        <w:spacing w:before="0" w:after="0"/>
        <w:ind w:left="2520"/>
      </w:pPr>
      <w:r>
        <w:t>T</w:t>
      </w:r>
      <w:r w:rsidR="00C3783C" w:rsidRPr="00616592">
        <w:t>raining PowerPoint presentations</w:t>
      </w:r>
    </w:p>
    <w:p w14:paraId="45FC820E" w14:textId="025D5255" w:rsidR="00C3783C" w:rsidRDefault="00D7052A" w:rsidP="000F390E">
      <w:pPr>
        <w:pStyle w:val="ListParagraph"/>
        <w:numPr>
          <w:ilvl w:val="1"/>
          <w:numId w:val="24"/>
        </w:numPr>
        <w:spacing w:before="0" w:after="0"/>
        <w:ind w:left="2520"/>
      </w:pPr>
      <w:r>
        <w:t>S</w:t>
      </w:r>
      <w:r w:rsidR="00C3783C" w:rsidRPr="00616592">
        <w:t xml:space="preserve">tudent </w:t>
      </w:r>
      <w:r w:rsidR="009A3ADB">
        <w:t>TUPE</w:t>
      </w:r>
      <w:r w:rsidR="00C3783C" w:rsidRPr="00616592">
        <w:t xml:space="preserve"> curricula</w:t>
      </w:r>
    </w:p>
    <w:p w14:paraId="63849130" w14:textId="512C2839" w:rsidR="00AC2E3C" w:rsidRPr="00616592" w:rsidRDefault="00D7052A" w:rsidP="000F390E">
      <w:pPr>
        <w:pStyle w:val="ListParagraph"/>
        <w:numPr>
          <w:ilvl w:val="1"/>
          <w:numId w:val="24"/>
        </w:numPr>
        <w:spacing w:before="0" w:after="0"/>
        <w:ind w:left="2520"/>
      </w:pPr>
      <w:r>
        <w:t>E</w:t>
      </w:r>
      <w:r w:rsidR="00AC2E3C">
        <w:t>ducational materials</w:t>
      </w:r>
    </w:p>
    <w:p w14:paraId="2334C60A" w14:textId="043C478E" w:rsidR="00E42B85" w:rsidRPr="00616592" w:rsidRDefault="001E33C5" w:rsidP="00A44586">
      <w:pPr>
        <w:pStyle w:val="ListParagraph"/>
        <w:keepNext/>
        <w:keepLines/>
        <w:numPr>
          <w:ilvl w:val="0"/>
          <w:numId w:val="25"/>
        </w:numPr>
        <w:spacing w:after="0" w:line="231" w:lineRule="atLeast"/>
        <w:ind w:left="1800"/>
      </w:pPr>
      <w:r w:rsidRPr="00616592">
        <w:t>Support</w:t>
      </w:r>
      <w:r w:rsidR="00F07529">
        <w:t xml:space="preserve"> </w:t>
      </w:r>
      <w:r w:rsidR="00F21891" w:rsidRPr="00616592">
        <w:t>TUPE</w:t>
      </w:r>
      <w:r w:rsidR="004D76F5">
        <w:t>-funded</w:t>
      </w:r>
      <w:r w:rsidR="00F21891" w:rsidRPr="00616592">
        <w:t xml:space="preserve"> programs by serving as the </w:t>
      </w:r>
      <w:r w:rsidR="00BE224E" w:rsidRPr="00616592">
        <w:t>Expert Lead Agency</w:t>
      </w:r>
      <w:r w:rsidR="00F21891" w:rsidRPr="00616592">
        <w:t xml:space="preserve"> in implementing local </w:t>
      </w:r>
      <w:r w:rsidR="004D76F5">
        <w:t>TUPE</w:t>
      </w:r>
      <w:r w:rsidR="00F21891" w:rsidRPr="00616592">
        <w:t xml:space="preserve"> programs</w:t>
      </w:r>
      <w:r w:rsidR="00867CDA" w:rsidRPr="00616592">
        <w:t>.</w:t>
      </w:r>
    </w:p>
    <w:p w14:paraId="323564C5" w14:textId="2AC113F8" w:rsidR="00F21891" w:rsidRPr="00616592" w:rsidRDefault="00D944DF" w:rsidP="00A44586">
      <w:pPr>
        <w:pStyle w:val="ListParagraph"/>
        <w:numPr>
          <w:ilvl w:val="0"/>
          <w:numId w:val="25"/>
        </w:numPr>
        <w:spacing w:after="0" w:line="231" w:lineRule="atLeast"/>
        <w:ind w:left="1800"/>
      </w:pPr>
      <w:r w:rsidRPr="00616592">
        <w:t xml:space="preserve">Deliver ongoing workshops and </w:t>
      </w:r>
      <w:r w:rsidR="0024373A" w:rsidRPr="00616592">
        <w:t>coaching</w:t>
      </w:r>
      <w:r w:rsidR="008A4AC6" w:rsidRPr="00616592">
        <w:t xml:space="preserve"> </w:t>
      </w:r>
      <w:r w:rsidR="00F21891" w:rsidRPr="00616592">
        <w:t>through teleconferences and webinars</w:t>
      </w:r>
      <w:r w:rsidRPr="00616592">
        <w:t xml:space="preserve"> for COEs to assist in the </w:t>
      </w:r>
      <w:r w:rsidR="00F21891" w:rsidRPr="00616592">
        <w:t>implementation of tobacco-use prevention programing.</w:t>
      </w:r>
    </w:p>
    <w:p w14:paraId="486EC986" w14:textId="1DE959F8" w:rsidR="00C16F14" w:rsidRPr="00616592" w:rsidRDefault="00DE1A8C" w:rsidP="00546565">
      <w:pPr>
        <w:spacing w:after="0"/>
        <w:ind w:left="720"/>
      </w:pPr>
      <w:r w:rsidRPr="00616592">
        <w:t xml:space="preserve">The </w:t>
      </w:r>
      <w:r w:rsidR="00546565">
        <w:t>CDE TUPE Office</w:t>
      </w:r>
      <w:r w:rsidR="00C16F14" w:rsidRPr="00616592">
        <w:t xml:space="preserve"> will partner with the </w:t>
      </w:r>
      <w:r w:rsidR="00EC188E" w:rsidRPr="00616592">
        <w:t xml:space="preserve">TUPE </w:t>
      </w:r>
      <w:r w:rsidR="00427DCB">
        <w:t>CBP</w:t>
      </w:r>
      <w:r w:rsidR="00546565">
        <w:t xml:space="preserve"> grantee</w:t>
      </w:r>
      <w:r w:rsidR="00C16F14" w:rsidRPr="00616592">
        <w:t xml:space="preserve"> to fulfill these responsibilities.</w:t>
      </w:r>
    </w:p>
    <w:p w14:paraId="35B5AE04" w14:textId="3B58B933" w:rsidR="000C42C3" w:rsidRPr="00616592" w:rsidRDefault="004D76F5" w:rsidP="00546565">
      <w:pPr>
        <w:spacing w:after="0"/>
        <w:ind w:left="720"/>
      </w:pPr>
      <w:r>
        <w:t>Grant a</w:t>
      </w:r>
      <w:r w:rsidR="00626E9A" w:rsidRPr="00616592">
        <w:t>pplication</w:t>
      </w:r>
      <w:r w:rsidR="00AA6A84" w:rsidRPr="00616592">
        <w:t xml:space="preserve">s </w:t>
      </w:r>
      <w:r w:rsidR="00626E9A" w:rsidRPr="00616592">
        <w:t>must reflect the applicant’s</w:t>
      </w:r>
      <w:r w:rsidR="00AA6A84" w:rsidRPr="00616592">
        <w:t xml:space="preserve"> qualifications to </w:t>
      </w:r>
      <w:r w:rsidR="000C42C3" w:rsidRPr="00616592">
        <w:t>successfully accomplish the responsibilities listed above</w:t>
      </w:r>
      <w:r w:rsidR="00621EB4">
        <w:t xml:space="preserve">. </w:t>
      </w:r>
      <w:r w:rsidR="000C42C3" w:rsidRPr="00616592">
        <w:t>These qualifications include:</w:t>
      </w:r>
    </w:p>
    <w:p w14:paraId="646FBDB4" w14:textId="175DB26F" w:rsidR="000C42C3" w:rsidRDefault="004D6893" w:rsidP="00A44586">
      <w:pPr>
        <w:pStyle w:val="ListParagraph"/>
        <w:numPr>
          <w:ilvl w:val="0"/>
          <w:numId w:val="26"/>
        </w:numPr>
        <w:spacing w:after="0"/>
      </w:pPr>
      <w:r>
        <w:t>A</w:t>
      </w:r>
      <w:r w:rsidR="00782662" w:rsidRPr="00616592">
        <w:t xml:space="preserve"> minimum of </w:t>
      </w:r>
      <w:r w:rsidR="00750D4E">
        <w:t>five (</w:t>
      </w:r>
      <w:r w:rsidR="00782662" w:rsidRPr="00616592">
        <w:t>5</w:t>
      </w:r>
      <w:r w:rsidR="00750D4E">
        <w:t>)</w:t>
      </w:r>
      <w:r w:rsidR="00716CE0">
        <w:t xml:space="preserve"> years of experience</w:t>
      </w:r>
      <w:r w:rsidR="004D76F5">
        <w:t xml:space="preserve"> in</w:t>
      </w:r>
      <w:r w:rsidR="00782662" w:rsidRPr="00616592">
        <w:t xml:space="preserve"> </w:t>
      </w:r>
      <w:r w:rsidR="00E93415">
        <w:t>implementing a local TUPE P</w:t>
      </w:r>
      <w:r w:rsidR="00782662" w:rsidRPr="00616592">
        <w:t xml:space="preserve">rogram; </w:t>
      </w:r>
    </w:p>
    <w:p w14:paraId="2A0412F8" w14:textId="4477AFD7" w:rsidR="00C00445" w:rsidRDefault="004D6893" w:rsidP="00A44586">
      <w:pPr>
        <w:pStyle w:val="ListParagraph"/>
        <w:numPr>
          <w:ilvl w:val="0"/>
          <w:numId w:val="26"/>
        </w:numPr>
        <w:spacing w:after="0"/>
      </w:pPr>
      <w:r>
        <w:t>D</w:t>
      </w:r>
      <w:r w:rsidR="000C42C3" w:rsidRPr="00616592">
        <w:t>emonstrated</w:t>
      </w:r>
      <w:r w:rsidR="00782662" w:rsidRPr="00616592">
        <w:t xml:space="preserve"> initiative in working with medical officers, public health</w:t>
      </w:r>
      <w:r w:rsidR="00750D4E">
        <w:t xml:space="preserve"> </w:t>
      </w:r>
      <w:r w:rsidR="00A563B9">
        <w:t>practitioners</w:t>
      </w:r>
      <w:r w:rsidR="00750D4E">
        <w:t>,</w:t>
      </w:r>
      <w:r w:rsidR="00782662" w:rsidRPr="00616592">
        <w:t xml:space="preserve"> and behavioral health partners</w:t>
      </w:r>
      <w:r w:rsidR="000C42C3" w:rsidRPr="00616592">
        <w:t xml:space="preserve"> to address other issues that impact students in middle and high schools</w:t>
      </w:r>
      <w:r w:rsidR="00782662" w:rsidRPr="00616592">
        <w:t xml:space="preserve">; </w:t>
      </w:r>
    </w:p>
    <w:p w14:paraId="75C49D8C" w14:textId="5BDCB717" w:rsidR="00C00445" w:rsidRDefault="004D6893" w:rsidP="00A44586">
      <w:pPr>
        <w:pStyle w:val="ListParagraph"/>
        <w:numPr>
          <w:ilvl w:val="0"/>
          <w:numId w:val="26"/>
        </w:numPr>
        <w:spacing w:after="0"/>
      </w:pPr>
      <w:r>
        <w:t>G</w:t>
      </w:r>
      <w:r w:rsidR="00782662" w:rsidRPr="00616592">
        <w:t>ood standing status in current and past grants from the TUPE Office;</w:t>
      </w:r>
      <w:r w:rsidR="00C00445" w:rsidRPr="00C00445">
        <w:t xml:space="preserve"> </w:t>
      </w:r>
    </w:p>
    <w:p w14:paraId="2BD8707F" w14:textId="7B495152" w:rsidR="00C00445" w:rsidRDefault="004D6893" w:rsidP="00A44586">
      <w:pPr>
        <w:pStyle w:val="ListParagraph"/>
        <w:numPr>
          <w:ilvl w:val="0"/>
          <w:numId w:val="26"/>
        </w:numPr>
        <w:spacing w:after="0"/>
      </w:pPr>
      <w:r>
        <w:t>C</w:t>
      </w:r>
      <w:r w:rsidR="00782662" w:rsidRPr="00616592">
        <w:t>urrent or past role leading other CDE statewide initiatives</w:t>
      </w:r>
      <w:r w:rsidR="00EC1D59" w:rsidRPr="00616592">
        <w:t>;</w:t>
      </w:r>
      <w:r w:rsidR="00ED71A3" w:rsidRPr="00616592">
        <w:t xml:space="preserve"> </w:t>
      </w:r>
    </w:p>
    <w:p w14:paraId="63ED8FB0" w14:textId="1B9EB8E9" w:rsidR="00C00445" w:rsidRDefault="004D6893" w:rsidP="00A44586">
      <w:pPr>
        <w:pStyle w:val="ListParagraph"/>
        <w:numPr>
          <w:ilvl w:val="0"/>
          <w:numId w:val="26"/>
        </w:numPr>
        <w:spacing w:after="0"/>
      </w:pPr>
      <w:r>
        <w:lastRenderedPageBreak/>
        <w:t>E</w:t>
      </w:r>
      <w:r w:rsidR="00750D4E" w:rsidRPr="00616592">
        <w:t>xperience</w:t>
      </w:r>
      <w:r w:rsidR="004D76F5">
        <w:t xml:space="preserve"> in</w:t>
      </w:r>
      <w:r w:rsidR="00750D4E" w:rsidRPr="00616592">
        <w:t xml:space="preserve"> building a website that supports </w:t>
      </w:r>
      <w:r w:rsidR="00750D4E">
        <w:t xml:space="preserve">the work of other </w:t>
      </w:r>
      <w:r w:rsidR="00750D4E" w:rsidRPr="00616592">
        <w:t>CDE</w:t>
      </w:r>
      <w:r w:rsidR="00750D4E">
        <w:t xml:space="preserve"> offices or programs</w:t>
      </w:r>
      <w:r w:rsidR="00750D4E" w:rsidRPr="00616592">
        <w:t xml:space="preserve">; </w:t>
      </w:r>
      <w:r w:rsidR="00716CE0">
        <w:t>and</w:t>
      </w:r>
    </w:p>
    <w:p w14:paraId="4E1DB99F" w14:textId="150A0BC6" w:rsidR="00782662" w:rsidRPr="00616592" w:rsidRDefault="004D6893" w:rsidP="00A44586">
      <w:pPr>
        <w:pStyle w:val="ListParagraph"/>
        <w:numPr>
          <w:ilvl w:val="0"/>
          <w:numId w:val="26"/>
        </w:numPr>
        <w:spacing w:after="0"/>
      </w:pPr>
      <w:r>
        <w:t>A</w:t>
      </w:r>
      <w:r w:rsidR="00626E9A" w:rsidRPr="00616592">
        <w:t xml:space="preserve">bility to </w:t>
      </w:r>
      <w:r w:rsidR="00D944DF" w:rsidRPr="00616592">
        <w:t>support online meetings</w:t>
      </w:r>
      <w:r w:rsidR="0024373A" w:rsidRPr="00616592">
        <w:t>,</w:t>
      </w:r>
      <w:r w:rsidR="00D944DF" w:rsidRPr="00616592">
        <w:t xml:space="preserve"> resource sharing</w:t>
      </w:r>
      <w:r w:rsidR="0024373A" w:rsidRPr="00616592">
        <w:t>, and communication.</w:t>
      </w:r>
      <w:r w:rsidR="00782662" w:rsidRPr="00616592">
        <w:t xml:space="preserve"> </w:t>
      </w:r>
    </w:p>
    <w:p w14:paraId="7C66E8FB" w14:textId="2DD7A854" w:rsidR="00A31D46" w:rsidRDefault="004D76F5" w:rsidP="00AC63FA">
      <w:pPr>
        <w:spacing w:after="0"/>
        <w:ind w:left="720"/>
      </w:pPr>
      <w:r>
        <w:t xml:space="preserve">The grant </w:t>
      </w:r>
      <w:r w:rsidR="00626E9A" w:rsidRPr="00616592">
        <w:t>application process is designed to ensure that all required elements are addressed while providing sufficient flexibility for individual</w:t>
      </w:r>
      <w:r w:rsidR="00EC1D59" w:rsidRPr="00616592">
        <w:t xml:space="preserve"> applicants to </w:t>
      </w:r>
      <w:r w:rsidR="00D944DF" w:rsidRPr="00616592">
        <w:t>share their specific strengths</w:t>
      </w:r>
      <w:r w:rsidR="00626E9A" w:rsidRPr="00616592">
        <w:t>.</w:t>
      </w:r>
    </w:p>
    <w:p w14:paraId="1304E7F0" w14:textId="329DEC2F" w:rsidR="000E2E7F" w:rsidRPr="00AA486A" w:rsidRDefault="00477142" w:rsidP="00C50D17">
      <w:pPr>
        <w:pStyle w:val="Heading3"/>
        <w:numPr>
          <w:ilvl w:val="0"/>
          <w:numId w:val="28"/>
        </w:numPr>
        <w:spacing w:before="240"/>
      </w:pPr>
      <w:bookmarkStart w:id="28" w:name="_Toc8915778"/>
      <w:r>
        <w:t>Program Description</w:t>
      </w:r>
      <w:bookmarkEnd w:id="28"/>
    </w:p>
    <w:p w14:paraId="1B7D1F52" w14:textId="60EFB8C5" w:rsidR="000E2E7F" w:rsidRPr="008F572C" w:rsidRDefault="000E2E7F" w:rsidP="00102EC5">
      <w:pPr>
        <w:pStyle w:val="Heading4"/>
        <w:numPr>
          <w:ilvl w:val="0"/>
          <w:numId w:val="29"/>
        </w:numPr>
        <w:spacing w:before="360"/>
      </w:pPr>
      <w:bookmarkStart w:id="29" w:name="_Toc497482080"/>
      <w:bookmarkStart w:id="30" w:name="_Toc497305437"/>
      <w:bookmarkStart w:id="31" w:name="_Toc3534720"/>
      <w:bookmarkStart w:id="32" w:name="_Toc8915779"/>
      <w:r w:rsidRPr="008F572C">
        <w:t>Grant Information</w:t>
      </w:r>
      <w:bookmarkEnd w:id="29"/>
      <w:bookmarkEnd w:id="30"/>
      <w:bookmarkEnd w:id="31"/>
      <w:bookmarkEnd w:id="32"/>
    </w:p>
    <w:p w14:paraId="2A275446" w14:textId="26BC8C1B" w:rsidR="000E2E7F" w:rsidRPr="00616592" w:rsidRDefault="000E2E7F" w:rsidP="00F40542">
      <w:pPr>
        <w:spacing w:after="0"/>
        <w:ind w:left="1080"/>
      </w:pPr>
      <w:r w:rsidRPr="00616592">
        <w:t xml:space="preserve">This application covers the grant period beginning </w:t>
      </w:r>
      <w:r w:rsidR="00A5613A">
        <w:rPr>
          <w:b/>
        </w:rPr>
        <w:t>October 1</w:t>
      </w:r>
      <w:r w:rsidR="00191793" w:rsidRPr="00963120">
        <w:rPr>
          <w:b/>
        </w:rPr>
        <w:t>, 2019</w:t>
      </w:r>
      <w:r w:rsidR="004D76F5">
        <w:rPr>
          <w:b/>
        </w:rPr>
        <w:t>,</w:t>
      </w:r>
      <w:r w:rsidRPr="00963120">
        <w:rPr>
          <w:b/>
        </w:rPr>
        <w:t xml:space="preserve"> and ending </w:t>
      </w:r>
      <w:r w:rsidR="00BC10BA">
        <w:rPr>
          <w:b/>
        </w:rPr>
        <w:t>June 30, 2022</w:t>
      </w:r>
      <w:r w:rsidRPr="00963120">
        <w:rPr>
          <w:b/>
        </w:rPr>
        <w:t>.</w:t>
      </w:r>
      <w:r w:rsidRPr="00616592">
        <w:t xml:space="preserve"> The total grant budget for this RFA</w:t>
      </w:r>
      <w:r w:rsidR="007351A6">
        <w:t xml:space="preserve"> is </w:t>
      </w:r>
      <w:r w:rsidR="00191793" w:rsidRPr="00616592">
        <w:t xml:space="preserve">approximately </w:t>
      </w:r>
      <w:r w:rsidRPr="00006BE0">
        <w:t>$</w:t>
      </w:r>
      <w:r w:rsidR="00915CC9">
        <w:t>5.5</w:t>
      </w:r>
      <w:r w:rsidR="00224E24" w:rsidRPr="00616592">
        <w:t xml:space="preserve"> million</w:t>
      </w:r>
      <w:r w:rsidRPr="00616592">
        <w:t xml:space="preserve">. </w:t>
      </w:r>
    </w:p>
    <w:p w14:paraId="43BB361D" w14:textId="77777777" w:rsidR="004D76F5" w:rsidRDefault="000E2E7F" w:rsidP="00F40542">
      <w:pPr>
        <w:spacing w:after="0"/>
        <w:ind w:left="1080"/>
      </w:pPr>
      <w:r w:rsidRPr="00616592">
        <w:t xml:space="preserve">The </w:t>
      </w:r>
      <w:r w:rsidR="00EC188E" w:rsidRPr="00616592">
        <w:t xml:space="preserve">TUPE </w:t>
      </w:r>
      <w:r w:rsidR="00427DCB">
        <w:t>CBP</w:t>
      </w:r>
      <w:r w:rsidR="00A90F3E" w:rsidRPr="00616592">
        <w:t xml:space="preserve"> </w:t>
      </w:r>
      <w:r w:rsidR="003B249F">
        <w:t xml:space="preserve">grantee </w:t>
      </w:r>
      <w:r w:rsidR="00A90F3E" w:rsidRPr="00616592">
        <w:t>will be</w:t>
      </w:r>
      <w:r w:rsidRPr="00616592">
        <w:t xml:space="preserve"> selected for a term </w:t>
      </w:r>
      <w:r w:rsidR="007D77F9" w:rsidRPr="00616592">
        <w:t>en</w:t>
      </w:r>
      <w:r w:rsidR="00D37701" w:rsidRPr="00616592">
        <w:t xml:space="preserve">ding no later than </w:t>
      </w:r>
    </w:p>
    <w:p w14:paraId="41D8BFD8" w14:textId="55FBD224" w:rsidR="000E2E7F" w:rsidRPr="00616592" w:rsidRDefault="00BC10BA" w:rsidP="004D76F5">
      <w:pPr>
        <w:spacing w:before="0" w:after="0"/>
        <w:ind w:left="1080"/>
      </w:pPr>
      <w:r>
        <w:t>June 30, 2022</w:t>
      </w:r>
      <w:r w:rsidR="000E2E7F" w:rsidRPr="00616592">
        <w:t xml:space="preserve">. </w:t>
      </w:r>
      <w:r w:rsidR="000B0666" w:rsidRPr="00616592">
        <w:t xml:space="preserve">Annual review of the </w:t>
      </w:r>
      <w:r w:rsidR="00EC188E" w:rsidRPr="00616592">
        <w:t xml:space="preserve">TUPE </w:t>
      </w:r>
      <w:r w:rsidR="00427DCB">
        <w:t>CBP</w:t>
      </w:r>
      <w:r w:rsidR="00ED71A3" w:rsidRPr="00616592">
        <w:t xml:space="preserve"> </w:t>
      </w:r>
      <w:r w:rsidR="002C39B5">
        <w:t xml:space="preserve">grantee’s </w:t>
      </w:r>
      <w:r w:rsidR="00ED71A3" w:rsidRPr="00616592">
        <w:t>effort</w:t>
      </w:r>
      <w:r w:rsidR="000B0666" w:rsidRPr="00616592">
        <w:t xml:space="preserve"> </w:t>
      </w:r>
      <w:r w:rsidR="00A90F3E" w:rsidRPr="00616592">
        <w:t>will be</w:t>
      </w:r>
      <w:r w:rsidR="000B0666" w:rsidRPr="00616592">
        <w:t xml:space="preserve"> required for continued funding.</w:t>
      </w:r>
      <w:r w:rsidR="00BF0951" w:rsidRPr="00616592">
        <w:t xml:space="preserve"> </w:t>
      </w:r>
      <w:r w:rsidR="00191793" w:rsidRPr="00616592">
        <w:t xml:space="preserve">The </w:t>
      </w:r>
      <w:r w:rsidR="003B249F">
        <w:t xml:space="preserve">TUPE Office </w:t>
      </w:r>
      <w:r w:rsidR="00BF0951" w:rsidRPr="00616592">
        <w:t xml:space="preserve">may either renew or reopen the selection of the </w:t>
      </w:r>
      <w:r w:rsidR="00EC188E" w:rsidRPr="00616592">
        <w:t xml:space="preserve">TUPE </w:t>
      </w:r>
      <w:r w:rsidR="00427DCB">
        <w:t>CBP</w:t>
      </w:r>
      <w:r w:rsidR="005B4284">
        <w:t xml:space="preserve"> grantee</w:t>
      </w:r>
      <w:r w:rsidR="00BF0951" w:rsidRPr="00616592">
        <w:t xml:space="preserve"> </w:t>
      </w:r>
      <w:r w:rsidR="005B4284">
        <w:t xml:space="preserve">if </w:t>
      </w:r>
      <w:r w:rsidR="00BF0951" w:rsidRPr="00616592">
        <w:t xml:space="preserve">the </w:t>
      </w:r>
      <w:r w:rsidR="00191793" w:rsidRPr="00616592">
        <w:t>duties described in this RFA are fulfilled</w:t>
      </w:r>
      <w:r w:rsidR="00BF0951" w:rsidRPr="00616592">
        <w:t xml:space="preserve">. To be considered for renewal, </w:t>
      </w:r>
      <w:r w:rsidR="00191793" w:rsidRPr="00616592">
        <w:t xml:space="preserve">the </w:t>
      </w:r>
      <w:r w:rsidR="00EC188E" w:rsidRPr="00616592">
        <w:t xml:space="preserve">TUPE </w:t>
      </w:r>
      <w:r w:rsidR="00427DCB">
        <w:t>CBP</w:t>
      </w:r>
      <w:r w:rsidR="00BF0951" w:rsidRPr="00616592">
        <w:t xml:space="preserve"> </w:t>
      </w:r>
      <w:r w:rsidR="003B249F">
        <w:t xml:space="preserve">grantee </w:t>
      </w:r>
      <w:r w:rsidR="00BF0951" w:rsidRPr="00616592">
        <w:t xml:space="preserve">must demonstrate success in meeting the goals </w:t>
      </w:r>
      <w:r w:rsidR="00D37701" w:rsidRPr="00616592">
        <w:t xml:space="preserve">it has established for </w:t>
      </w:r>
      <w:r w:rsidR="00BF0951" w:rsidRPr="00616592">
        <w:t xml:space="preserve">increasing the capacity of </w:t>
      </w:r>
      <w:r w:rsidR="005B4284">
        <w:t>the</w:t>
      </w:r>
      <w:r w:rsidR="00F52972">
        <w:t xml:space="preserve"> </w:t>
      </w:r>
      <w:r w:rsidR="002F2E1A" w:rsidRPr="00EB20C7">
        <w:t>TUPE</w:t>
      </w:r>
      <w:r w:rsidR="00DA5DB9" w:rsidRPr="00EB20C7">
        <w:t xml:space="preserve"> </w:t>
      </w:r>
      <w:r w:rsidR="005B4284">
        <w:t xml:space="preserve">County </w:t>
      </w:r>
      <w:r w:rsidR="00DA5DB9" w:rsidRPr="00EB20C7">
        <w:t>Coordinators</w:t>
      </w:r>
      <w:r w:rsidR="004C41EE" w:rsidRPr="00EB20C7">
        <w:t xml:space="preserve"> and TUPE</w:t>
      </w:r>
      <w:r w:rsidR="005B4284">
        <w:t>-</w:t>
      </w:r>
      <w:r w:rsidR="004C41EE" w:rsidRPr="00EB20C7">
        <w:t>funded LEAs</w:t>
      </w:r>
      <w:r w:rsidR="00DA5DB9" w:rsidRPr="00616592">
        <w:t>.</w:t>
      </w:r>
    </w:p>
    <w:p w14:paraId="3344A713" w14:textId="70D935F0" w:rsidR="000E2E7F" w:rsidRPr="00D31C26" w:rsidRDefault="000E2E7F" w:rsidP="0024561D">
      <w:pPr>
        <w:pStyle w:val="Heading4"/>
      </w:pPr>
      <w:bookmarkStart w:id="33" w:name="_Toc497482081"/>
      <w:bookmarkStart w:id="34" w:name="_Toc497305438"/>
      <w:bookmarkStart w:id="35" w:name="_Toc3534721"/>
      <w:bookmarkStart w:id="36" w:name="_Toc8915780"/>
      <w:r w:rsidRPr="00D31C26">
        <w:t>Eligibility Requirements</w:t>
      </w:r>
      <w:bookmarkEnd w:id="33"/>
      <w:bookmarkEnd w:id="34"/>
      <w:bookmarkEnd w:id="35"/>
      <w:bookmarkEnd w:id="36"/>
    </w:p>
    <w:p w14:paraId="1E9B02C4" w14:textId="7FDD8EA2" w:rsidR="009B04E8" w:rsidRPr="00616592" w:rsidRDefault="005B4284" w:rsidP="00853004">
      <w:pPr>
        <w:spacing w:after="0"/>
        <w:ind w:left="1080"/>
        <w:rPr>
          <w:bCs/>
          <w:color w:val="0000FF"/>
          <w:u w:val="single"/>
          <w:shd w:val="clear" w:color="auto" w:fill="auto"/>
        </w:rPr>
      </w:pPr>
      <w:r>
        <w:rPr>
          <w:bCs/>
          <w:color w:val="auto"/>
          <w:shd w:val="clear" w:color="auto" w:fill="auto"/>
        </w:rPr>
        <w:t>Grant a</w:t>
      </w:r>
      <w:r w:rsidR="009B04E8" w:rsidRPr="00616592">
        <w:rPr>
          <w:bCs/>
          <w:color w:val="auto"/>
          <w:shd w:val="clear" w:color="auto" w:fill="auto"/>
        </w:rPr>
        <w:t xml:space="preserve">pplicants must meet all </w:t>
      </w:r>
      <w:r>
        <w:rPr>
          <w:bCs/>
          <w:color w:val="auto"/>
          <w:shd w:val="clear" w:color="auto" w:fill="auto"/>
        </w:rPr>
        <w:t xml:space="preserve">of </w:t>
      </w:r>
      <w:r w:rsidR="009B04E8" w:rsidRPr="00616592">
        <w:rPr>
          <w:bCs/>
          <w:color w:val="auto"/>
          <w:shd w:val="clear" w:color="auto" w:fill="auto"/>
        </w:rPr>
        <w:t>the eligibility requirements</w:t>
      </w:r>
      <w:r w:rsidR="00FF7B4F">
        <w:rPr>
          <w:bCs/>
          <w:color w:val="auto"/>
          <w:shd w:val="clear" w:color="auto" w:fill="auto"/>
        </w:rPr>
        <w:t xml:space="preserve"> described</w:t>
      </w:r>
      <w:r w:rsidR="009B04E8" w:rsidRPr="00616592">
        <w:rPr>
          <w:bCs/>
          <w:color w:val="auto"/>
          <w:shd w:val="clear" w:color="auto" w:fill="auto"/>
        </w:rPr>
        <w:t xml:space="preserve"> below. The programs offered by applicants must meet the requirements set forth in this </w:t>
      </w:r>
      <w:r w:rsidR="00EC188E" w:rsidRPr="007A3FD0">
        <w:rPr>
          <w:bCs/>
          <w:color w:val="auto"/>
          <w:shd w:val="clear" w:color="auto" w:fill="auto"/>
        </w:rPr>
        <w:t xml:space="preserve">TUPE </w:t>
      </w:r>
      <w:r w:rsidR="00750D0B" w:rsidRPr="007A3FD0">
        <w:rPr>
          <w:bCs/>
          <w:color w:val="auto"/>
          <w:shd w:val="clear" w:color="auto" w:fill="auto"/>
        </w:rPr>
        <w:t>CBP</w:t>
      </w:r>
      <w:r w:rsidR="005773D2" w:rsidRPr="007A3FD0">
        <w:rPr>
          <w:bCs/>
          <w:color w:val="auto"/>
          <w:shd w:val="clear" w:color="auto" w:fill="auto"/>
        </w:rPr>
        <w:t xml:space="preserve"> </w:t>
      </w:r>
      <w:r w:rsidR="00EF7F53">
        <w:rPr>
          <w:bCs/>
          <w:color w:val="auto"/>
          <w:shd w:val="clear" w:color="auto" w:fill="auto"/>
        </w:rPr>
        <w:t>G</w:t>
      </w:r>
      <w:r w:rsidR="005773D2" w:rsidRPr="007A3FD0">
        <w:rPr>
          <w:bCs/>
          <w:color w:val="auto"/>
          <w:shd w:val="clear" w:color="auto" w:fill="auto"/>
        </w:rPr>
        <w:t>rant</w:t>
      </w:r>
      <w:r w:rsidR="009B04E8" w:rsidRPr="007A3FD0">
        <w:rPr>
          <w:bCs/>
          <w:color w:val="auto"/>
          <w:shd w:val="clear" w:color="auto" w:fill="auto"/>
        </w:rPr>
        <w:t xml:space="preserve"> RFA</w:t>
      </w:r>
      <w:r w:rsidR="009B04E8" w:rsidRPr="00616592">
        <w:rPr>
          <w:bCs/>
          <w:color w:val="auto"/>
          <w:shd w:val="clear" w:color="auto" w:fill="auto"/>
        </w:rPr>
        <w:t xml:space="preserve">. Thus, applicants must read and understand this entire </w:t>
      </w:r>
      <w:r w:rsidR="00D9627C" w:rsidRPr="007A3FD0">
        <w:rPr>
          <w:bCs/>
          <w:color w:val="auto"/>
          <w:shd w:val="clear" w:color="auto" w:fill="auto"/>
        </w:rPr>
        <w:t>RFA</w:t>
      </w:r>
      <w:r w:rsidR="009B04E8" w:rsidRPr="00616592">
        <w:rPr>
          <w:bCs/>
          <w:color w:val="auto"/>
          <w:shd w:val="clear" w:color="auto" w:fill="auto"/>
        </w:rPr>
        <w:t xml:space="preserve"> </w:t>
      </w:r>
      <w:r w:rsidR="000F2090">
        <w:rPr>
          <w:bCs/>
          <w:color w:val="auto"/>
          <w:shd w:val="clear" w:color="auto" w:fill="auto"/>
        </w:rPr>
        <w:t xml:space="preserve">and </w:t>
      </w:r>
      <w:r w:rsidR="009B04E8" w:rsidRPr="00616592">
        <w:rPr>
          <w:bCs/>
          <w:color w:val="auto"/>
          <w:shd w:val="clear" w:color="auto" w:fill="auto"/>
        </w:rPr>
        <w:t xml:space="preserve">consider all requirements for eligibility and program requirements prior to submitting an application. Any questions regarding this </w:t>
      </w:r>
      <w:r w:rsidR="00EC188E" w:rsidRPr="00616592">
        <w:rPr>
          <w:bCs/>
          <w:color w:val="auto"/>
          <w:shd w:val="clear" w:color="auto" w:fill="auto"/>
        </w:rPr>
        <w:t xml:space="preserve">TUPE </w:t>
      </w:r>
      <w:r w:rsidR="009D610C">
        <w:rPr>
          <w:bCs/>
          <w:color w:val="auto"/>
          <w:shd w:val="clear" w:color="auto" w:fill="auto"/>
        </w:rPr>
        <w:t xml:space="preserve">CBP </w:t>
      </w:r>
      <w:r w:rsidR="009F1AFE">
        <w:rPr>
          <w:bCs/>
          <w:color w:val="auto"/>
          <w:shd w:val="clear" w:color="auto" w:fill="auto"/>
        </w:rPr>
        <w:t>G</w:t>
      </w:r>
      <w:r w:rsidR="009D610C">
        <w:rPr>
          <w:bCs/>
          <w:color w:val="auto"/>
          <w:shd w:val="clear" w:color="auto" w:fill="auto"/>
        </w:rPr>
        <w:t>rant</w:t>
      </w:r>
      <w:r w:rsidR="009D610C" w:rsidRPr="00616592">
        <w:rPr>
          <w:bCs/>
          <w:color w:val="auto"/>
          <w:shd w:val="clear" w:color="auto" w:fill="auto"/>
        </w:rPr>
        <w:t xml:space="preserve"> RFA </w:t>
      </w:r>
      <w:r w:rsidR="009B04E8" w:rsidRPr="00616592">
        <w:rPr>
          <w:bCs/>
          <w:color w:val="auto"/>
          <w:shd w:val="clear" w:color="auto" w:fill="auto"/>
        </w:rPr>
        <w:t xml:space="preserve">should be submitted by email through the </w:t>
      </w:r>
      <w:r w:rsidR="00EC188E" w:rsidRPr="00616592">
        <w:rPr>
          <w:bCs/>
          <w:color w:val="auto"/>
          <w:shd w:val="clear" w:color="auto" w:fill="auto"/>
        </w:rPr>
        <w:t xml:space="preserve">TUPE </w:t>
      </w:r>
      <w:r w:rsidR="009D610C">
        <w:rPr>
          <w:bCs/>
          <w:color w:val="auto"/>
          <w:shd w:val="clear" w:color="auto" w:fill="auto"/>
        </w:rPr>
        <w:t xml:space="preserve">CBP </w:t>
      </w:r>
      <w:r w:rsidR="00EF7F53">
        <w:rPr>
          <w:bCs/>
          <w:color w:val="auto"/>
          <w:shd w:val="clear" w:color="auto" w:fill="auto"/>
        </w:rPr>
        <w:t>G</w:t>
      </w:r>
      <w:r w:rsidR="009D610C">
        <w:rPr>
          <w:bCs/>
          <w:color w:val="auto"/>
          <w:shd w:val="clear" w:color="auto" w:fill="auto"/>
        </w:rPr>
        <w:t>rant</w:t>
      </w:r>
      <w:r w:rsidR="009D610C" w:rsidRPr="00616592">
        <w:rPr>
          <w:bCs/>
          <w:color w:val="auto"/>
          <w:shd w:val="clear" w:color="auto" w:fill="auto"/>
        </w:rPr>
        <w:t xml:space="preserve"> RFA </w:t>
      </w:r>
      <w:r w:rsidR="009B04E8" w:rsidRPr="00616592">
        <w:rPr>
          <w:bCs/>
          <w:color w:val="auto"/>
          <w:shd w:val="clear" w:color="auto" w:fill="auto"/>
        </w:rPr>
        <w:t xml:space="preserve">Helpdesk at </w:t>
      </w:r>
      <w:hyperlink r:id="rId22" w:tooltip="TUPE help desk email address" w:history="1">
        <w:r w:rsidR="009B04E8" w:rsidRPr="00616592">
          <w:rPr>
            <w:bCs/>
            <w:color w:val="0000FF"/>
            <w:u w:val="single"/>
            <w:shd w:val="clear" w:color="auto" w:fill="auto"/>
          </w:rPr>
          <w:t>tupe@cde.ca.gov</w:t>
        </w:r>
      </w:hyperlink>
      <w:r w:rsidR="009B04E8" w:rsidRPr="00EE526A">
        <w:rPr>
          <w:bCs/>
          <w:color w:val="000000" w:themeColor="text1"/>
          <w:shd w:val="clear" w:color="auto" w:fill="auto"/>
        </w:rPr>
        <w:t>.</w:t>
      </w:r>
    </w:p>
    <w:p w14:paraId="63755187" w14:textId="77777777" w:rsidR="009B04E8" w:rsidRPr="00995CB3" w:rsidRDefault="009B04E8" w:rsidP="0024561D">
      <w:pPr>
        <w:pStyle w:val="Heading4"/>
      </w:pPr>
      <w:bookmarkStart w:id="37" w:name="_Toc3789232"/>
      <w:bookmarkStart w:id="38" w:name="_Toc8915781"/>
      <w:bookmarkStart w:id="39" w:name="_Toc3534722"/>
      <w:bookmarkStart w:id="40" w:name="_Toc497482084"/>
      <w:bookmarkStart w:id="41" w:name="_Toc497305442"/>
      <w:r w:rsidRPr="00995CB3">
        <w:t>Who May Apply?</w:t>
      </w:r>
      <w:bookmarkEnd w:id="37"/>
      <w:bookmarkEnd w:id="38"/>
    </w:p>
    <w:p w14:paraId="03E357F5" w14:textId="1DA02EA4" w:rsidR="009B04E8" w:rsidRPr="00616592" w:rsidRDefault="00561F62" w:rsidP="00914A90">
      <w:pPr>
        <w:autoSpaceDE w:val="0"/>
        <w:autoSpaceDN w:val="0"/>
        <w:adjustRightInd w:val="0"/>
        <w:spacing w:after="0"/>
        <w:ind w:firstLine="1080"/>
        <w:rPr>
          <w:color w:val="auto"/>
          <w:shd w:val="clear" w:color="auto" w:fill="auto"/>
        </w:rPr>
      </w:pPr>
      <w:r w:rsidRPr="00616592">
        <w:rPr>
          <w:color w:val="auto"/>
          <w:shd w:val="clear" w:color="auto" w:fill="auto"/>
        </w:rPr>
        <w:t xml:space="preserve">Only </w:t>
      </w:r>
      <w:r w:rsidR="009B04E8" w:rsidRPr="00EB20C7">
        <w:rPr>
          <w:color w:val="auto"/>
          <w:shd w:val="clear" w:color="auto" w:fill="auto"/>
        </w:rPr>
        <w:t>COEs</w:t>
      </w:r>
      <w:r w:rsidR="009B04E8" w:rsidRPr="00616592">
        <w:rPr>
          <w:color w:val="auto"/>
          <w:shd w:val="clear" w:color="auto" w:fill="auto"/>
        </w:rPr>
        <w:t xml:space="preserve"> </w:t>
      </w:r>
      <w:r w:rsidRPr="00616592">
        <w:rPr>
          <w:color w:val="auto"/>
          <w:shd w:val="clear" w:color="auto" w:fill="auto"/>
        </w:rPr>
        <w:t xml:space="preserve">are </w:t>
      </w:r>
      <w:r w:rsidR="00A563B9" w:rsidRPr="00616592">
        <w:rPr>
          <w:color w:val="auto"/>
          <w:shd w:val="clear" w:color="auto" w:fill="auto"/>
        </w:rPr>
        <w:t>eligible</w:t>
      </w:r>
      <w:r w:rsidRPr="00616592">
        <w:rPr>
          <w:color w:val="auto"/>
          <w:shd w:val="clear" w:color="auto" w:fill="auto"/>
        </w:rPr>
        <w:t xml:space="preserve"> to apply under this grant.</w:t>
      </w:r>
    </w:p>
    <w:p w14:paraId="3DCB6B9F" w14:textId="55445516" w:rsidR="00087D7C" w:rsidRPr="001058C1" w:rsidRDefault="00E117AA" w:rsidP="0024561D">
      <w:pPr>
        <w:pStyle w:val="Heading4"/>
        <w:rPr>
          <w:shd w:val="clear" w:color="auto" w:fill="auto"/>
        </w:rPr>
      </w:pPr>
      <w:bookmarkStart w:id="42" w:name="_Toc534785496"/>
      <w:bookmarkStart w:id="43" w:name="_Toc534785586"/>
      <w:bookmarkStart w:id="44" w:name="_Toc534786327"/>
      <w:bookmarkStart w:id="45" w:name="_Toc534786557"/>
      <w:bookmarkStart w:id="46" w:name="_Toc534787252"/>
      <w:bookmarkStart w:id="47" w:name="_Toc534787452"/>
      <w:bookmarkStart w:id="48" w:name="_Toc534788220"/>
      <w:bookmarkStart w:id="49" w:name="_Toc8915782"/>
      <w:bookmarkEnd w:id="42"/>
      <w:bookmarkEnd w:id="43"/>
      <w:bookmarkEnd w:id="44"/>
      <w:bookmarkEnd w:id="45"/>
      <w:bookmarkEnd w:id="46"/>
      <w:bookmarkEnd w:id="47"/>
      <w:bookmarkEnd w:id="48"/>
      <w:r w:rsidRPr="001058C1">
        <w:rPr>
          <w:shd w:val="clear" w:color="auto" w:fill="auto"/>
        </w:rPr>
        <w:t>C</w:t>
      </w:r>
      <w:r w:rsidR="00993E46" w:rsidRPr="001058C1">
        <w:rPr>
          <w:shd w:val="clear" w:color="auto" w:fill="auto"/>
        </w:rPr>
        <w:t xml:space="preserve">apacity </w:t>
      </w:r>
      <w:r w:rsidRPr="001058C1">
        <w:rPr>
          <w:shd w:val="clear" w:color="auto" w:fill="auto"/>
        </w:rPr>
        <w:t>B</w:t>
      </w:r>
      <w:r w:rsidR="00993E46" w:rsidRPr="001058C1">
        <w:rPr>
          <w:shd w:val="clear" w:color="auto" w:fill="auto"/>
        </w:rPr>
        <w:t>uilding E</w:t>
      </w:r>
      <w:r w:rsidR="00087D7C" w:rsidRPr="001058C1">
        <w:rPr>
          <w:shd w:val="clear" w:color="auto" w:fill="auto"/>
        </w:rPr>
        <w:t>xperience</w:t>
      </w:r>
      <w:bookmarkEnd w:id="49"/>
    </w:p>
    <w:p w14:paraId="33F6A7A6" w14:textId="665C84E4" w:rsidR="00087D7C" w:rsidRDefault="009F1AFE" w:rsidP="00920140">
      <w:pPr>
        <w:autoSpaceDE w:val="0"/>
        <w:autoSpaceDN w:val="0"/>
        <w:adjustRightInd w:val="0"/>
        <w:ind w:left="1080"/>
        <w:rPr>
          <w:bCs/>
          <w:color w:val="auto"/>
          <w:shd w:val="clear" w:color="auto" w:fill="auto"/>
        </w:rPr>
      </w:pPr>
      <w:r>
        <w:rPr>
          <w:bCs/>
          <w:color w:val="auto"/>
          <w:shd w:val="clear" w:color="auto" w:fill="auto"/>
        </w:rPr>
        <w:t>Grant a</w:t>
      </w:r>
      <w:r w:rsidR="00087D7C">
        <w:rPr>
          <w:bCs/>
          <w:color w:val="auto"/>
          <w:shd w:val="clear" w:color="auto" w:fill="auto"/>
        </w:rPr>
        <w:t xml:space="preserve">pplicants </w:t>
      </w:r>
      <w:r w:rsidR="00087D7C" w:rsidRPr="00087D7C">
        <w:rPr>
          <w:bCs/>
          <w:color w:val="auto"/>
          <w:shd w:val="clear" w:color="auto" w:fill="auto"/>
        </w:rPr>
        <w:t xml:space="preserve">must have experience in: </w:t>
      </w:r>
    </w:p>
    <w:p w14:paraId="188A5902" w14:textId="73BC75AA" w:rsidR="00087D7C" w:rsidRDefault="00087D7C" w:rsidP="00920140">
      <w:pPr>
        <w:pStyle w:val="ListParagraph"/>
        <w:numPr>
          <w:ilvl w:val="0"/>
          <w:numId w:val="11"/>
        </w:numPr>
        <w:autoSpaceDE w:val="0"/>
        <w:autoSpaceDN w:val="0"/>
        <w:adjustRightInd w:val="0"/>
        <w:spacing w:before="0" w:after="0"/>
        <w:rPr>
          <w:bCs/>
          <w:color w:val="auto"/>
          <w:shd w:val="clear" w:color="auto" w:fill="auto"/>
        </w:rPr>
      </w:pPr>
      <w:r w:rsidRPr="00087D7C">
        <w:rPr>
          <w:bCs/>
          <w:color w:val="auto"/>
          <w:shd w:val="clear" w:color="auto" w:fill="auto"/>
        </w:rPr>
        <w:t xml:space="preserve">Providing </w:t>
      </w:r>
      <w:r w:rsidR="006742CF">
        <w:rPr>
          <w:bCs/>
          <w:color w:val="auto"/>
          <w:shd w:val="clear" w:color="auto" w:fill="auto"/>
        </w:rPr>
        <w:t>capacity building services</w:t>
      </w:r>
      <w:r w:rsidRPr="00087D7C">
        <w:rPr>
          <w:bCs/>
          <w:color w:val="auto"/>
          <w:shd w:val="clear" w:color="auto" w:fill="auto"/>
        </w:rPr>
        <w:t xml:space="preserve"> on </w:t>
      </w:r>
      <w:r w:rsidR="009F1AFE">
        <w:rPr>
          <w:bCs/>
          <w:color w:val="auto"/>
          <w:shd w:val="clear" w:color="auto" w:fill="auto"/>
        </w:rPr>
        <w:t>TUPE</w:t>
      </w:r>
      <w:r w:rsidRPr="00087D7C">
        <w:rPr>
          <w:bCs/>
          <w:color w:val="auto"/>
          <w:shd w:val="clear" w:color="auto" w:fill="auto"/>
        </w:rPr>
        <w:t xml:space="preserve"> to </w:t>
      </w:r>
      <w:r w:rsidR="009F1AFE">
        <w:rPr>
          <w:bCs/>
          <w:color w:val="auto"/>
          <w:shd w:val="clear" w:color="auto" w:fill="auto"/>
        </w:rPr>
        <w:t>LEAs</w:t>
      </w:r>
      <w:r w:rsidRPr="00087D7C">
        <w:rPr>
          <w:bCs/>
          <w:color w:val="auto"/>
          <w:shd w:val="clear" w:color="auto" w:fill="auto"/>
        </w:rPr>
        <w:t xml:space="preserve">; </w:t>
      </w:r>
    </w:p>
    <w:p w14:paraId="2E3645A3" w14:textId="7095C6D9" w:rsidR="00087D7C" w:rsidRDefault="00087D7C" w:rsidP="00920140">
      <w:pPr>
        <w:pStyle w:val="ListParagraph"/>
        <w:numPr>
          <w:ilvl w:val="0"/>
          <w:numId w:val="11"/>
        </w:numPr>
        <w:autoSpaceDE w:val="0"/>
        <w:autoSpaceDN w:val="0"/>
        <w:adjustRightInd w:val="0"/>
        <w:spacing w:before="0" w:after="0"/>
        <w:rPr>
          <w:bCs/>
          <w:color w:val="auto"/>
          <w:shd w:val="clear" w:color="auto" w:fill="auto"/>
        </w:rPr>
      </w:pPr>
      <w:r w:rsidRPr="00087D7C">
        <w:rPr>
          <w:bCs/>
          <w:color w:val="auto"/>
          <w:shd w:val="clear" w:color="auto" w:fill="auto"/>
        </w:rPr>
        <w:t xml:space="preserve">Designing, planning, and coordinating meetings and conferences; </w:t>
      </w:r>
    </w:p>
    <w:p w14:paraId="731A5C79" w14:textId="0675C2AC" w:rsidR="00087D7C" w:rsidRPr="00087D7C" w:rsidRDefault="00087D7C" w:rsidP="00920140">
      <w:pPr>
        <w:pStyle w:val="ListParagraph"/>
        <w:numPr>
          <w:ilvl w:val="0"/>
          <w:numId w:val="11"/>
        </w:numPr>
        <w:autoSpaceDE w:val="0"/>
        <w:autoSpaceDN w:val="0"/>
        <w:adjustRightInd w:val="0"/>
        <w:spacing w:before="0" w:after="0"/>
        <w:rPr>
          <w:bCs/>
          <w:color w:val="auto"/>
          <w:shd w:val="clear" w:color="auto" w:fill="auto"/>
        </w:rPr>
      </w:pPr>
      <w:r w:rsidRPr="00087D7C">
        <w:rPr>
          <w:bCs/>
          <w:color w:val="auto"/>
          <w:shd w:val="clear" w:color="auto" w:fill="auto"/>
        </w:rPr>
        <w:t xml:space="preserve">Conducting web conferences. </w:t>
      </w:r>
    </w:p>
    <w:p w14:paraId="6767CBC4" w14:textId="77777777" w:rsidR="00480DF1" w:rsidRPr="001058C1" w:rsidRDefault="00480DF1" w:rsidP="0024561D">
      <w:pPr>
        <w:pStyle w:val="Heading4"/>
      </w:pPr>
      <w:bookmarkStart w:id="50" w:name="_Toc3789233"/>
      <w:bookmarkStart w:id="51" w:name="_Toc8915783"/>
      <w:bookmarkStart w:id="52" w:name="_Toc3789234"/>
      <w:r w:rsidRPr="001058C1">
        <w:lastRenderedPageBreak/>
        <w:t>Absence of Tobacco Industry Funding or Support</w:t>
      </w:r>
      <w:bookmarkEnd w:id="50"/>
      <w:bookmarkEnd w:id="51"/>
    </w:p>
    <w:p w14:paraId="14010382" w14:textId="36E88ADE" w:rsidR="00480DF1" w:rsidRPr="00616592" w:rsidRDefault="00016D20" w:rsidP="0007252A">
      <w:pPr>
        <w:autoSpaceDE w:val="0"/>
        <w:autoSpaceDN w:val="0"/>
        <w:adjustRightInd w:val="0"/>
        <w:ind w:left="1080"/>
        <w:rPr>
          <w:bCs/>
          <w:color w:val="auto"/>
          <w:shd w:val="clear" w:color="auto" w:fill="auto"/>
        </w:rPr>
      </w:pPr>
      <w:r>
        <w:rPr>
          <w:bCs/>
          <w:color w:val="auto"/>
          <w:shd w:val="clear" w:color="auto" w:fill="auto"/>
        </w:rPr>
        <w:t>Gra</w:t>
      </w:r>
      <w:r w:rsidR="00F52972">
        <w:rPr>
          <w:bCs/>
          <w:color w:val="auto"/>
          <w:shd w:val="clear" w:color="auto" w:fill="auto"/>
        </w:rPr>
        <w:t>n</w:t>
      </w:r>
      <w:r>
        <w:rPr>
          <w:bCs/>
          <w:color w:val="auto"/>
          <w:shd w:val="clear" w:color="auto" w:fill="auto"/>
        </w:rPr>
        <w:t>t a</w:t>
      </w:r>
      <w:r w:rsidR="00480DF1" w:rsidRPr="00616592">
        <w:rPr>
          <w:bCs/>
          <w:color w:val="auto"/>
          <w:shd w:val="clear" w:color="auto" w:fill="auto"/>
        </w:rPr>
        <w:t>pplicants are ineligible for any TUPE grant funding if they have received directly or indirectly, any funding, educational materials, or services from the tobacco industry even if for the purpose of implementing tobacco-use prevention, youth development, intervention, or cessation programs. In addition, TUPE grantees are prohibited from accepting such materials and services for the duration of the grant. Acceptance of such items will result in termination of the grant and the return of all advanced grant funds and may disqualify LEAs from future TUPE funding opportunities.</w:t>
      </w:r>
    </w:p>
    <w:p w14:paraId="05F05BE3" w14:textId="5E1CDA42" w:rsidR="00480DF1" w:rsidRDefault="00480DF1" w:rsidP="0007252A">
      <w:pPr>
        <w:autoSpaceDE w:val="0"/>
        <w:autoSpaceDN w:val="0"/>
        <w:adjustRightInd w:val="0"/>
        <w:spacing w:before="0" w:after="0"/>
        <w:ind w:left="1080"/>
        <w:rPr>
          <w:bCs/>
          <w:color w:val="auto"/>
          <w:shd w:val="clear" w:color="auto" w:fill="auto"/>
        </w:rPr>
      </w:pPr>
      <w:r w:rsidRPr="00616592">
        <w:rPr>
          <w:bCs/>
          <w:color w:val="auto"/>
          <w:shd w:val="clear" w:color="auto" w:fill="auto"/>
        </w:rPr>
        <w:t xml:space="preserve">An original, wet signature by the Superintendent or Designee on the Application Cover Page </w:t>
      </w:r>
      <w:r w:rsidRPr="00C17BD0">
        <w:rPr>
          <w:bCs/>
          <w:color w:val="auto"/>
          <w:shd w:val="clear" w:color="auto" w:fill="auto"/>
        </w:rPr>
        <w:t>(Attachment B)</w:t>
      </w:r>
      <w:r w:rsidRPr="00616592">
        <w:rPr>
          <w:bCs/>
          <w:color w:val="auto"/>
          <w:shd w:val="clear" w:color="auto" w:fill="auto"/>
        </w:rPr>
        <w:t xml:space="preserve"> constitutes an assurance that the </w:t>
      </w:r>
      <w:r w:rsidR="00016D20">
        <w:rPr>
          <w:bCs/>
          <w:color w:val="auto"/>
          <w:shd w:val="clear" w:color="auto" w:fill="auto"/>
        </w:rPr>
        <w:t>a</w:t>
      </w:r>
      <w:r w:rsidRPr="00616592">
        <w:rPr>
          <w:bCs/>
          <w:color w:val="auto"/>
          <w:shd w:val="clear" w:color="auto" w:fill="auto"/>
        </w:rPr>
        <w:t>pplicant will not accept materials, services, or funding from the tobacco industry.</w:t>
      </w:r>
    </w:p>
    <w:p w14:paraId="5B4C8D43" w14:textId="77777777" w:rsidR="00E5181C" w:rsidRPr="001058C1" w:rsidRDefault="00E5181C" w:rsidP="0024561D">
      <w:pPr>
        <w:pStyle w:val="Heading4"/>
      </w:pPr>
      <w:bookmarkStart w:id="53" w:name="_Toc8915784"/>
      <w:r w:rsidRPr="001058C1">
        <w:t>Other Eligibility Requirements</w:t>
      </w:r>
      <w:bookmarkEnd w:id="52"/>
      <w:bookmarkEnd w:id="53"/>
    </w:p>
    <w:p w14:paraId="69FDA1D8" w14:textId="72593C9C" w:rsidR="00087D7C" w:rsidRDefault="00E5181C" w:rsidP="00C65758">
      <w:pPr>
        <w:tabs>
          <w:tab w:val="left" w:pos="1680"/>
          <w:tab w:val="left" w:pos="2160"/>
        </w:tabs>
        <w:autoSpaceDE w:val="0"/>
        <w:autoSpaceDN w:val="0"/>
        <w:adjustRightInd w:val="0"/>
        <w:spacing w:after="0"/>
        <w:ind w:left="1080"/>
        <w:rPr>
          <w:color w:val="auto"/>
          <w:szCs w:val="20"/>
          <w:shd w:val="clear" w:color="auto" w:fill="auto"/>
        </w:rPr>
      </w:pPr>
      <w:r w:rsidRPr="00616592">
        <w:rPr>
          <w:color w:val="auto"/>
          <w:szCs w:val="20"/>
          <w:shd w:val="clear" w:color="auto" w:fill="auto"/>
        </w:rPr>
        <w:t xml:space="preserve">The </w:t>
      </w:r>
      <w:r w:rsidR="00016D20">
        <w:rPr>
          <w:color w:val="auto"/>
          <w:szCs w:val="20"/>
          <w:shd w:val="clear" w:color="auto" w:fill="auto"/>
        </w:rPr>
        <w:t xml:space="preserve">grant </w:t>
      </w:r>
      <w:r w:rsidRPr="00616592">
        <w:rPr>
          <w:color w:val="auto"/>
          <w:szCs w:val="20"/>
          <w:shd w:val="clear" w:color="auto" w:fill="auto"/>
        </w:rPr>
        <w:t>application submitted must (</w:t>
      </w:r>
      <w:r w:rsidR="00016D20">
        <w:rPr>
          <w:color w:val="auto"/>
          <w:szCs w:val="20"/>
          <w:shd w:val="clear" w:color="auto" w:fill="auto"/>
        </w:rPr>
        <w:t>1</w:t>
      </w:r>
      <w:r w:rsidRPr="00616592">
        <w:rPr>
          <w:color w:val="auto"/>
          <w:szCs w:val="20"/>
          <w:shd w:val="clear" w:color="auto" w:fill="auto"/>
        </w:rPr>
        <w:t>) comply with Application Narrative Requirements, (</w:t>
      </w:r>
      <w:r w:rsidR="00016D20">
        <w:rPr>
          <w:color w:val="auto"/>
          <w:szCs w:val="20"/>
          <w:shd w:val="clear" w:color="auto" w:fill="auto"/>
        </w:rPr>
        <w:t>2</w:t>
      </w:r>
      <w:r w:rsidRPr="00616592">
        <w:rPr>
          <w:color w:val="auto"/>
          <w:szCs w:val="20"/>
          <w:shd w:val="clear" w:color="auto" w:fill="auto"/>
        </w:rPr>
        <w:t>) meet all other conditions, requirements</w:t>
      </w:r>
      <w:r w:rsidR="00CE1B99">
        <w:rPr>
          <w:color w:val="auto"/>
          <w:szCs w:val="20"/>
          <w:shd w:val="clear" w:color="auto" w:fill="auto"/>
        </w:rPr>
        <w:t>,</w:t>
      </w:r>
      <w:r w:rsidRPr="00616592">
        <w:rPr>
          <w:color w:val="auto"/>
          <w:szCs w:val="20"/>
          <w:shd w:val="clear" w:color="auto" w:fill="auto"/>
        </w:rPr>
        <w:t xml:space="preserve"> and deadlines, and (</w:t>
      </w:r>
      <w:r w:rsidR="00016D20">
        <w:rPr>
          <w:color w:val="auto"/>
          <w:szCs w:val="20"/>
          <w:shd w:val="clear" w:color="auto" w:fill="auto"/>
        </w:rPr>
        <w:t>3</w:t>
      </w:r>
      <w:r w:rsidRPr="00616592">
        <w:rPr>
          <w:color w:val="auto"/>
          <w:szCs w:val="20"/>
          <w:shd w:val="clear" w:color="auto" w:fill="auto"/>
        </w:rPr>
        <w:t>) provide signatures as set forth in this RFA.</w:t>
      </w:r>
    </w:p>
    <w:p w14:paraId="6D1293B5" w14:textId="77777777" w:rsidR="000E2E7F" w:rsidRPr="00995CB3" w:rsidRDefault="000E2E7F" w:rsidP="0024561D">
      <w:pPr>
        <w:pStyle w:val="Heading4"/>
      </w:pPr>
      <w:bookmarkStart w:id="54" w:name="_Toc3534724"/>
      <w:bookmarkStart w:id="55" w:name="_Toc8915785"/>
      <w:bookmarkEnd w:id="39"/>
      <w:r w:rsidRPr="00995CB3">
        <w:t>Administrative Indirect Cost Rate</w:t>
      </w:r>
      <w:bookmarkEnd w:id="54"/>
      <w:bookmarkEnd w:id="55"/>
    </w:p>
    <w:p w14:paraId="7CB97EDC" w14:textId="4E32C7CD" w:rsidR="000E2E7F" w:rsidRPr="00616592" w:rsidRDefault="000E2E7F" w:rsidP="00C65758">
      <w:pPr>
        <w:ind w:left="1080"/>
      </w:pPr>
      <w:r w:rsidRPr="00963120">
        <w:t xml:space="preserve">The </w:t>
      </w:r>
      <w:r w:rsidR="00EC188E" w:rsidRPr="00963120">
        <w:t xml:space="preserve">TUPE </w:t>
      </w:r>
      <w:r w:rsidR="00427DCB">
        <w:t>CBP</w:t>
      </w:r>
      <w:r w:rsidR="00EC188E" w:rsidRPr="00963120">
        <w:t xml:space="preserve"> </w:t>
      </w:r>
      <w:r w:rsidRPr="00963120">
        <w:t>must limit administrative indirect costs to the rate approved by the CDE for the applicable fiscal year</w:t>
      </w:r>
      <w:r w:rsidR="006C12A6">
        <w:t xml:space="preserve"> (FY)</w:t>
      </w:r>
      <w:r w:rsidRPr="00963120">
        <w:t xml:space="preserve"> in which the funds are spent</w:t>
      </w:r>
      <w:r w:rsidR="00E41FFB">
        <w:t>, which is not to exceed 15 percent.</w:t>
      </w:r>
    </w:p>
    <w:p w14:paraId="7344C4B7" w14:textId="0D674119" w:rsidR="000E2E7F" w:rsidRPr="001058C1" w:rsidRDefault="00477142" w:rsidP="00D77B12">
      <w:pPr>
        <w:pStyle w:val="Heading3"/>
      </w:pPr>
      <w:bookmarkStart w:id="56" w:name="_Toc8915786"/>
      <w:r>
        <w:t>Accountability</w:t>
      </w:r>
      <w:bookmarkEnd w:id="56"/>
    </w:p>
    <w:p w14:paraId="303B97FE" w14:textId="062F28DB" w:rsidR="000E2E7F" w:rsidRPr="00894682" w:rsidRDefault="000E2E7F" w:rsidP="0024561D">
      <w:pPr>
        <w:pStyle w:val="Heading4"/>
        <w:numPr>
          <w:ilvl w:val="0"/>
          <w:numId w:val="30"/>
        </w:numPr>
      </w:pPr>
      <w:bookmarkStart w:id="57" w:name="_Toc3534726"/>
      <w:bookmarkStart w:id="58" w:name="_Toc8915787"/>
      <w:r w:rsidRPr="00894682">
        <w:t>Reporting Requirements</w:t>
      </w:r>
      <w:bookmarkEnd w:id="57"/>
      <w:bookmarkEnd w:id="58"/>
    </w:p>
    <w:p w14:paraId="7942BA52" w14:textId="2CA74467" w:rsidR="00146520" w:rsidRDefault="00C16A00" w:rsidP="00C65758">
      <w:pPr>
        <w:spacing w:after="0"/>
        <w:ind w:left="1080"/>
      </w:pPr>
      <w:r w:rsidRPr="00616592">
        <w:t>An integral part of the reporting requirements is ongoing c</w:t>
      </w:r>
      <w:r w:rsidR="002711FF" w:rsidRPr="00616592">
        <w:t xml:space="preserve">ommunication with </w:t>
      </w:r>
      <w:r w:rsidR="009E532F" w:rsidRPr="00616592">
        <w:t xml:space="preserve">the </w:t>
      </w:r>
      <w:r w:rsidRPr="00616592">
        <w:t>CDE</w:t>
      </w:r>
      <w:r w:rsidR="006C5C0C" w:rsidRPr="00616592">
        <w:t>,</w:t>
      </w:r>
      <w:r w:rsidR="0032289A" w:rsidRPr="00616592">
        <w:t xml:space="preserve"> </w:t>
      </w:r>
      <w:r w:rsidR="00EF34B2" w:rsidRPr="00616592">
        <w:t xml:space="preserve">the </w:t>
      </w:r>
      <w:r w:rsidR="002F2E1A" w:rsidRPr="00993E46">
        <w:t>TUPE</w:t>
      </w:r>
      <w:r w:rsidR="002711FF" w:rsidRPr="00993E46">
        <w:t xml:space="preserve"> </w:t>
      </w:r>
      <w:r w:rsidR="00016D20">
        <w:t xml:space="preserve">County </w:t>
      </w:r>
      <w:r w:rsidR="002711FF" w:rsidRPr="00993E46">
        <w:t>Coordinators</w:t>
      </w:r>
      <w:r w:rsidR="006C5C0C" w:rsidRPr="00993E46">
        <w:t xml:space="preserve">, and </w:t>
      </w:r>
      <w:r w:rsidR="004C41EE" w:rsidRPr="00993E46">
        <w:t>other TUPE-funded LEAs</w:t>
      </w:r>
      <w:r w:rsidR="00EF34B2" w:rsidRPr="00616592">
        <w:t>.</w:t>
      </w:r>
      <w:r w:rsidRPr="00616592">
        <w:t xml:space="preserve"> </w:t>
      </w:r>
      <w:r w:rsidR="007D77F9" w:rsidRPr="00616592">
        <w:t>Additionally</w:t>
      </w:r>
      <w:r w:rsidR="000E2E7F" w:rsidRPr="00616592">
        <w:t>, the following regular reports will be completed and submitted:</w:t>
      </w:r>
    </w:p>
    <w:p w14:paraId="50A7EFDD" w14:textId="77777777" w:rsidR="00FE09A2" w:rsidRPr="00EB20C7" w:rsidRDefault="00C16A00" w:rsidP="00A44586">
      <w:pPr>
        <w:pStyle w:val="ListParagraph"/>
        <w:numPr>
          <w:ilvl w:val="0"/>
          <w:numId w:val="6"/>
        </w:numPr>
        <w:spacing w:after="0"/>
        <w:ind w:left="1800"/>
      </w:pPr>
      <w:r w:rsidRPr="00EB20C7">
        <w:t xml:space="preserve">A </w:t>
      </w:r>
      <w:r w:rsidR="00EF34B2" w:rsidRPr="00EB20C7">
        <w:t>semiannual</w:t>
      </w:r>
      <w:r w:rsidRPr="00EB20C7">
        <w:t xml:space="preserve"> fiscal activity report</w:t>
      </w:r>
      <w:r w:rsidR="00FE09A2" w:rsidRPr="00EB20C7">
        <w:t>.</w:t>
      </w:r>
    </w:p>
    <w:p w14:paraId="0FF2CDD5" w14:textId="70E4B9A3" w:rsidR="007C25E0" w:rsidRPr="00EB20C7" w:rsidRDefault="00FE09A2" w:rsidP="00E46BC7">
      <w:pPr>
        <w:pStyle w:val="ListParagraph"/>
        <w:numPr>
          <w:ilvl w:val="0"/>
          <w:numId w:val="6"/>
        </w:numPr>
        <w:spacing w:before="0" w:after="0"/>
        <w:ind w:left="1800"/>
      </w:pPr>
      <w:r w:rsidRPr="00EB20C7">
        <w:t>Annual Progress Report</w:t>
      </w:r>
      <w:r w:rsidR="00705931" w:rsidRPr="00EB20C7">
        <w:t>.</w:t>
      </w:r>
    </w:p>
    <w:p w14:paraId="56795FB5" w14:textId="2F460FF7" w:rsidR="001B3CF5" w:rsidRPr="00EB20C7" w:rsidRDefault="001B3CF5" w:rsidP="00E46BC7">
      <w:pPr>
        <w:pStyle w:val="ListParagraph"/>
        <w:numPr>
          <w:ilvl w:val="0"/>
          <w:numId w:val="6"/>
        </w:numPr>
        <w:spacing w:before="0" w:after="0"/>
        <w:ind w:left="1800"/>
      </w:pPr>
      <w:r w:rsidRPr="00EB20C7">
        <w:t>Other reports a</w:t>
      </w:r>
      <w:r w:rsidR="0049733E" w:rsidRPr="00EB20C7">
        <w:t>s requested by the CDE</w:t>
      </w:r>
      <w:r w:rsidR="00705931" w:rsidRPr="00EB20C7">
        <w:t>.</w:t>
      </w:r>
    </w:p>
    <w:p w14:paraId="0959952C" w14:textId="6FF922DD" w:rsidR="000E2E7F" w:rsidRDefault="00EF34B2" w:rsidP="00816CED">
      <w:pPr>
        <w:spacing w:after="0"/>
        <w:ind w:left="1080"/>
      </w:pPr>
      <w:r w:rsidRPr="00616592">
        <w:t xml:space="preserve">If the </w:t>
      </w:r>
      <w:r w:rsidR="000E2E7F" w:rsidRPr="00616592">
        <w:t>CDE do</w:t>
      </w:r>
      <w:r w:rsidRPr="00616592">
        <w:t>es</w:t>
      </w:r>
      <w:r w:rsidR="000E2E7F" w:rsidRPr="00616592">
        <w:t xml:space="preserve"> not receiv</w:t>
      </w:r>
      <w:r w:rsidR="00EE69E2" w:rsidRPr="00616592">
        <w:t>e the required reports, program</w:t>
      </w:r>
      <w:r w:rsidR="000E2E7F" w:rsidRPr="00616592">
        <w:t xml:space="preserve"> activities are not completed, </w:t>
      </w:r>
      <w:r w:rsidRPr="00616592">
        <w:t xml:space="preserve">or </w:t>
      </w:r>
      <w:r w:rsidR="000E2E7F" w:rsidRPr="00616592">
        <w:t xml:space="preserve">there is a lack of participation in meetings, </w:t>
      </w:r>
      <w:r w:rsidR="00865D6C" w:rsidRPr="00616592">
        <w:t>a</w:t>
      </w:r>
      <w:r w:rsidR="007D77F9" w:rsidRPr="00616592">
        <w:t xml:space="preserve"> loss of funding</w:t>
      </w:r>
      <w:r w:rsidR="00865D6C" w:rsidRPr="00616592">
        <w:t xml:space="preserve"> could occur</w:t>
      </w:r>
      <w:r w:rsidR="000E2E7F" w:rsidRPr="00616592">
        <w:t xml:space="preserve">. </w:t>
      </w:r>
    </w:p>
    <w:p w14:paraId="43BB6F7F" w14:textId="2C800F9A" w:rsidR="00A76AC4" w:rsidRDefault="00A76AC4">
      <w:pPr>
        <w:spacing w:before="0" w:after="0"/>
      </w:pPr>
      <w:r>
        <w:br w:type="page"/>
      </w:r>
    </w:p>
    <w:p w14:paraId="4CBC7A79" w14:textId="77777777" w:rsidR="000E2E7F" w:rsidRPr="00995CB3" w:rsidRDefault="000E2E7F" w:rsidP="0024561D">
      <w:pPr>
        <w:pStyle w:val="Heading4"/>
      </w:pPr>
      <w:bookmarkStart w:id="59" w:name="_Toc3534727"/>
      <w:bookmarkStart w:id="60" w:name="_Toc8915788"/>
      <w:r w:rsidRPr="00995CB3">
        <w:lastRenderedPageBreak/>
        <w:t>Program Deliverables</w:t>
      </w:r>
      <w:bookmarkEnd w:id="59"/>
      <w:bookmarkEnd w:id="60"/>
    </w:p>
    <w:p w14:paraId="19D0230A" w14:textId="00C90DC5" w:rsidR="00A76AC4" w:rsidRDefault="00410F6D" w:rsidP="00A8194E">
      <w:pPr>
        <w:spacing w:after="0"/>
        <w:ind w:left="1080"/>
      </w:pPr>
      <w:r w:rsidRPr="00616592">
        <w:t xml:space="preserve">The </w:t>
      </w:r>
      <w:r w:rsidR="00EC188E" w:rsidRPr="00616592">
        <w:t xml:space="preserve">TUPE </w:t>
      </w:r>
      <w:r w:rsidR="00427DCB">
        <w:t>CBP</w:t>
      </w:r>
      <w:r w:rsidR="00E5181C" w:rsidRPr="00616592">
        <w:t xml:space="preserve"> </w:t>
      </w:r>
      <w:r w:rsidR="000E2E7F" w:rsidRPr="00616592">
        <w:t>must provide a summary of activities in the annual report</w:t>
      </w:r>
      <w:r w:rsidR="00AC60FF">
        <w:t xml:space="preserve">. The report shall describe materials developed under the grant </w:t>
      </w:r>
      <w:r w:rsidR="00A76AC4">
        <w:t>such as</w:t>
      </w:r>
      <w:r w:rsidR="00056F16">
        <w:t>,</w:t>
      </w:r>
      <w:r w:rsidR="000E2E7F" w:rsidRPr="00616592">
        <w:t xml:space="preserve"> </w:t>
      </w:r>
      <w:r w:rsidR="00DE30F9">
        <w:t>r</w:t>
      </w:r>
      <w:r w:rsidR="000E2E7F" w:rsidRPr="00616592">
        <w:t>esources</w:t>
      </w:r>
      <w:r w:rsidR="00EF34B2" w:rsidRPr="00616592">
        <w:t xml:space="preserve">, procedures, and </w:t>
      </w:r>
      <w:r w:rsidR="00197932" w:rsidRPr="00616592">
        <w:t>templates including</w:t>
      </w:r>
      <w:r w:rsidR="00EF34B2" w:rsidRPr="00616592">
        <w:t xml:space="preserve"> webinar</w:t>
      </w:r>
      <w:r w:rsidR="00056F16">
        <w:t>s</w:t>
      </w:r>
      <w:r w:rsidR="00EF34B2" w:rsidRPr="00616592">
        <w:t xml:space="preserve"> </w:t>
      </w:r>
      <w:r w:rsidR="00C20903" w:rsidRPr="00616592">
        <w:t xml:space="preserve">and workshop </w:t>
      </w:r>
      <w:r w:rsidR="00EF34B2" w:rsidRPr="00616592">
        <w:t>presentation</w:t>
      </w:r>
      <w:r w:rsidR="00E563E3">
        <w:t>s</w:t>
      </w:r>
      <w:r w:rsidR="00EF34B2" w:rsidRPr="00616592">
        <w:t xml:space="preserve">. </w:t>
      </w:r>
      <w:r w:rsidR="00C20903" w:rsidRPr="00616592">
        <w:t xml:space="preserve">All resources created must comply with </w:t>
      </w:r>
      <w:r w:rsidR="00DE1A8C" w:rsidRPr="00616592">
        <w:t xml:space="preserve">federal </w:t>
      </w:r>
      <w:r w:rsidR="00C20903" w:rsidRPr="00616592">
        <w:t>Section 508 of the Rehabilitation Act of 1973.</w:t>
      </w:r>
    </w:p>
    <w:p w14:paraId="18F96439" w14:textId="77777777" w:rsidR="00A76AC4" w:rsidRDefault="00A76AC4" w:rsidP="00A8194E">
      <w:pPr>
        <w:spacing w:after="0"/>
        <w:ind w:left="1080"/>
      </w:pPr>
    </w:p>
    <w:p w14:paraId="3E2197E1" w14:textId="4001CD4B" w:rsidR="00605E2F" w:rsidRPr="00480DF1" w:rsidRDefault="00605E2F" w:rsidP="0024561D">
      <w:pPr>
        <w:pStyle w:val="Heading4"/>
        <w:rPr>
          <w:shd w:val="clear" w:color="auto" w:fill="auto"/>
        </w:rPr>
      </w:pPr>
      <w:bookmarkStart w:id="61" w:name="_Toc3789237"/>
      <w:bookmarkStart w:id="62" w:name="_Toc8915789"/>
      <w:bookmarkStart w:id="63" w:name="_Toc3534730"/>
      <w:r w:rsidRPr="00480DF1">
        <w:rPr>
          <w:shd w:val="clear" w:color="auto" w:fill="auto"/>
        </w:rPr>
        <w:t>Tobacco-Free Policy and Certification</w:t>
      </w:r>
      <w:bookmarkEnd w:id="61"/>
      <w:bookmarkEnd w:id="62"/>
    </w:p>
    <w:p w14:paraId="29CC5FD7" w14:textId="466448EB" w:rsidR="00605E2F" w:rsidRPr="003E64A4" w:rsidRDefault="00605E2F" w:rsidP="00A8194E">
      <w:pPr>
        <w:autoSpaceDE w:val="0"/>
        <w:autoSpaceDN w:val="0"/>
        <w:adjustRightInd w:val="0"/>
        <w:ind w:left="1080"/>
        <w:rPr>
          <w:bCs/>
          <w:color w:val="000000" w:themeColor="text1"/>
          <w:shd w:val="clear" w:color="auto" w:fill="auto"/>
        </w:rPr>
      </w:pPr>
      <w:r w:rsidRPr="003E64A4">
        <w:rPr>
          <w:bCs/>
          <w:color w:val="000000" w:themeColor="text1"/>
          <w:bdr w:val="none" w:sz="0" w:space="0" w:color="auto" w:frame="1"/>
          <w:shd w:val="clear" w:color="auto" w:fill="auto"/>
        </w:rPr>
        <w:t xml:space="preserve">In accordance with </w:t>
      </w:r>
      <w:r w:rsidRPr="003E64A4">
        <w:rPr>
          <w:bCs/>
          <w:i/>
          <w:color w:val="000000" w:themeColor="text1"/>
          <w:szCs w:val="20"/>
        </w:rPr>
        <w:t>HSC</w:t>
      </w:r>
      <w:r w:rsidRPr="003E64A4">
        <w:rPr>
          <w:bCs/>
          <w:i/>
          <w:iCs/>
          <w:color w:val="000000" w:themeColor="text1"/>
          <w:szCs w:val="20"/>
        </w:rPr>
        <w:t xml:space="preserve"> </w:t>
      </w:r>
      <w:r w:rsidRPr="003E64A4">
        <w:rPr>
          <w:bCs/>
          <w:color w:val="000000" w:themeColor="text1"/>
          <w:szCs w:val="20"/>
        </w:rPr>
        <w:t xml:space="preserve">Section 104420(n)(2), </w:t>
      </w:r>
      <w:r w:rsidRPr="003E64A4">
        <w:rPr>
          <w:bCs/>
          <w:color w:val="000000" w:themeColor="text1"/>
          <w:bdr w:val="none" w:sz="0" w:space="0" w:color="auto" w:frame="1"/>
          <w:shd w:val="clear" w:color="auto" w:fill="auto"/>
        </w:rPr>
        <w:t xml:space="preserve">all school districts, charter schools, and COEs that receive TUPE funding must adopt and enforce a tobacco-free campus policy no later than July 1 of each </w:t>
      </w:r>
      <w:r w:rsidR="00056F16">
        <w:rPr>
          <w:bCs/>
          <w:color w:val="000000" w:themeColor="text1"/>
          <w:bdr w:val="none" w:sz="0" w:space="0" w:color="auto" w:frame="1"/>
          <w:shd w:val="clear" w:color="auto" w:fill="auto"/>
        </w:rPr>
        <w:t>FY</w:t>
      </w:r>
      <w:r w:rsidRPr="003E64A4">
        <w:rPr>
          <w:bCs/>
          <w:color w:val="000000" w:themeColor="text1"/>
          <w:bdr w:val="none" w:sz="0" w:space="0" w:color="auto" w:frame="1"/>
          <w:shd w:val="clear" w:color="auto" w:fill="auto"/>
        </w:rPr>
        <w:t>. The policy shall prohibit the use of products containing tobacco and nicotine, including, but not limited to, smokeless tobacco, snuff, chew, clove cigarettes, and e</w:t>
      </w:r>
      <w:r w:rsidR="00056F16">
        <w:rPr>
          <w:bCs/>
          <w:color w:val="000000" w:themeColor="text1"/>
          <w:bdr w:val="none" w:sz="0" w:space="0" w:color="auto" w:frame="1"/>
          <w:shd w:val="clear" w:color="auto" w:fill="auto"/>
        </w:rPr>
        <w:t>lec</w:t>
      </w:r>
      <w:r w:rsidR="00543D4A">
        <w:rPr>
          <w:bCs/>
          <w:color w:val="000000" w:themeColor="text1"/>
          <w:bdr w:val="none" w:sz="0" w:space="0" w:color="auto" w:frame="1"/>
          <w:shd w:val="clear" w:color="auto" w:fill="auto"/>
        </w:rPr>
        <w:t>tronic-cigarettes</w:t>
      </w:r>
      <w:r w:rsidRPr="003E64A4">
        <w:rPr>
          <w:bCs/>
          <w:color w:val="000000" w:themeColor="text1"/>
          <w:bdr w:val="none" w:sz="0" w:space="0" w:color="auto" w:frame="1"/>
          <w:shd w:val="clear" w:color="auto" w:fill="auto"/>
        </w:rPr>
        <w:t xml:space="preserve"> that can deliver nicotine and non-nicotine vaporized solutions, at any time, in charter school or school district-owned or leased buildings, on school or district property, and in school or district vehicles. However, this section does not prohibit the use or possession of prescription products, nicotine patches, or nicotine gum. Information about the policy and enforcement procedures shall be communicated clearly to school personnel, parents, pupils, and the larger community. Signs stating “Tobacco use is prohibited” shall be prominently displayed at all entrances to school property as provided in </w:t>
      </w:r>
      <w:r w:rsidRPr="003E64A4">
        <w:rPr>
          <w:bCs/>
          <w:i/>
          <w:color w:val="000000" w:themeColor="text1"/>
          <w:bdr w:val="none" w:sz="0" w:space="0" w:color="auto" w:frame="1"/>
          <w:shd w:val="clear" w:color="auto" w:fill="auto"/>
        </w:rPr>
        <w:t xml:space="preserve">HSC </w:t>
      </w:r>
      <w:r w:rsidRPr="003E64A4">
        <w:rPr>
          <w:bCs/>
          <w:color w:val="000000" w:themeColor="text1"/>
          <w:bdr w:val="none" w:sz="0" w:space="0" w:color="auto" w:frame="1"/>
          <w:shd w:val="clear" w:color="auto" w:fill="auto"/>
        </w:rPr>
        <w:t>Section 104559. Information about smoking cessation support programs shall be made available and encouraged for pupils and staff. Any school district, charter school, or COE that does not have a tobacco-free district policy implemented by July 1, shall not be eligible to apply for funds from the Cigarette and Tobacco Products Surtax Fund for that FY.</w:t>
      </w:r>
    </w:p>
    <w:p w14:paraId="3F28BFAA" w14:textId="212DAA1A" w:rsidR="00605E2F" w:rsidRPr="003E64A4" w:rsidRDefault="00605E2F" w:rsidP="00A8194E">
      <w:pPr>
        <w:autoSpaceDE w:val="0"/>
        <w:autoSpaceDN w:val="0"/>
        <w:adjustRightInd w:val="0"/>
        <w:spacing w:before="0" w:after="0"/>
        <w:ind w:left="1080"/>
        <w:rPr>
          <w:bCs/>
          <w:color w:val="000000" w:themeColor="text1"/>
          <w:shd w:val="clear" w:color="auto" w:fill="auto"/>
        </w:rPr>
      </w:pPr>
      <w:r w:rsidRPr="003E64A4">
        <w:rPr>
          <w:bCs/>
          <w:color w:val="000000" w:themeColor="text1"/>
          <w:shd w:val="clear" w:color="auto" w:fill="auto"/>
        </w:rPr>
        <w:t>The applicant must have been certified by the CDE as having met the tobacco-free school district criteria. This certification must be valid at least through</w:t>
      </w:r>
      <w:r w:rsidR="00894682" w:rsidRPr="003E64A4">
        <w:rPr>
          <w:bCs/>
          <w:color w:val="000000" w:themeColor="text1"/>
          <w:shd w:val="clear" w:color="auto" w:fill="auto"/>
        </w:rPr>
        <w:t xml:space="preserve"> </w:t>
      </w:r>
      <w:r w:rsidR="00D31C26" w:rsidRPr="003E64A4">
        <w:rPr>
          <w:bCs/>
          <w:color w:val="000000" w:themeColor="text1"/>
          <w:shd w:val="clear" w:color="auto" w:fill="auto"/>
        </w:rPr>
        <w:t>July 1, 201</w:t>
      </w:r>
      <w:r w:rsidR="00E41FFB" w:rsidRPr="003E64A4">
        <w:rPr>
          <w:bCs/>
          <w:color w:val="000000" w:themeColor="text1"/>
          <w:shd w:val="clear" w:color="auto" w:fill="auto"/>
        </w:rPr>
        <w:t>8</w:t>
      </w:r>
      <w:r w:rsidRPr="003E64A4">
        <w:rPr>
          <w:bCs/>
          <w:color w:val="000000" w:themeColor="text1"/>
          <w:shd w:val="clear" w:color="auto" w:fill="auto"/>
        </w:rPr>
        <w:t>. The applicant agency identified in the application must continue to meet the tobacco-free certification criteria, including enforcement of the Tobacco-Free School Policy, during the term of the grant. This requirement extends to all schools in the LEA, including those not listed in the grant application.</w:t>
      </w:r>
    </w:p>
    <w:p w14:paraId="194DB806" w14:textId="51BB5431" w:rsidR="00056F16" w:rsidRDefault="00605E2F" w:rsidP="005F0F12">
      <w:pPr>
        <w:autoSpaceDE w:val="0"/>
        <w:autoSpaceDN w:val="0"/>
        <w:adjustRightInd w:val="0"/>
        <w:spacing w:after="0"/>
        <w:ind w:left="1080"/>
        <w:rPr>
          <w:bCs/>
          <w:color w:val="000000" w:themeColor="text1"/>
          <w:shd w:val="clear" w:color="auto" w:fill="auto"/>
        </w:rPr>
      </w:pPr>
      <w:r w:rsidRPr="003E64A4">
        <w:rPr>
          <w:bCs/>
          <w:color w:val="000000" w:themeColor="text1"/>
          <w:shd w:val="clear" w:color="auto" w:fill="auto"/>
        </w:rPr>
        <w:t xml:space="preserve">An original, wet signature by the Superintendent or Designee on the Application Cover </w:t>
      </w:r>
      <w:r w:rsidRPr="00040B87">
        <w:rPr>
          <w:bCs/>
          <w:color w:val="000000" w:themeColor="text1"/>
          <w:shd w:val="clear" w:color="auto" w:fill="auto"/>
        </w:rPr>
        <w:t>Page (Attachment B) constitutes</w:t>
      </w:r>
      <w:r w:rsidRPr="003E64A4">
        <w:rPr>
          <w:bCs/>
          <w:color w:val="000000" w:themeColor="text1"/>
          <w:shd w:val="clear" w:color="auto" w:fill="auto"/>
        </w:rPr>
        <w:t xml:space="preserve"> an assurance that the </w:t>
      </w:r>
      <w:r w:rsidR="00056F16">
        <w:rPr>
          <w:bCs/>
          <w:color w:val="000000" w:themeColor="text1"/>
          <w:shd w:val="clear" w:color="auto" w:fill="auto"/>
        </w:rPr>
        <w:t>COE</w:t>
      </w:r>
      <w:r w:rsidRPr="003E64A4">
        <w:rPr>
          <w:bCs/>
          <w:color w:val="000000" w:themeColor="text1"/>
          <w:shd w:val="clear" w:color="auto" w:fill="auto"/>
        </w:rPr>
        <w:t xml:space="preserve"> identified in the application will meet the tobacco-free school district and CDE requirements pursuant to </w:t>
      </w:r>
      <w:r w:rsidRPr="003E64A4">
        <w:rPr>
          <w:bCs/>
          <w:i/>
          <w:iCs/>
          <w:color w:val="000000" w:themeColor="text1"/>
          <w:shd w:val="clear" w:color="auto" w:fill="auto"/>
        </w:rPr>
        <w:t>HSC</w:t>
      </w:r>
      <w:r w:rsidRPr="003E64A4">
        <w:rPr>
          <w:bCs/>
          <w:color w:val="000000" w:themeColor="text1"/>
          <w:shd w:val="clear" w:color="auto" w:fill="auto"/>
        </w:rPr>
        <w:t xml:space="preserve"> Section 104420(n)(2). </w:t>
      </w:r>
    </w:p>
    <w:p w14:paraId="1A99B7F7" w14:textId="3D7F9E17" w:rsidR="00A76AC4" w:rsidRDefault="00A76AC4">
      <w:pPr>
        <w:spacing w:before="0" w:after="0"/>
        <w:rPr>
          <w:bCs/>
          <w:color w:val="000000" w:themeColor="text1"/>
          <w:shd w:val="clear" w:color="auto" w:fill="auto"/>
        </w:rPr>
      </w:pPr>
      <w:r>
        <w:rPr>
          <w:bCs/>
          <w:color w:val="000000" w:themeColor="text1"/>
          <w:shd w:val="clear" w:color="auto" w:fill="auto"/>
        </w:rPr>
        <w:br w:type="page"/>
      </w:r>
    </w:p>
    <w:p w14:paraId="01BC9A23" w14:textId="731D0E2B" w:rsidR="00CD30FD" w:rsidRPr="001058C1" w:rsidRDefault="007A3FD0" w:rsidP="0024561D">
      <w:pPr>
        <w:pStyle w:val="Heading4"/>
      </w:pPr>
      <w:bookmarkStart w:id="64" w:name="_Toc8915790"/>
      <w:r w:rsidRPr="00EA5244">
        <w:lastRenderedPageBreak/>
        <w:t>Program Assurances</w:t>
      </w:r>
      <w:r>
        <w:t>,</w:t>
      </w:r>
      <w:r w:rsidRPr="00EA5244">
        <w:t xml:space="preserve"> General Assurances</w:t>
      </w:r>
      <w:r>
        <w:t>,</w:t>
      </w:r>
      <w:r w:rsidRPr="00EA5244">
        <w:t xml:space="preserve"> and Certifications</w:t>
      </w:r>
      <w:bookmarkEnd w:id="64"/>
    </w:p>
    <w:p w14:paraId="4F3C344C" w14:textId="12FBB2E0" w:rsidR="00A76AC4" w:rsidRPr="005F1A1A" w:rsidRDefault="00894682" w:rsidP="007A3FD0">
      <w:pPr>
        <w:spacing w:after="0"/>
        <w:ind w:left="1080"/>
        <w:rPr>
          <w:bCs/>
          <w:color w:val="0000FF"/>
          <w:shd w:val="clear" w:color="auto" w:fill="auto"/>
        </w:rPr>
      </w:pPr>
      <w:r>
        <w:rPr>
          <w:bCs/>
          <w:color w:val="auto"/>
          <w:shd w:val="clear" w:color="auto" w:fill="auto"/>
        </w:rPr>
        <w:t>The</w:t>
      </w:r>
      <w:r w:rsidR="00CD30FD" w:rsidRPr="00616592">
        <w:rPr>
          <w:bCs/>
          <w:color w:val="auto"/>
          <w:shd w:val="clear" w:color="auto" w:fill="auto"/>
        </w:rPr>
        <w:t xml:space="preserve"> successful </w:t>
      </w:r>
      <w:r w:rsidR="00056F16">
        <w:rPr>
          <w:bCs/>
          <w:color w:val="auto"/>
          <w:shd w:val="clear" w:color="auto" w:fill="auto"/>
        </w:rPr>
        <w:t>g</w:t>
      </w:r>
      <w:r w:rsidR="00486D75">
        <w:rPr>
          <w:bCs/>
          <w:color w:val="auto"/>
          <w:shd w:val="clear" w:color="auto" w:fill="auto"/>
        </w:rPr>
        <w:t>rantee</w:t>
      </w:r>
      <w:r w:rsidR="00CD30FD" w:rsidRPr="00616592">
        <w:rPr>
          <w:bCs/>
          <w:color w:val="auto"/>
          <w:shd w:val="clear" w:color="auto" w:fill="auto"/>
        </w:rPr>
        <w:t xml:space="preserve"> must provide General Assurances and Certifications as a condition of receiving CDE funds. Applicants do not need to sign and return the General Assurances and Certification</w:t>
      </w:r>
      <w:r w:rsidR="00667467">
        <w:rPr>
          <w:bCs/>
          <w:color w:val="auto"/>
          <w:shd w:val="clear" w:color="auto" w:fill="auto"/>
        </w:rPr>
        <w:t>s</w:t>
      </w:r>
      <w:r w:rsidR="00CD30FD" w:rsidRPr="00616592">
        <w:rPr>
          <w:bCs/>
          <w:color w:val="auto"/>
          <w:shd w:val="clear" w:color="auto" w:fill="auto"/>
        </w:rPr>
        <w:t xml:space="preserve"> with the application; instead, immediately following notice of award, </w:t>
      </w:r>
      <w:r>
        <w:rPr>
          <w:bCs/>
          <w:color w:val="auto"/>
          <w:shd w:val="clear" w:color="auto" w:fill="auto"/>
        </w:rPr>
        <w:t>the</w:t>
      </w:r>
      <w:r w:rsidR="00CD30FD" w:rsidRPr="00616592">
        <w:rPr>
          <w:bCs/>
          <w:color w:val="auto"/>
          <w:shd w:val="clear" w:color="auto" w:fill="auto"/>
        </w:rPr>
        <w:t xml:space="preserve"> successful </w:t>
      </w:r>
      <w:r w:rsidR="00BC4F75">
        <w:rPr>
          <w:bCs/>
          <w:color w:val="auto"/>
          <w:shd w:val="clear" w:color="auto" w:fill="auto"/>
        </w:rPr>
        <w:t>g</w:t>
      </w:r>
      <w:r w:rsidR="00486D75">
        <w:rPr>
          <w:bCs/>
          <w:color w:val="auto"/>
          <w:shd w:val="clear" w:color="auto" w:fill="auto"/>
        </w:rPr>
        <w:t>rantee</w:t>
      </w:r>
      <w:r w:rsidR="00CD30FD" w:rsidRPr="00616592">
        <w:rPr>
          <w:bCs/>
          <w:color w:val="auto"/>
          <w:shd w:val="clear" w:color="auto" w:fill="auto"/>
        </w:rPr>
        <w:t xml:space="preserve"> must download the updated General Assurances and Certifications and retain copies of signed documents for their records and for audit purposes. </w:t>
      </w:r>
      <w:r w:rsidR="00AC60FF">
        <w:rPr>
          <w:bCs/>
          <w:color w:val="auto"/>
          <w:shd w:val="clear" w:color="auto" w:fill="auto"/>
        </w:rPr>
        <w:t xml:space="preserve">The form is available </w:t>
      </w:r>
      <w:r w:rsidR="00197932">
        <w:rPr>
          <w:bCs/>
          <w:color w:val="auto"/>
          <w:shd w:val="clear" w:color="auto" w:fill="auto"/>
        </w:rPr>
        <w:t xml:space="preserve">on </w:t>
      </w:r>
      <w:r w:rsidR="00197932" w:rsidRPr="00616592">
        <w:rPr>
          <w:bCs/>
          <w:color w:val="auto"/>
          <w:shd w:val="clear" w:color="auto" w:fill="auto"/>
        </w:rPr>
        <w:t>the</w:t>
      </w:r>
      <w:r w:rsidR="00CD30FD" w:rsidRPr="00616592">
        <w:rPr>
          <w:bCs/>
          <w:color w:val="auto"/>
          <w:shd w:val="clear" w:color="auto" w:fill="auto"/>
        </w:rPr>
        <w:t xml:space="preserve"> CDE </w:t>
      </w:r>
      <w:r w:rsidR="00253E3C">
        <w:rPr>
          <w:bCs/>
          <w:color w:val="auto"/>
          <w:shd w:val="clear" w:color="auto" w:fill="auto"/>
        </w:rPr>
        <w:t>Funding Forms</w:t>
      </w:r>
      <w:r w:rsidR="00CD30FD" w:rsidRPr="00616592">
        <w:rPr>
          <w:bCs/>
          <w:color w:val="auto"/>
          <w:shd w:val="clear" w:color="auto" w:fill="auto"/>
        </w:rPr>
        <w:t xml:space="preserve"> web page at </w:t>
      </w:r>
      <w:hyperlink r:id="rId23" w:tooltip="California Department of Education General Assurances and Certifications Web Page Link " w:history="1">
        <w:r w:rsidR="00CD30FD" w:rsidRPr="00616592">
          <w:rPr>
            <w:bCs/>
            <w:color w:val="0000FF"/>
            <w:u w:val="single"/>
            <w:shd w:val="clear" w:color="auto" w:fill="auto"/>
          </w:rPr>
          <w:t>https://www.cde.ca.gov/fg/fo/fm/ff.asp</w:t>
        </w:r>
      </w:hyperlink>
      <w:r w:rsidR="005F1A1A">
        <w:rPr>
          <w:bCs/>
          <w:color w:val="0000FF"/>
          <w:shd w:val="clear" w:color="auto" w:fill="auto"/>
        </w:rPr>
        <w:t>.</w:t>
      </w:r>
    </w:p>
    <w:p w14:paraId="01B13E4C" w14:textId="77777777" w:rsidR="00A76AC4" w:rsidRDefault="00A76AC4" w:rsidP="007A3FD0">
      <w:pPr>
        <w:spacing w:after="0"/>
        <w:ind w:left="1080"/>
        <w:rPr>
          <w:bCs/>
          <w:color w:val="auto"/>
          <w:shd w:val="clear" w:color="auto" w:fill="auto"/>
        </w:rPr>
      </w:pPr>
    </w:p>
    <w:p w14:paraId="1F97AC2C" w14:textId="77777777" w:rsidR="00CD30FD" w:rsidRPr="001058C1" w:rsidRDefault="00CD30FD" w:rsidP="0024561D">
      <w:pPr>
        <w:pStyle w:val="Heading4"/>
        <w:rPr>
          <w:shd w:val="clear" w:color="auto" w:fill="auto"/>
        </w:rPr>
      </w:pPr>
      <w:bookmarkStart w:id="65" w:name="_Toc8915791"/>
      <w:r w:rsidRPr="001058C1">
        <w:rPr>
          <w:shd w:val="clear" w:color="auto" w:fill="auto"/>
        </w:rPr>
        <w:t>Tobacco-Use Prevention Education Program Assurances</w:t>
      </w:r>
      <w:bookmarkEnd w:id="65"/>
    </w:p>
    <w:p w14:paraId="18B4DBD8" w14:textId="43EDA59C" w:rsidR="00CD30FD" w:rsidRPr="00616592" w:rsidRDefault="00CD30FD" w:rsidP="005F0F12">
      <w:pPr>
        <w:tabs>
          <w:tab w:val="left" w:pos="990"/>
        </w:tabs>
        <w:ind w:left="1080"/>
        <w:rPr>
          <w:bCs/>
          <w:color w:val="auto"/>
          <w:shd w:val="clear" w:color="auto" w:fill="auto"/>
        </w:rPr>
      </w:pPr>
      <w:r w:rsidRPr="00616592">
        <w:rPr>
          <w:color w:val="auto"/>
          <w:shd w:val="clear" w:color="auto" w:fill="auto"/>
        </w:rPr>
        <w:t>The applican</w:t>
      </w:r>
      <w:r w:rsidR="00AC60FF">
        <w:rPr>
          <w:color w:val="auto"/>
          <w:shd w:val="clear" w:color="auto" w:fill="auto"/>
        </w:rPr>
        <w:t>t agency agrees to</w:t>
      </w:r>
      <w:r w:rsidRPr="00616592">
        <w:rPr>
          <w:color w:val="auto"/>
          <w:shd w:val="clear" w:color="auto" w:fill="auto"/>
        </w:rPr>
        <w:t>:</w:t>
      </w:r>
    </w:p>
    <w:p w14:paraId="7CE1C8C7" w14:textId="77777777" w:rsidR="00CD30FD" w:rsidRDefault="00CD30FD" w:rsidP="00A44586">
      <w:pPr>
        <w:numPr>
          <w:ilvl w:val="0"/>
          <w:numId w:val="9"/>
        </w:numPr>
        <w:spacing w:before="0" w:after="0"/>
        <w:ind w:left="1800"/>
        <w:rPr>
          <w:bCs/>
          <w:color w:val="auto"/>
          <w:shd w:val="clear" w:color="auto" w:fill="auto"/>
        </w:rPr>
      </w:pPr>
      <w:r w:rsidRPr="00616592">
        <w:rPr>
          <w:bCs/>
          <w:color w:val="auto"/>
          <w:shd w:val="clear" w:color="auto" w:fill="auto"/>
        </w:rPr>
        <w:t>Neither receive, nor apply for funds, educational materials, or services from the tobacco industry or any agency which has received funding from the tobacco industry to implement tobacco-use prevention or intervention programs.</w:t>
      </w:r>
    </w:p>
    <w:p w14:paraId="6257A5A2" w14:textId="5A7E700F" w:rsidR="00CD30FD" w:rsidRDefault="00CD30FD" w:rsidP="00A44586">
      <w:pPr>
        <w:numPr>
          <w:ilvl w:val="0"/>
          <w:numId w:val="9"/>
        </w:numPr>
        <w:spacing w:after="0"/>
        <w:ind w:left="1800"/>
        <w:rPr>
          <w:bCs/>
          <w:color w:val="auto"/>
          <w:shd w:val="clear" w:color="auto" w:fill="auto"/>
        </w:rPr>
      </w:pPr>
      <w:r w:rsidRPr="00616592">
        <w:rPr>
          <w:bCs/>
          <w:color w:val="auto"/>
          <w:shd w:val="clear" w:color="auto" w:fill="auto"/>
        </w:rPr>
        <w:t xml:space="preserve">Participate, if selected, as a reader for TUPE </w:t>
      </w:r>
      <w:r w:rsidR="006C1FF6">
        <w:rPr>
          <w:bCs/>
          <w:color w:val="auto"/>
          <w:shd w:val="clear" w:color="auto" w:fill="auto"/>
        </w:rPr>
        <w:t xml:space="preserve">Program </w:t>
      </w:r>
      <w:r w:rsidRPr="00616592">
        <w:rPr>
          <w:bCs/>
          <w:color w:val="auto"/>
          <w:shd w:val="clear" w:color="auto" w:fill="auto"/>
        </w:rPr>
        <w:t>competitive grants.</w:t>
      </w:r>
    </w:p>
    <w:p w14:paraId="042D40A3" w14:textId="0F4F9837" w:rsidR="00CD30FD" w:rsidRDefault="00CD30FD" w:rsidP="00A44586">
      <w:pPr>
        <w:numPr>
          <w:ilvl w:val="0"/>
          <w:numId w:val="9"/>
        </w:numPr>
        <w:spacing w:after="0"/>
        <w:ind w:left="1800"/>
        <w:rPr>
          <w:bCs/>
          <w:color w:val="auto"/>
          <w:shd w:val="clear" w:color="auto" w:fill="auto"/>
        </w:rPr>
      </w:pPr>
      <w:r w:rsidRPr="00616592">
        <w:rPr>
          <w:bCs/>
          <w:color w:val="auto"/>
          <w:shd w:val="clear" w:color="auto" w:fill="auto"/>
        </w:rPr>
        <w:t xml:space="preserve">Implement the </w:t>
      </w:r>
      <w:r w:rsidR="009B4CC5">
        <w:rPr>
          <w:bCs/>
          <w:color w:val="auto"/>
          <w:shd w:val="clear" w:color="auto" w:fill="auto"/>
        </w:rPr>
        <w:t xml:space="preserve">TUPE </w:t>
      </w:r>
      <w:r w:rsidR="006C1FF6">
        <w:rPr>
          <w:bCs/>
          <w:color w:val="auto"/>
          <w:shd w:val="clear" w:color="auto" w:fill="auto"/>
        </w:rPr>
        <w:t>CBP</w:t>
      </w:r>
      <w:r w:rsidRPr="00616592">
        <w:rPr>
          <w:bCs/>
          <w:color w:val="auto"/>
          <w:shd w:val="clear" w:color="auto" w:fill="auto"/>
        </w:rPr>
        <w:t xml:space="preserve"> as described in the approved </w:t>
      </w:r>
      <w:r w:rsidR="006C1FF6">
        <w:rPr>
          <w:bCs/>
          <w:color w:val="auto"/>
          <w:shd w:val="clear" w:color="auto" w:fill="auto"/>
        </w:rPr>
        <w:t xml:space="preserve">grant </w:t>
      </w:r>
      <w:r w:rsidRPr="00616592">
        <w:rPr>
          <w:bCs/>
          <w:color w:val="auto"/>
          <w:shd w:val="clear" w:color="auto" w:fill="auto"/>
        </w:rPr>
        <w:t>application or receive written permission from the CDE</w:t>
      </w:r>
      <w:r w:rsidR="006C1FF6">
        <w:rPr>
          <w:bCs/>
          <w:color w:val="auto"/>
          <w:shd w:val="clear" w:color="auto" w:fill="auto"/>
        </w:rPr>
        <w:t>,</w:t>
      </w:r>
      <w:r w:rsidRPr="00616592">
        <w:rPr>
          <w:bCs/>
          <w:color w:val="auto"/>
          <w:shd w:val="clear" w:color="auto" w:fill="auto"/>
        </w:rPr>
        <w:t xml:space="preserve"> prior to implementing any changes to the approved application.</w:t>
      </w:r>
    </w:p>
    <w:p w14:paraId="5715591F" w14:textId="77777777" w:rsidR="00CD30FD" w:rsidRDefault="00CD30FD" w:rsidP="00A44586">
      <w:pPr>
        <w:numPr>
          <w:ilvl w:val="0"/>
          <w:numId w:val="9"/>
        </w:numPr>
        <w:spacing w:after="0"/>
        <w:ind w:left="1800"/>
        <w:rPr>
          <w:bCs/>
          <w:color w:val="auto"/>
          <w:shd w:val="clear" w:color="auto" w:fill="auto"/>
        </w:rPr>
      </w:pPr>
      <w:r w:rsidRPr="00616592">
        <w:rPr>
          <w:bCs/>
          <w:color w:val="auto"/>
          <w:shd w:val="clear" w:color="auto" w:fill="auto"/>
        </w:rPr>
        <w:t>Expend funds as detailed in the approved application unless specifically approved by the CDE.</w:t>
      </w:r>
    </w:p>
    <w:p w14:paraId="6908E508" w14:textId="77777777" w:rsidR="00CD30FD" w:rsidRDefault="00CD30FD" w:rsidP="00A44586">
      <w:pPr>
        <w:numPr>
          <w:ilvl w:val="0"/>
          <w:numId w:val="9"/>
        </w:numPr>
        <w:spacing w:after="0"/>
        <w:ind w:left="1800"/>
        <w:rPr>
          <w:bCs/>
          <w:color w:val="auto"/>
          <w:shd w:val="clear" w:color="auto" w:fill="auto"/>
        </w:rPr>
      </w:pPr>
      <w:r w:rsidRPr="00616592">
        <w:rPr>
          <w:bCs/>
          <w:color w:val="auto"/>
          <w:shd w:val="clear" w:color="auto" w:fill="auto"/>
        </w:rPr>
        <w:t>Submit all the required deliverables by the designated due dates to ensure the program remains in good standing with the TUPE Office.</w:t>
      </w:r>
    </w:p>
    <w:p w14:paraId="15475DE4" w14:textId="77777777" w:rsidR="00CD30FD" w:rsidRPr="00995CB3" w:rsidRDefault="00CD30FD" w:rsidP="0024561D">
      <w:pPr>
        <w:pStyle w:val="Heading4"/>
      </w:pPr>
      <w:bookmarkStart w:id="66" w:name="_Toc3789244"/>
      <w:bookmarkStart w:id="67" w:name="_Toc8915792"/>
      <w:r w:rsidRPr="00995CB3">
        <w:t>Required Signatures</w:t>
      </w:r>
      <w:bookmarkEnd w:id="66"/>
      <w:bookmarkEnd w:id="67"/>
    </w:p>
    <w:p w14:paraId="6DE9C293" w14:textId="4EEBBA3E" w:rsidR="00CD30FD" w:rsidRDefault="00CD30FD" w:rsidP="00E44EED">
      <w:pPr>
        <w:spacing w:after="0"/>
        <w:ind w:left="1080"/>
        <w:rPr>
          <w:rFonts w:eastAsiaTheme="minorHAnsi"/>
          <w:color w:val="auto"/>
          <w:shd w:val="clear" w:color="auto" w:fill="auto"/>
          <w:lang w:eastAsia="x-none"/>
        </w:rPr>
      </w:pPr>
      <w:bookmarkStart w:id="68" w:name="_Toc534787269"/>
      <w:bookmarkStart w:id="69" w:name="_Toc534787469"/>
      <w:bookmarkStart w:id="70" w:name="_Toc534787277"/>
      <w:bookmarkStart w:id="71" w:name="_Toc534787477"/>
      <w:bookmarkEnd w:id="68"/>
      <w:bookmarkEnd w:id="69"/>
      <w:bookmarkEnd w:id="70"/>
      <w:bookmarkEnd w:id="71"/>
      <w:r w:rsidRPr="00616592">
        <w:rPr>
          <w:bCs/>
          <w:color w:val="auto"/>
          <w:shd w:val="clear" w:color="auto" w:fill="auto"/>
        </w:rPr>
        <w:t>All original authorized signatures from the applicant’s Superintendent or Designee are due at the time the application</w:t>
      </w:r>
      <w:r w:rsidR="0056770A">
        <w:rPr>
          <w:bCs/>
          <w:color w:val="auto"/>
          <w:shd w:val="clear" w:color="auto" w:fill="auto"/>
        </w:rPr>
        <w:t xml:space="preserve"> forms are submitted to the CDE</w:t>
      </w:r>
      <w:r w:rsidRPr="00616592">
        <w:rPr>
          <w:bCs/>
          <w:color w:val="auto"/>
          <w:shd w:val="clear" w:color="auto" w:fill="auto"/>
        </w:rPr>
        <w:t xml:space="preserve"> or the application </w:t>
      </w:r>
      <w:r w:rsidRPr="00616592">
        <w:rPr>
          <w:b/>
          <w:bCs/>
          <w:color w:val="auto"/>
          <w:shd w:val="clear" w:color="auto" w:fill="auto"/>
        </w:rPr>
        <w:t xml:space="preserve">will be disqualified. </w:t>
      </w:r>
      <w:r w:rsidRPr="00616592">
        <w:rPr>
          <w:bCs/>
          <w:color w:val="auto"/>
          <w:shd w:val="clear" w:color="auto" w:fill="auto"/>
        </w:rPr>
        <w:t xml:space="preserve">An original “wet” signature, using blue ink, from </w:t>
      </w:r>
      <w:r w:rsidR="006C1FF6">
        <w:rPr>
          <w:bCs/>
          <w:color w:val="auto"/>
          <w:shd w:val="clear" w:color="auto" w:fill="auto"/>
        </w:rPr>
        <w:t>the</w:t>
      </w:r>
      <w:r w:rsidRPr="00616592">
        <w:rPr>
          <w:bCs/>
          <w:color w:val="auto"/>
          <w:shd w:val="clear" w:color="auto" w:fill="auto"/>
        </w:rPr>
        <w:t xml:space="preserve"> applicant is required. </w:t>
      </w:r>
      <w:r w:rsidRPr="00616592">
        <w:rPr>
          <w:b/>
          <w:bCs/>
          <w:color w:val="auto"/>
          <w:shd w:val="clear" w:color="auto" w:fill="auto"/>
        </w:rPr>
        <w:t xml:space="preserve">Applications that are submitted with signature stamps, electronic stamps, or any form of reproduced stamp will be disqualified. </w:t>
      </w:r>
      <w:r w:rsidRPr="00616592">
        <w:rPr>
          <w:rFonts w:eastAsiaTheme="minorHAnsi"/>
          <w:bCs/>
          <w:color w:val="auto"/>
          <w:shd w:val="clear" w:color="auto" w:fill="auto"/>
        </w:rPr>
        <w:t xml:space="preserve">Original signatures on </w:t>
      </w:r>
      <w:r w:rsidRPr="00616592">
        <w:rPr>
          <w:rFonts w:eastAsiaTheme="minorHAnsi"/>
          <w:color w:val="auto"/>
          <w:shd w:val="clear" w:color="auto" w:fill="auto"/>
          <w:lang w:eastAsia="x-none"/>
        </w:rPr>
        <w:t xml:space="preserve">the Application Cover Page </w:t>
      </w:r>
      <w:r w:rsidR="005B7380">
        <w:rPr>
          <w:rFonts w:eastAsiaTheme="minorHAnsi"/>
          <w:color w:val="auto"/>
          <w:shd w:val="clear" w:color="auto" w:fill="auto"/>
          <w:lang w:eastAsia="x-none"/>
        </w:rPr>
        <w:t xml:space="preserve">(Attachment B) </w:t>
      </w:r>
      <w:r w:rsidRPr="00616592">
        <w:rPr>
          <w:rFonts w:eastAsiaTheme="minorHAnsi"/>
          <w:color w:val="auto"/>
          <w:shd w:val="clear" w:color="auto" w:fill="auto"/>
          <w:lang w:eastAsia="x-none"/>
        </w:rPr>
        <w:t>represent a certification that all of the forms and materials submitted through this RFA have been reviewed and approved, and that all grant requirements will be completed as stated in legislation and this RFA.</w:t>
      </w:r>
    </w:p>
    <w:p w14:paraId="3BDA7DEF" w14:textId="529A1012" w:rsidR="00CD30FD" w:rsidRDefault="00CD30FD" w:rsidP="00E44EED">
      <w:pPr>
        <w:spacing w:after="0"/>
        <w:ind w:left="1080"/>
        <w:rPr>
          <w:b/>
          <w:bCs/>
          <w:color w:val="auto"/>
          <w:shd w:val="clear" w:color="auto" w:fill="auto"/>
        </w:rPr>
      </w:pPr>
      <w:r w:rsidRPr="00616592">
        <w:rPr>
          <w:bCs/>
          <w:iCs/>
          <w:color w:val="auto"/>
          <w:shd w:val="clear" w:color="auto" w:fill="auto"/>
        </w:rPr>
        <w:lastRenderedPageBreak/>
        <w:t xml:space="preserve">A Designee may provide the authorized signature </w:t>
      </w:r>
      <w:r w:rsidR="00122247">
        <w:rPr>
          <w:bCs/>
          <w:iCs/>
          <w:color w:val="auto"/>
          <w:shd w:val="clear" w:color="auto" w:fill="auto"/>
        </w:rPr>
        <w:t xml:space="preserve">on the Authorized Designee Form (Attachment C) </w:t>
      </w:r>
      <w:r w:rsidRPr="00616592">
        <w:rPr>
          <w:bCs/>
          <w:iCs/>
          <w:color w:val="auto"/>
          <w:shd w:val="clear" w:color="auto" w:fill="auto"/>
        </w:rPr>
        <w:t>as long as a copy of a recent governing board resolution or minutes</w:t>
      </w:r>
      <w:r w:rsidR="00CA0C6A">
        <w:rPr>
          <w:bCs/>
          <w:iCs/>
          <w:color w:val="auto"/>
          <w:shd w:val="clear" w:color="auto" w:fill="auto"/>
        </w:rPr>
        <w:t>, specifically authorizing the D</w:t>
      </w:r>
      <w:r w:rsidRPr="00616592">
        <w:rPr>
          <w:bCs/>
          <w:iCs/>
          <w:color w:val="auto"/>
          <w:shd w:val="clear" w:color="auto" w:fill="auto"/>
        </w:rPr>
        <w:t xml:space="preserve">esignee to accept and sign </w:t>
      </w:r>
      <w:r w:rsidRPr="00616592">
        <w:rPr>
          <w:bCs/>
          <w:color w:val="auto"/>
          <w:shd w:val="clear" w:color="auto" w:fill="auto"/>
        </w:rPr>
        <w:t>as a proxy for financial statements and legally binding documents, is included with the ap</w:t>
      </w:r>
      <w:r w:rsidR="00CA0C6A">
        <w:rPr>
          <w:bCs/>
          <w:color w:val="auto"/>
          <w:shd w:val="clear" w:color="auto" w:fill="auto"/>
        </w:rPr>
        <w:t>plication materials</w:t>
      </w:r>
      <w:r w:rsidRPr="00616592">
        <w:rPr>
          <w:bCs/>
          <w:color w:val="auto"/>
          <w:shd w:val="clear" w:color="auto" w:fill="auto"/>
        </w:rPr>
        <w:t xml:space="preserve">. In the absence of an authorized signature, the applicant </w:t>
      </w:r>
      <w:r w:rsidRPr="00616592">
        <w:rPr>
          <w:b/>
          <w:bCs/>
          <w:color w:val="auto"/>
          <w:shd w:val="clear" w:color="auto" w:fill="auto"/>
        </w:rPr>
        <w:t>will be disqualified.</w:t>
      </w:r>
    </w:p>
    <w:p w14:paraId="481E0F78" w14:textId="31B05C14" w:rsidR="00CD30FD" w:rsidRDefault="00486D75" w:rsidP="00EB524F">
      <w:pPr>
        <w:spacing w:after="480"/>
        <w:ind w:left="1080"/>
        <w:rPr>
          <w:bCs/>
          <w:color w:val="auto"/>
          <w:shd w:val="clear" w:color="auto" w:fill="auto"/>
        </w:rPr>
      </w:pPr>
      <w:r>
        <w:rPr>
          <w:bCs/>
          <w:color w:val="auto"/>
          <w:shd w:val="clear" w:color="auto" w:fill="auto"/>
        </w:rPr>
        <w:t xml:space="preserve">The </w:t>
      </w:r>
      <w:r w:rsidR="006C1FF6">
        <w:rPr>
          <w:bCs/>
          <w:color w:val="auto"/>
          <w:shd w:val="clear" w:color="auto" w:fill="auto"/>
        </w:rPr>
        <w:t>g</w:t>
      </w:r>
      <w:r>
        <w:rPr>
          <w:bCs/>
          <w:color w:val="auto"/>
          <w:shd w:val="clear" w:color="auto" w:fill="auto"/>
        </w:rPr>
        <w:t>rantee is</w:t>
      </w:r>
      <w:r w:rsidR="00CD30FD" w:rsidRPr="00616592">
        <w:rPr>
          <w:bCs/>
          <w:color w:val="auto"/>
          <w:shd w:val="clear" w:color="auto" w:fill="auto"/>
        </w:rPr>
        <w:t xml:space="preserve"> required to retain copies of signed documents for their records and for audit purposes. Please visit the CDE </w:t>
      </w:r>
      <w:r w:rsidR="00DF2A14">
        <w:rPr>
          <w:bCs/>
          <w:color w:val="auto"/>
          <w:shd w:val="clear" w:color="auto" w:fill="auto"/>
        </w:rPr>
        <w:t>Funding Forms</w:t>
      </w:r>
      <w:r w:rsidR="00CD30FD" w:rsidRPr="00616592">
        <w:rPr>
          <w:bCs/>
          <w:color w:val="auto"/>
          <w:shd w:val="clear" w:color="auto" w:fill="auto"/>
        </w:rPr>
        <w:t xml:space="preserve"> web page at </w:t>
      </w:r>
      <w:hyperlink r:id="rId24" w:tooltip="California Department of Education General Assurances and Certifications web page" w:history="1">
        <w:r w:rsidR="00CD30FD" w:rsidRPr="00616592">
          <w:rPr>
            <w:bCs/>
            <w:color w:val="0000FF"/>
            <w:u w:val="single"/>
            <w:shd w:val="clear" w:color="auto" w:fill="auto"/>
          </w:rPr>
          <w:t>https://www.cde.ca.gov/fg/fo/fm/ff.asp</w:t>
        </w:r>
      </w:hyperlink>
      <w:r w:rsidR="00CD30FD" w:rsidRPr="00616592">
        <w:rPr>
          <w:bCs/>
          <w:color w:val="auto"/>
          <w:shd w:val="clear" w:color="auto" w:fill="auto"/>
        </w:rPr>
        <w:t xml:space="preserve"> for more information.</w:t>
      </w:r>
    </w:p>
    <w:p w14:paraId="2BFD21B5" w14:textId="432AC667" w:rsidR="000E2E7F" w:rsidRPr="00894682" w:rsidRDefault="009A5113" w:rsidP="00232894">
      <w:pPr>
        <w:pStyle w:val="Heading3"/>
        <w:spacing w:before="240" w:after="0"/>
      </w:pPr>
      <w:bookmarkStart w:id="72" w:name="_Toc8915793"/>
      <w:bookmarkEnd w:id="63"/>
      <w:r>
        <w:t>Application Process and Procedures</w:t>
      </w:r>
      <w:bookmarkEnd w:id="72"/>
    </w:p>
    <w:p w14:paraId="2902E31D" w14:textId="77777777" w:rsidR="000E2E7F" w:rsidRDefault="000E2E7F" w:rsidP="009A43DE">
      <w:pPr>
        <w:spacing w:after="0"/>
        <w:ind w:left="1080" w:hanging="360"/>
      </w:pPr>
      <w:r w:rsidRPr="00616592">
        <w:t>The following steps outline the application process:</w:t>
      </w:r>
    </w:p>
    <w:p w14:paraId="6ECF9883" w14:textId="1658A38C" w:rsidR="00815F44" w:rsidRDefault="00815F44" w:rsidP="009A43DE">
      <w:pPr>
        <w:pStyle w:val="ListParagraph"/>
        <w:numPr>
          <w:ilvl w:val="0"/>
          <w:numId w:val="4"/>
        </w:numPr>
        <w:spacing w:after="0"/>
      </w:pPr>
      <w:r w:rsidRPr="00616592">
        <w:t xml:space="preserve">Prepare a </w:t>
      </w:r>
      <w:r w:rsidR="000D79ED" w:rsidRPr="00616592">
        <w:t>narrative</w:t>
      </w:r>
      <w:r w:rsidRPr="00616592">
        <w:t xml:space="preserve"> of no more than </w:t>
      </w:r>
      <w:r w:rsidR="001A3615">
        <w:t>six</w:t>
      </w:r>
      <w:r w:rsidRPr="00C2518A">
        <w:t xml:space="preserve"> pages</w:t>
      </w:r>
      <w:r w:rsidRPr="00616592">
        <w:t xml:space="preserve"> which:</w:t>
      </w:r>
    </w:p>
    <w:p w14:paraId="2D1AD6A6" w14:textId="2BA8B0B3" w:rsidR="00815F44" w:rsidRPr="00232894" w:rsidRDefault="000D79ED" w:rsidP="009A43DE">
      <w:pPr>
        <w:pStyle w:val="ListParagraph"/>
        <w:numPr>
          <w:ilvl w:val="0"/>
          <w:numId w:val="37"/>
        </w:numPr>
        <w:ind w:left="2160"/>
      </w:pPr>
      <w:r w:rsidRPr="00232894">
        <w:t xml:space="preserve">Addresses the </w:t>
      </w:r>
      <w:r w:rsidR="002711FF" w:rsidRPr="00232894">
        <w:t xml:space="preserve">Application Narrative </w:t>
      </w:r>
      <w:r w:rsidRPr="00232894">
        <w:t xml:space="preserve">prompts </w:t>
      </w:r>
      <w:r w:rsidR="002711FF" w:rsidRPr="00232894">
        <w:t xml:space="preserve">in Section </w:t>
      </w:r>
      <w:r w:rsidR="002711FF" w:rsidRPr="003F63CE">
        <w:t>V</w:t>
      </w:r>
      <w:r w:rsidR="003F63CE" w:rsidRPr="003F63CE">
        <w:t>III</w:t>
      </w:r>
      <w:r w:rsidR="002711FF" w:rsidRPr="003F63CE">
        <w:t>.</w:t>
      </w:r>
      <w:r w:rsidR="002711FF" w:rsidRPr="00232894">
        <w:t xml:space="preserve"> </w:t>
      </w:r>
      <w:r w:rsidR="00815F44" w:rsidRPr="00232894">
        <w:t xml:space="preserve">Describe the expertise and capacity of your office to serve as the </w:t>
      </w:r>
      <w:r w:rsidR="00EC188E" w:rsidRPr="00232894">
        <w:t xml:space="preserve">TUPE </w:t>
      </w:r>
      <w:r w:rsidR="00427DCB" w:rsidRPr="00232894">
        <w:t>CBP</w:t>
      </w:r>
      <w:r w:rsidR="00815F44" w:rsidRPr="00232894">
        <w:t>. Rev</w:t>
      </w:r>
      <w:r w:rsidR="00585A7E" w:rsidRPr="00232894">
        <w:t xml:space="preserve">iew carefully the </w:t>
      </w:r>
      <w:r w:rsidR="00810427">
        <w:t>r</w:t>
      </w:r>
      <w:r w:rsidR="00815F44" w:rsidRPr="00232894">
        <w:t xml:space="preserve">esponsibilities of the </w:t>
      </w:r>
      <w:r w:rsidR="00EC188E" w:rsidRPr="00232894">
        <w:t xml:space="preserve">TUPE </w:t>
      </w:r>
      <w:r w:rsidR="00427DCB" w:rsidRPr="00232894">
        <w:t>CBP</w:t>
      </w:r>
      <w:r w:rsidR="00815F44" w:rsidRPr="00232894">
        <w:t xml:space="preserve"> in Section </w:t>
      </w:r>
      <w:r w:rsidR="003F63CE">
        <w:t>II.D</w:t>
      </w:r>
      <w:r w:rsidR="00FC4E88">
        <w:t>.</w:t>
      </w:r>
    </w:p>
    <w:p w14:paraId="79A957EC" w14:textId="2E77A0BE" w:rsidR="00815F44" w:rsidRPr="00232894" w:rsidRDefault="00815F44" w:rsidP="009A43DE">
      <w:pPr>
        <w:pStyle w:val="ListParagraph"/>
        <w:numPr>
          <w:ilvl w:val="0"/>
          <w:numId w:val="37"/>
        </w:numPr>
        <w:ind w:left="2160"/>
      </w:pPr>
      <w:r w:rsidRPr="00232894">
        <w:t xml:space="preserve">Indicates which current staff members will provide the </w:t>
      </w:r>
      <w:r w:rsidR="009B4CC5" w:rsidRPr="00232894">
        <w:t>capacity b</w:t>
      </w:r>
      <w:r w:rsidR="006742CF" w:rsidRPr="00232894">
        <w:t>uilding</w:t>
      </w:r>
      <w:r w:rsidR="009B4CC5" w:rsidRPr="00232894">
        <w:t xml:space="preserve"> services</w:t>
      </w:r>
      <w:r w:rsidRPr="00232894">
        <w:t>.</w:t>
      </w:r>
    </w:p>
    <w:p w14:paraId="709EECB9" w14:textId="2223A8B0" w:rsidR="00815F44" w:rsidRPr="00EB524F" w:rsidRDefault="00251786" w:rsidP="009A43DE">
      <w:pPr>
        <w:pStyle w:val="ListParagraph"/>
        <w:numPr>
          <w:ilvl w:val="0"/>
          <w:numId w:val="4"/>
        </w:numPr>
        <w:spacing w:before="0" w:after="0"/>
        <w:rPr>
          <w:b/>
        </w:rPr>
      </w:pPr>
      <w:r>
        <w:t xml:space="preserve">Mail or hand deliver </w:t>
      </w:r>
      <w:r w:rsidR="00810427">
        <w:t xml:space="preserve">the </w:t>
      </w:r>
      <w:r>
        <w:t>application</w:t>
      </w:r>
      <w:r w:rsidR="00D23551" w:rsidRPr="00251786">
        <w:t xml:space="preserve"> no later than </w:t>
      </w:r>
      <w:r w:rsidR="00D23551" w:rsidRPr="00810427">
        <w:rPr>
          <w:b/>
        </w:rPr>
        <w:t>4</w:t>
      </w:r>
      <w:r w:rsidR="00C2518A" w:rsidRPr="00810427">
        <w:rPr>
          <w:b/>
        </w:rPr>
        <w:t>:00</w:t>
      </w:r>
      <w:r w:rsidR="00815F44" w:rsidRPr="00810427">
        <w:rPr>
          <w:b/>
        </w:rPr>
        <w:t xml:space="preserve"> p</w:t>
      </w:r>
      <w:r w:rsidR="00810427" w:rsidRPr="00810427">
        <w:rPr>
          <w:b/>
        </w:rPr>
        <w:t>.</w:t>
      </w:r>
      <w:r w:rsidR="00815F44" w:rsidRPr="00810427">
        <w:rPr>
          <w:b/>
        </w:rPr>
        <w:t>m</w:t>
      </w:r>
      <w:r w:rsidR="00810427" w:rsidRPr="00810427">
        <w:rPr>
          <w:b/>
        </w:rPr>
        <w:t>.</w:t>
      </w:r>
      <w:r w:rsidR="00815F44" w:rsidRPr="00810427">
        <w:rPr>
          <w:b/>
        </w:rPr>
        <w:t xml:space="preserve"> on </w:t>
      </w:r>
      <w:r w:rsidR="00A228FF">
        <w:rPr>
          <w:b/>
        </w:rPr>
        <w:t>August 30</w:t>
      </w:r>
      <w:r w:rsidR="00815F44" w:rsidRPr="00EB524F">
        <w:rPr>
          <w:b/>
        </w:rPr>
        <w:t xml:space="preserve">, 2019. </w:t>
      </w:r>
      <w:r w:rsidR="00AC60FF" w:rsidRPr="007B2EE9">
        <w:t>The application must be</w:t>
      </w:r>
      <w:r w:rsidR="00AC60FF" w:rsidRPr="00A228FF">
        <w:t xml:space="preserve"> received</w:t>
      </w:r>
      <w:r w:rsidR="00A228FF" w:rsidRPr="00A228FF">
        <w:t xml:space="preserve"> at the CDE</w:t>
      </w:r>
      <w:r w:rsidR="00AC60FF" w:rsidRPr="007B2EE9">
        <w:t xml:space="preserve"> by this deadline.  Postmarks will </w:t>
      </w:r>
      <w:r w:rsidR="00AC60FF" w:rsidRPr="00E45BA4">
        <w:rPr>
          <w:b/>
        </w:rPr>
        <w:t>not</w:t>
      </w:r>
      <w:r w:rsidR="00AC60FF" w:rsidRPr="007B2EE9">
        <w:t xml:space="preserve"> be accepted</w:t>
      </w:r>
      <w:r w:rsidR="00A228FF">
        <w:t xml:space="preserve"> as date of </w:t>
      </w:r>
      <w:r w:rsidR="00197932">
        <w:t>receipt</w:t>
      </w:r>
      <w:r w:rsidR="00AC60FF" w:rsidRPr="007B2EE9">
        <w:t>.</w:t>
      </w:r>
    </w:p>
    <w:p w14:paraId="0FFF671C" w14:textId="4D0B2E5F" w:rsidR="000E2E7F" w:rsidRPr="00616592" w:rsidRDefault="00B87186" w:rsidP="009A43DE">
      <w:pPr>
        <w:pStyle w:val="ListParagraph"/>
        <w:numPr>
          <w:ilvl w:val="0"/>
          <w:numId w:val="4"/>
        </w:numPr>
        <w:spacing w:after="0"/>
      </w:pPr>
      <w:r w:rsidRPr="00616592">
        <w:t>A</w:t>
      </w:r>
      <w:r w:rsidR="000E2E7F" w:rsidRPr="00616592">
        <w:t xml:space="preserve">pplications </w:t>
      </w:r>
      <w:r w:rsidRPr="00616592">
        <w:t xml:space="preserve">which do not comply with these guidelines, are incomplete, or </w:t>
      </w:r>
      <w:r w:rsidR="00AC60FF">
        <w:t xml:space="preserve">are received after 4:00 p.m. on </w:t>
      </w:r>
      <w:r w:rsidR="00A228FF">
        <w:t>August 30</w:t>
      </w:r>
      <w:r w:rsidR="00AC60FF">
        <w:t>, 2019</w:t>
      </w:r>
      <w:r w:rsidR="00AC60FF" w:rsidRPr="00616592">
        <w:t xml:space="preserve"> </w:t>
      </w:r>
      <w:r w:rsidRPr="00616592">
        <w:t>will</w:t>
      </w:r>
      <w:r w:rsidR="000E2E7F" w:rsidRPr="00616592">
        <w:t xml:space="preserve"> not be considered.</w:t>
      </w:r>
    </w:p>
    <w:p w14:paraId="54236361" w14:textId="77777777" w:rsidR="000E2E7F" w:rsidRPr="00894682" w:rsidRDefault="000E2E7F" w:rsidP="0024561D">
      <w:pPr>
        <w:pStyle w:val="Heading4"/>
        <w:numPr>
          <w:ilvl w:val="0"/>
          <w:numId w:val="31"/>
        </w:numPr>
      </w:pPr>
      <w:bookmarkStart w:id="73" w:name="_Toc3534731"/>
      <w:bookmarkStart w:id="74" w:name="_Toc8915794"/>
      <w:r w:rsidRPr="00894682">
        <w:t>Application Review</w:t>
      </w:r>
      <w:bookmarkEnd w:id="73"/>
      <w:bookmarkEnd w:id="74"/>
    </w:p>
    <w:p w14:paraId="6CA861A5" w14:textId="4AE6AB15" w:rsidR="000E2E7F" w:rsidRPr="00616592" w:rsidRDefault="000E2E7F" w:rsidP="009A43DE">
      <w:pPr>
        <w:spacing w:after="0"/>
        <w:ind w:left="1080"/>
      </w:pPr>
      <w:r w:rsidRPr="00616592">
        <w:t xml:space="preserve">Complete applications will be reviewed and evaluated by the reading panel and will be evaluated using the </w:t>
      </w:r>
      <w:r w:rsidR="00B0248A" w:rsidRPr="00616592">
        <w:t>s</w:t>
      </w:r>
      <w:r w:rsidR="003B6C8C" w:rsidRPr="00616592">
        <w:t xml:space="preserve">election </w:t>
      </w:r>
      <w:r w:rsidR="003B6C8C" w:rsidRPr="00251786">
        <w:t>criteria</w:t>
      </w:r>
      <w:r w:rsidR="00A637B4">
        <w:t xml:space="preserve"> on the Scoring Form and Rubric</w:t>
      </w:r>
      <w:r w:rsidR="003B6C8C" w:rsidRPr="00251786">
        <w:t xml:space="preserve"> </w:t>
      </w:r>
      <w:r w:rsidRPr="00251786">
        <w:t>(Appendix</w:t>
      </w:r>
      <w:r w:rsidRPr="001A3615">
        <w:t xml:space="preserve"> </w:t>
      </w:r>
      <w:r w:rsidR="003F63CE">
        <w:t>1</w:t>
      </w:r>
      <w:r w:rsidRPr="00251786">
        <w:t>).</w:t>
      </w:r>
      <w:r w:rsidR="00EB20C7" w:rsidRPr="00616592">
        <w:t xml:space="preserve"> </w:t>
      </w:r>
    </w:p>
    <w:p w14:paraId="12B6D5E1" w14:textId="3477B57D" w:rsidR="000E2E7F" w:rsidRPr="00894682" w:rsidRDefault="00C2518A" w:rsidP="0024561D">
      <w:pPr>
        <w:pStyle w:val="Heading4"/>
      </w:pPr>
      <w:bookmarkStart w:id="75" w:name="_Toc3534732"/>
      <w:bookmarkStart w:id="76" w:name="_Toc8915795"/>
      <w:r>
        <w:t>Guidance</w:t>
      </w:r>
      <w:r w:rsidR="003D7B81" w:rsidRPr="00894682">
        <w:t xml:space="preserve"> </w:t>
      </w:r>
      <w:r w:rsidR="00817868">
        <w:t>Webinar</w:t>
      </w:r>
      <w:bookmarkEnd w:id="75"/>
      <w:bookmarkEnd w:id="76"/>
    </w:p>
    <w:p w14:paraId="77712256" w14:textId="76892DE8" w:rsidR="002E1650" w:rsidRDefault="00E41FFB" w:rsidP="009A43DE">
      <w:pPr>
        <w:spacing w:after="0"/>
        <w:ind w:left="1080"/>
      </w:pPr>
      <w:r w:rsidRPr="00E41FFB">
        <w:t xml:space="preserve">The TUPE Office will post a pre-recorded webinar on </w:t>
      </w:r>
      <w:r w:rsidR="00A228FF">
        <w:rPr>
          <w:b/>
        </w:rPr>
        <w:t>August 2</w:t>
      </w:r>
      <w:r w:rsidRPr="006E6BC5">
        <w:rPr>
          <w:b/>
        </w:rPr>
        <w:t>, 2019</w:t>
      </w:r>
      <w:r w:rsidRPr="004072DF">
        <w:rPr>
          <w:b/>
        </w:rPr>
        <w:t>.</w:t>
      </w:r>
      <w:r w:rsidRPr="00E41FFB">
        <w:t xml:space="preserve"> The purpose of the webinar is to provide guidance to assist prospective applicants with completing the </w:t>
      </w:r>
      <w:r w:rsidR="002E1650">
        <w:t>CBP</w:t>
      </w:r>
      <w:r w:rsidR="005773D2">
        <w:t xml:space="preserve"> Grant</w:t>
      </w:r>
      <w:r w:rsidR="003269D4">
        <w:t xml:space="preserve"> A</w:t>
      </w:r>
      <w:r w:rsidR="00984FC7">
        <w:t>pplication</w:t>
      </w:r>
      <w:r w:rsidRPr="00E41FFB">
        <w:t>. The webinar may be viewed at any time after posting.</w:t>
      </w:r>
    </w:p>
    <w:p w14:paraId="07B30E44" w14:textId="4E2EF7E8" w:rsidR="00A76AC4" w:rsidRDefault="00A76AC4">
      <w:pPr>
        <w:spacing w:before="0" w:after="0"/>
      </w:pPr>
      <w:r>
        <w:br w:type="page"/>
      </w:r>
    </w:p>
    <w:p w14:paraId="4A3F472F" w14:textId="77777777" w:rsidR="000E2E7F" w:rsidRPr="00894682" w:rsidRDefault="000E2E7F" w:rsidP="0024561D">
      <w:pPr>
        <w:pStyle w:val="Heading4"/>
      </w:pPr>
      <w:bookmarkStart w:id="77" w:name="_Toc3534733"/>
      <w:bookmarkStart w:id="78" w:name="_Toc8915796"/>
      <w:r w:rsidRPr="00894682">
        <w:lastRenderedPageBreak/>
        <w:t>Help Desk</w:t>
      </w:r>
      <w:bookmarkEnd w:id="77"/>
      <w:bookmarkEnd w:id="78"/>
    </w:p>
    <w:p w14:paraId="4E36FC9D" w14:textId="172332BC" w:rsidR="00A76AC4" w:rsidRDefault="000E2E7F" w:rsidP="00C4091F">
      <w:pPr>
        <w:spacing w:after="0"/>
        <w:ind w:left="1080"/>
      </w:pPr>
      <w:r w:rsidRPr="00616592">
        <w:t xml:space="preserve">A Help Desk is available to respond to clarifying questions regarding the RFA. Applicants should submit requests for clarification to </w:t>
      </w:r>
      <w:hyperlink r:id="rId25" w:tooltip="TUPE help desk email address" w:history="1">
        <w:r w:rsidR="00400E20" w:rsidRPr="00616592">
          <w:rPr>
            <w:rStyle w:val="Hyperlink"/>
          </w:rPr>
          <w:t>tupe@cde.ca.gov</w:t>
        </w:r>
      </w:hyperlink>
      <w:r w:rsidR="000D79ED" w:rsidRPr="00616592">
        <w:t xml:space="preserve">. </w:t>
      </w:r>
      <w:r w:rsidRPr="00616592">
        <w:t xml:space="preserve">Write </w:t>
      </w:r>
      <w:r w:rsidR="005B4B5A">
        <w:rPr>
          <w:b/>
        </w:rPr>
        <w:t>TUPE Capacity Building Grant</w:t>
      </w:r>
      <w:r w:rsidRPr="00616592">
        <w:rPr>
          <w:b/>
        </w:rPr>
        <w:t xml:space="preserve"> RFA Question</w:t>
      </w:r>
      <w:r w:rsidR="00B00268" w:rsidRPr="00616592">
        <w:t xml:space="preserve"> in the subject line</w:t>
      </w:r>
      <w:r w:rsidR="00E303E1" w:rsidRPr="00616592">
        <w:t>. T</w:t>
      </w:r>
      <w:r w:rsidRPr="00616592">
        <w:t xml:space="preserve">o ensure that all applications have access to the responses provided by the Help Desk, the CDE will post frequently asked questions on the </w:t>
      </w:r>
      <w:r w:rsidR="007F0EBD" w:rsidRPr="00616592">
        <w:t>CDE Available Funding web</w:t>
      </w:r>
      <w:r w:rsidR="00223C4D" w:rsidRPr="00616592">
        <w:t xml:space="preserve"> </w:t>
      </w:r>
      <w:r w:rsidR="007F0EBD" w:rsidRPr="00616592">
        <w:t xml:space="preserve">page at </w:t>
      </w:r>
      <w:hyperlink r:id="rId26" w:tooltip="CDE Funding Profiles" w:history="1">
        <w:r w:rsidR="007F0EBD" w:rsidRPr="00616592">
          <w:rPr>
            <w:rStyle w:val="Hyperlink"/>
          </w:rPr>
          <w:t>https://www.cde.ca.gov/fg/fo/af/</w:t>
        </w:r>
      </w:hyperlink>
      <w:r w:rsidR="006C2D68">
        <w:t>.</w:t>
      </w:r>
    </w:p>
    <w:p w14:paraId="65FF1AF7" w14:textId="77777777" w:rsidR="00A76AC4" w:rsidRDefault="00A76AC4" w:rsidP="00C4091F">
      <w:pPr>
        <w:spacing w:after="0"/>
        <w:ind w:left="1080"/>
      </w:pPr>
    </w:p>
    <w:p w14:paraId="63AB9B09" w14:textId="77777777" w:rsidR="000E2E7F" w:rsidRPr="00894682" w:rsidRDefault="000E2E7F" w:rsidP="0024561D">
      <w:pPr>
        <w:pStyle w:val="Heading4"/>
      </w:pPr>
      <w:bookmarkStart w:id="79" w:name="_Toc497482099"/>
      <w:bookmarkStart w:id="80" w:name="_Toc497305457"/>
      <w:bookmarkStart w:id="81" w:name="_Toc3534734"/>
      <w:bookmarkStart w:id="82" w:name="_Toc8915797"/>
      <w:r w:rsidRPr="00894682">
        <w:t>Appeals Process</w:t>
      </w:r>
      <w:bookmarkEnd w:id="79"/>
      <w:bookmarkEnd w:id="80"/>
      <w:bookmarkEnd w:id="81"/>
      <w:bookmarkEnd w:id="82"/>
    </w:p>
    <w:p w14:paraId="697DEE5F" w14:textId="769E7FBE" w:rsidR="001436A0" w:rsidRDefault="002E1650" w:rsidP="00C4091F">
      <w:pPr>
        <w:spacing w:after="0"/>
        <w:ind w:left="1080"/>
        <w:rPr>
          <w:bCs/>
          <w:color w:val="auto"/>
          <w:shd w:val="clear" w:color="auto" w:fill="auto"/>
        </w:rPr>
      </w:pPr>
      <w:bookmarkStart w:id="83" w:name="_Toc3534735"/>
      <w:r>
        <w:rPr>
          <w:bCs/>
          <w:color w:val="auto"/>
          <w:shd w:val="clear" w:color="auto" w:fill="auto"/>
        </w:rPr>
        <w:t>Grant a</w:t>
      </w:r>
      <w:r w:rsidR="001436A0" w:rsidRPr="00616592">
        <w:rPr>
          <w:bCs/>
          <w:color w:val="auto"/>
          <w:shd w:val="clear" w:color="auto" w:fill="auto"/>
        </w:rPr>
        <w:t>pplicants who wish to appeal the CDE Intent to Award must submit a letter of appeal to the CDE within 10 days of the CDE’s posting</w:t>
      </w:r>
      <w:r>
        <w:rPr>
          <w:bCs/>
          <w:color w:val="auto"/>
          <w:shd w:val="clear" w:color="auto" w:fill="auto"/>
        </w:rPr>
        <w:t xml:space="preserve"> date</w:t>
      </w:r>
      <w:r w:rsidR="001436A0" w:rsidRPr="00616592">
        <w:rPr>
          <w:bCs/>
          <w:color w:val="auto"/>
          <w:shd w:val="clear" w:color="auto" w:fill="auto"/>
        </w:rPr>
        <w:t xml:space="preserve">. Late appeals and postmarks will not be accepted. Emailed letters of appeal will not be accepted. </w:t>
      </w:r>
      <w:r w:rsidR="001436A0" w:rsidRPr="00616592">
        <w:rPr>
          <w:b/>
          <w:bCs/>
          <w:color w:val="auto"/>
          <w:shd w:val="clear" w:color="auto" w:fill="auto"/>
        </w:rPr>
        <w:t>Appeals are limited to the grounds that the CDE’s action(s) violated a state statute or regulation.</w:t>
      </w:r>
      <w:r w:rsidR="001436A0" w:rsidRPr="00616592">
        <w:rPr>
          <w:bCs/>
          <w:color w:val="auto"/>
          <w:shd w:val="clear" w:color="auto" w:fill="auto"/>
        </w:rPr>
        <w:t xml:space="preserve"> The professional judgment of the application readers will not be considered on appeal.</w:t>
      </w:r>
    </w:p>
    <w:p w14:paraId="1F2EA06F" w14:textId="77777777" w:rsidR="001436A0" w:rsidRDefault="001436A0" w:rsidP="00C4091F">
      <w:pPr>
        <w:spacing w:after="0"/>
        <w:ind w:left="1080"/>
        <w:rPr>
          <w:bCs/>
          <w:color w:val="auto"/>
          <w:shd w:val="clear" w:color="auto" w:fill="auto"/>
        </w:rPr>
      </w:pPr>
      <w:r w:rsidRPr="00616592">
        <w:rPr>
          <w:bCs/>
          <w:color w:val="auto"/>
          <w:shd w:val="clear" w:color="auto" w:fill="auto"/>
        </w:rPr>
        <w:t>The letter of appeal must have an original “wet” signature in blue ink from the Superintendent or the Designee and should be mailed or hand delivered to:</w:t>
      </w:r>
    </w:p>
    <w:p w14:paraId="5ACD87B5" w14:textId="1EEA9D39" w:rsidR="001436A0" w:rsidRPr="00616592" w:rsidRDefault="001436A0" w:rsidP="00C4091F">
      <w:pPr>
        <w:autoSpaceDE w:val="0"/>
        <w:autoSpaceDN w:val="0"/>
        <w:spacing w:after="0"/>
        <w:jc w:val="center"/>
        <w:rPr>
          <w:bCs/>
          <w:color w:val="auto"/>
          <w:shd w:val="clear" w:color="auto" w:fill="auto"/>
        </w:rPr>
      </w:pPr>
      <w:r w:rsidRPr="00616592">
        <w:rPr>
          <w:bCs/>
          <w:color w:val="auto"/>
          <w:shd w:val="clear" w:color="auto" w:fill="auto"/>
        </w:rPr>
        <w:t xml:space="preserve">TUPE </w:t>
      </w:r>
      <w:r w:rsidR="006742CF">
        <w:rPr>
          <w:bCs/>
          <w:color w:val="auto"/>
          <w:shd w:val="clear" w:color="auto" w:fill="auto"/>
        </w:rPr>
        <w:t>Capacity Building</w:t>
      </w:r>
      <w:r w:rsidRPr="00616592">
        <w:rPr>
          <w:bCs/>
          <w:color w:val="auto"/>
          <w:shd w:val="clear" w:color="auto" w:fill="auto"/>
        </w:rPr>
        <w:t xml:space="preserve"> </w:t>
      </w:r>
      <w:r w:rsidR="002E1650">
        <w:rPr>
          <w:bCs/>
          <w:color w:val="auto"/>
          <w:shd w:val="clear" w:color="auto" w:fill="auto"/>
        </w:rPr>
        <w:t xml:space="preserve">Provider </w:t>
      </w:r>
      <w:r w:rsidRPr="00616592">
        <w:rPr>
          <w:bCs/>
          <w:shd w:val="clear" w:color="auto" w:fill="auto"/>
        </w:rPr>
        <w:t>Grant Application</w:t>
      </w:r>
    </w:p>
    <w:p w14:paraId="3D228DF0" w14:textId="77777777" w:rsidR="002E1650" w:rsidRDefault="001436A0" w:rsidP="001436A0">
      <w:pPr>
        <w:autoSpaceDE w:val="0"/>
        <w:autoSpaceDN w:val="0"/>
        <w:spacing w:before="0" w:after="0"/>
        <w:jc w:val="center"/>
        <w:rPr>
          <w:bCs/>
          <w:shd w:val="clear" w:color="auto" w:fill="auto"/>
        </w:rPr>
      </w:pPr>
      <w:r w:rsidRPr="00616592">
        <w:rPr>
          <w:bCs/>
          <w:shd w:val="clear" w:color="auto" w:fill="auto"/>
        </w:rPr>
        <w:t>Educator Excellence and Equity Division</w:t>
      </w:r>
    </w:p>
    <w:p w14:paraId="19DC0C3D" w14:textId="564A6856" w:rsidR="001436A0" w:rsidRPr="00616592" w:rsidRDefault="002E1650" w:rsidP="001436A0">
      <w:pPr>
        <w:autoSpaceDE w:val="0"/>
        <w:autoSpaceDN w:val="0"/>
        <w:spacing w:before="0" w:after="0"/>
        <w:jc w:val="center"/>
        <w:rPr>
          <w:bCs/>
          <w:shd w:val="clear" w:color="auto" w:fill="auto"/>
        </w:rPr>
      </w:pPr>
      <w:r>
        <w:rPr>
          <w:bCs/>
          <w:shd w:val="clear" w:color="auto" w:fill="auto"/>
        </w:rPr>
        <w:t xml:space="preserve">Tobacco-Use Prevention </w:t>
      </w:r>
      <w:r w:rsidR="001436A0" w:rsidRPr="00616592">
        <w:rPr>
          <w:bCs/>
          <w:shd w:val="clear" w:color="auto" w:fill="auto"/>
        </w:rPr>
        <w:t>E</w:t>
      </w:r>
      <w:r>
        <w:rPr>
          <w:bCs/>
          <w:shd w:val="clear" w:color="auto" w:fill="auto"/>
        </w:rPr>
        <w:t>ducation</w:t>
      </w:r>
      <w:r w:rsidR="001436A0" w:rsidRPr="00616592">
        <w:rPr>
          <w:bCs/>
          <w:shd w:val="clear" w:color="auto" w:fill="auto"/>
        </w:rPr>
        <w:t xml:space="preserve"> Office</w:t>
      </w:r>
    </w:p>
    <w:p w14:paraId="29CE3FB3" w14:textId="77777777" w:rsidR="001436A0" w:rsidRPr="00616592" w:rsidRDefault="001436A0" w:rsidP="001436A0">
      <w:pPr>
        <w:autoSpaceDE w:val="0"/>
        <w:autoSpaceDN w:val="0"/>
        <w:spacing w:before="0" w:after="0"/>
        <w:jc w:val="center"/>
        <w:rPr>
          <w:bCs/>
          <w:shd w:val="clear" w:color="auto" w:fill="auto"/>
        </w:rPr>
      </w:pPr>
      <w:r w:rsidRPr="00616592">
        <w:rPr>
          <w:bCs/>
          <w:shd w:val="clear" w:color="auto" w:fill="auto"/>
        </w:rPr>
        <w:t>California Department of Education</w:t>
      </w:r>
    </w:p>
    <w:p w14:paraId="686E9110" w14:textId="77777777" w:rsidR="001436A0" w:rsidRPr="00616592" w:rsidRDefault="001436A0" w:rsidP="001436A0">
      <w:pPr>
        <w:autoSpaceDE w:val="0"/>
        <w:autoSpaceDN w:val="0"/>
        <w:adjustRightInd w:val="0"/>
        <w:spacing w:before="0" w:after="0"/>
        <w:jc w:val="center"/>
        <w:rPr>
          <w:bCs/>
          <w:color w:val="auto"/>
          <w:shd w:val="clear" w:color="auto" w:fill="auto"/>
        </w:rPr>
      </w:pPr>
      <w:r w:rsidRPr="00616592">
        <w:rPr>
          <w:bCs/>
          <w:color w:val="auto"/>
          <w:shd w:val="clear" w:color="auto" w:fill="auto"/>
        </w:rPr>
        <w:t>1430 N Street, Suite 6408</w:t>
      </w:r>
    </w:p>
    <w:p w14:paraId="74C00740" w14:textId="77777777" w:rsidR="001436A0" w:rsidRPr="00616592" w:rsidRDefault="001436A0" w:rsidP="001436A0">
      <w:pPr>
        <w:spacing w:before="0"/>
        <w:jc w:val="center"/>
        <w:rPr>
          <w:bCs/>
          <w:color w:val="auto"/>
          <w:shd w:val="clear" w:color="auto" w:fill="auto"/>
        </w:rPr>
      </w:pPr>
      <w:r w:rsidRPr="00616592">
        <w:rPr>
          <w:bCs/>
          <w:color w:val="auto"/>
          <w:shd w:val="clear" w:color="auto" w:fill="auto"/>
        </w:rPr>
        <w:t>Sacramento, CA 95814-5901</w:t>
      </w:r>
    </w:p>
    <w:p w14:paraId="05E3066F" w14:textId="77777777" w:rsidR="001436A0" w:rsidRDefault="001436A0" w:rsidP="00C4091F">
      <w:pPr>
        <w:spacing w:before="0" w:after="0"/>
        <w:ind w:left="1080"/>
        <w:rPr>
          <w:bCs/>
          <w:color w:val="auto"/>
          <w:shd w:val="clear" w:color="auto" w:fill="auto"/>
        </w:rPr>
      </w:pPr>
      <w:r w:rsidRPr="00616592">
        <w:rPr>
          <w:bCs/>
          <w:color w:val="auto"/>
          <w:shd w:val="clear" w:color="auto" w:fill="auto"/>
        </w:rPr>
        <w:t>The letter of appeal shall include:</w:t>
      </w:r>
    </w:p>
    <w:p w14:paraId="717A7E41" w14:textId="77777777" w:rsidR="001436A0" w:rsidRDefault="001436A0" w:rsidP="00A44586">
      <w:pPr>
        <w:pStyle w:val="ListParagraph"/>
        <w:numPr>
          <w:ilvl w:val="0"/>
          <w:numId w:val="10"/>
        </w:numPr>
        <w:spacing w:after="0"/>
        <w:ind w:left="1800"/>
        <w:rPr>
          <w:bCs/>
          <w:color w:val="auto"/>
          <w:shd w:val="clear" w:color="auto" w:fill="auto"/>
        </w:rPr>
      </w:pPr>
      <w:r w:rsidRPr="00616592">
        <w:rPr>
          <w:bCs/>
          <w:color w:val="auto"/>
          <w:shd w:val="clear" w:color="auto" w:fill="auto"/>
        </w:rPr>
        <w:t>A clear, concise statement of the action being appealed,</w:t>
      </w:r>
    </w:p>
    <w:p w14:paraId="034A6AB8" w14:textId="77777777" w:rsidR="001436A0" w:rsidRDefault="001436A0" w:rsidP="00A44586">
      <w:pPr>
        <w:pStyle w:val="ListParagraph"/>
        <w:numPr>
          <w:ilvl w:val="0"/>
          <w:numId w:val="10"/>
        </w:numPr>
        <w:spacing w:after="0"/>
        <w:ind w:left="1800"/>
        <w:rPr>
          <w:bCs/>
          <w:color w:val="auto"/>
          <w:shd w:val="clear" w:color="auto" w:fill="auto"/>
        </w:rPr>
      </w:pPr>
      <w:r w:rsidRPr="00616592">
        <w:rPr>
          <w:bCs/>
          <w:color w:val="auto"/>
          <w:shd w:val="clear" w:color="auto" w:fill="auto"/>
        </w:rPr>
        <w:t>The state statute and/or regulation which the CDE is alleged to have violated,</w:t>
      </w:r>
    </w:p>
    <w:p w14:paraId="16DC7C4A" w14:textId="01F048FE" w:rsidR="00671EFE" w:rsidRDefault="001436A0" w:rsidP="00A44586">
      <w:pPr>
        <w:pStyle w:val="ListParagraph"/>
        <w:numPr>
          <w:ilvl w:val="0"/>
          <w:numId w:val="10"/>
        </w:numPr>
        <w:spacing w:after="0"/>
        <w:ind w:left="1800"/>
        <w:rPr>
          <w:bCs/>
          <w:color w:val="auto"/>
          <w:shd w:val="clear" w:color="auto" w:fill="auto"/>
        </w:rPr>
      </w:pPr>
      <w:r w:rsidRPr="00616592">
        <w:rPr>
          <w:bCs/>
          <w:color w:val="auto"/>
          <w:shd w:val="clear" w:color="auto" w:fill="auto"/>
        </w:rPr>
        <w:t>The specific evidence being submitted to support the appeal, and</w:t>
      </w:r>
    </w:p>
    <w:p w14:paraId="0E71C79B" w14:textId="77777777" w:rsidR="001436A0" w:rsidRPr="00616592" w:rsidRDefault="001436A0" w:rsidP="00A44586">
      <w:pPr>
        <w:pStyle w:val="ListParagraph"/>
        <w:numPr>
          <w:ilvl w:val="0"/>
          <w:numId w:val="10"/>
        </w:numPr>
        <w:spacing w:after="0"/>
        <w:ind w:left="1800"/>
        <w:rPr>
          <w:bCs/>
          <w:color w:val="auto"/>
          <w:shd w:val="clear" w:color="auto" w:fill="auto"/>
        </w:rPr>
      </w:pPr>
      <w:r w:rsidRPr="00616592">
        <w:rPr>
          <w:bCs/>
          <w:color w:val="auto"/>
          <w:shd w:val="clear" w:color="auto" w:fill="auto"/>
        </w:rPr>
        <w:t>The specific remedy sought.</w:t>
      </w:r>
    </w:p>
    <w:p w14:paraId="3E0339C2" w14:textId="43438986" w:rsidR="00A76AC4" w:rsidRDefault="001436A0" w:rsidP="00C4091F">
      <w:pPr>
        <w:spacing w:after="0"/>
        <w:ind w:left="1080" w:right="187"/>
        <w:rPr>
          <w:bCs/>
          <w:color w:val="auto"/>
          <w:shd w:val="clear" w:color="auto" w:fill="auto"/>
        </w:rPr>
      </w:pPr>
      <w:r w:rsidRPr="00616592">
        <w:rPr>
          <w:bCs/>
          <w:color w:val="auto"/>
          <w:shd w:val="clear" w:color="auto" w:fill="auto"/>
        </w:rPr>
        <w:t>A final decision will be made by the CDE within 20 working days of the filing deadline for appeals. The decision shall be the final administrative action afforded to the appellant.</w:t>
      </w:r>
    </w:p>
    <w:p w14:paraId="10FFAB48" w14:textId="77777777" w:rsidR="00A76AC4" w:rsidRDefault="00A76AC4">
      <w:pPr>
        <w:spacing w:before="0" w:after="0"/>
        <w:rPr>
          <w:bCs/>
          <w:color w:val="auto"/>
          <w:shd w:val="clear" w:color="auto" w:fill="auto"/>
        </w:rPr>
      </w:pPr>
      <w:r>
        <w:rPr>
          <w:bCs/>
          <w:color w:val="auto"/>
          <w:shd w:val="clear" w:color="auto" w:fill="auto"/>
        </w:rPr>
        <w:br w:type="page"/>
      </w:r>
    </w:p>
    <w:p w14:paraId="5B167F5D" w14:textId="77777777" w:rsidR="000E2E7F" w:rsidRPr="00616592" w:rsidRDefault="000E2E7F" w:rsidP="0024561D">
      <w:pPr>
        <w:pStyle w:val="Heading4"/>
      </w:pPr>
      <w:bookmarkStart w:id="84" w:name="_Toc8915798"/>
      <w:r w:rsidRPr="00616592">
        <w:lastRenderedPageBreak/>
        <w:t>Grant Award Notification</w:t>
      </w:r>
      <w:bookmarkEnd w:id="83"/>
      <w:bookmarkEnd w:id="84"/>
    </w:p>
    <w:p w14:paraId="0920F5EB" w14:textId="6BA8D78C" w:rsidR="000E2E7F" w:rsidRPr="00616592" w:rsidRDefault="00AC60FF" w:rsidP="00F56F1D">
      <w:pPr>
        <w:spacing w:after="480"/>
        <w:ind w:left="1080"/>
      </w:pPr>
      <w:r>
        <w:t xml:space="preserve">The </w:t>
      </w:r>
      <w:r w:rsidR="009B0366">
        <w:t>grant applicant</w:t>
      </w:r>
      <w:r w:rsidR="000E2E7F" w:rsidRPr="00616592">
        <w:t xml:space="preserve"> </w:t>
      </w:r>
      <w:r>
        <w:t xml:space="preserve">selected </w:t>
      </w:r>
      <w:r w:rsidR="000E2E7F" w:rsidRPr="00616592">
        <w:t>for funding will receive a</w:t>
      </w:r>
      <w:r w:rsidR="006F6380">
        <w:t>n</w:t>
      </w:r>
      <w:r w:rsidR="000E2E7F" w:rsidRPr="00616592">
        <w:t xml:space="preserve"> </w:t>
      </w:r>
      <w:r w:rsidR="00225F21">
        <w:t>AO-400</w:t>
      </w:r>
      <w:r w:rsidR="003F2943" w:rsidRPr="00616592">
        <w:t>,</w:t>
      </w:r>
      <w:r w:rsidR="000E2E7F" w:rsidRPr="00616592">
        <w:t xml:space="preserve"> </w:t>
      </w:r>
      <w:r w:rsidR="00225F21">
        <w:t>which is</w:t>
      </w:r>
      <w:r w:rsidR="000E2E7F" w:rsidRPr="00616592">
        <w:t xml:space="preserve"> the official CDE document that awards funds to local projects. </w:t>
      </w:r>
      <w:r w:rsidR="000D79ED" w:rsidRPr="00616592">
        <w:t xml:space="preserve">The </w:t>
      </w:r>
      <w:r w:rsidR="00EC188E" w:rsidRPr="00616592">
        <w:t xml:space="preserve">TUPE </w:t>
      </w:r>
      <w:r w:rsidR="00427DCB">
        <w:t>CBP</w:t>
      </w:r>
      <w:r w:rsidR="000D79ED" w:rsidRPr="00616592">
        <w:t xml:space="preserve"> </w:t>
      </w:r>
      <w:r w:rsidR="00C36063">
        <w:t xml:space="preserve">grantee </w:t>
      </w:r>
      <w:r w:rsidR="000E2E7F" w:rsidRPr="00616592">
        <w:t xml:space="preserve">must sign and return the </w:t>
      </w:r>
      <w:r w:rsidR="00225F21">
        <w:t>AO-400</w:t>
      </w:r>
      <w:r w:rsidR="000E2E7F" w:rsidRPr="00616592">
        <w:t xml:space="preserve"> to </w:t>
      </w:r>
      <w:r w:rsidR="001E3F9C" w:rsidRPr="00616592">
        <w:t xml:space="preserve">the </w:t>
      </w:r>
      <w:r w:rsidR="000E2E7F" w:rsidRPr="00616592">
        <w:t>CDE before project work may begin and disbursement of funds can be made.</w:t>
      </w:r>
    </w:p>
    <w:p w14:paraId="7B9D9E83" w14:textId="70AF0A95" w:rsidR="00D14755" w:rsidRPr="005948BA" w:rsidRDefault="009A5113" w:rsidP="00A44586">
      <w:pPr>
        <w:pStyle w:val="Heading3"/>
        <w:spacing w:after="0"/>
        <w:rPr>
          <w:rFonts w:eastAsiaTheme="minorHAnsi"/>
        </w:rPr>
      </w:pPr>
      <w:bookmarkStart w:id="85" w:name="_Toc8915799"/>
      <w:r>
        <w:rPr>
          <w:rFonts w:eastAsiaTheme="minorHAnsi"/>
        </w:rPr>
        <w:t>Fiscal Terms and Conditions</w:t>
      </w:r>
      <w:bookmarkEnd w:id="85"/>
    </w:p>
    <w:p w14:paraId="06B63CD8" w14:textId="0876FB71" w:rsidR="00D14755" w:rsidRPr="005948BA" w:rsidRDefault="00C36063" w:rsidP="00A44586">
      <w:pPr>
        <w:spacing w:after="0"/>
        <w:ind w:left="720"/>
        <w:rPr>
          <w:rFonts w:eastAsiaTheme="minorHAnsi"/>
          <w:color w:val="auto"/>
          <w:szCs w:val="22"/>
          <w:shd w:val="clear" w:color="auto" w:fill="auto"/>
        </w:rPr>
      </w:pPr>
      <w:r>
        <w:rPr>
          <w:rFonts w:eastAsiaTheme="minorHAnsi"/>
          <w:color w:val="auto"/>
          <w:szCs w:val="22"/>
          <w:shd w:val="clear" w:color="auto" w:fill="auto"/>
        </w:rPr>
        <w:t>The s</w:t>
      </w:r>
      <w:r w:rsidR="00D14755" w:rsidRPr="005948BA">
        <w:rPr>
          <w:rFonts w:eastAsiaTheme="minorHAnsi"/>
          <w:color w:val="auto"/>
          <w:szCs w:val="22"/>
          <w:shd w:val="clear" w:color="auto" w:fill="auto"/>
        </w:rPr>
        <w:t xml:space="preserve">uccessful </w:t>
      </w:r>
      <w:r w:rsidR="00F52972" w:rsidRPr="005948BA">
        <w:rPr>
          <w:rFonts w:eastAsiaTheme="minorHAnsi"/>
          <w:color w:val="auto"/>
          <w:szCs w:val="22"/>
          <w:shd w:val="clear" w:color="auto" w:fill="auto"/>
        </w:rPr>
        <w:t>applicati</w:t>
      </w:r>
      <w:r w:rsidR="00F52972">
        <w:rPr>
          <w:rFonts w:eastAsiaTheme="minorHAnsi"/>
          <w:color w:val="auto"/>
          <w:szCs w:val="22"/>
          <w:shd w:val="clear" w:color="auto" w:fill="auto"/>
        </w:rPr>
        <w:t>on</w:t>
      </w:r>
      <w:r w:rsidR="00D14755" w:rsidRPr="005948BA">
        <w:rPr>
          <w:rFonts w:eastAsiaTheme="minorHAnsi"/>
          <w:color w:val="auto"/>
          <w:szCs w:val="22"/>
          <w:shd w:val="clear" w:color="auto" w:fill="auto"/>
        </w:rPr>
        <w:t xml:space="preserve"> will be approved for a </w:t>
      </w:r>
      <w:r w:rsidR="00873940">
        <w:rPr>
          <w:rFonts w:eastAsiaTheme="minorHAnsi"/>
          <w:color w:val="auto"/>
          <w:szCs w:val="22"/>
          <w:shd w:val="clear" w:color="auto" w:fill="auto"/>
        </w:rPr>
        <w:t>33</w:t>
      </w:r>
      <w:r w:rsidR="00D14755" w:rsidRPr="005948BA">
        <w:rPr>
          <w:rFonts w:eastAsiaTheme="minorHAnsi"/>
          <w:color w:val="auto"/>
          <w:szCs w:val="22"/>
          <w:shd w:val="clear" w:color="auto" w:fill="auto"/>
        </w:rPr>
        <w:t xml:space="preserve"> month project per</w:t>
      </w:r>
      <w:r w:rsidR="00572F7B">
        <w:rPr>
          <w:rFonts w:eastAsiaTheme="minorHAnsi"/>
          <w:color w:val="auto"/>
          <w:szCs w:val="22"/>
          <w:shd w:val="clear" w:color="auto" w:fill="auto"/>
        </w:rPr>
        <w:t xml:space="preserve">iod, beginning with </w:t>
      </w:r>
      <w:r w:rsidR="00D14755" w:rsidRPr="005948BA">
        <w:rPr>
          <w:rFonts w:eastAsiaTheme="minorHAnsi"/>
          <w:color w:val="auto"/>
          <w:szCs w:val="22"/>
          <w:shd w:val="clear" w:color="auto" w:fill="auto"/>
        </w:rPr>
        <w:t xml:space="preserve">FY 2019–20. The CDE will issue the grant award for </w:t>
      </w:r>
      <w:r w:rsidR="00873940">
        <w:rPr>
          <w:rFonts w:eastAsiaTheme="minorHAnsi"/>
          <w:color w:val="auto"/>
          <w:szCs w:val="22"/>
          <w:shd w:val="clear" w:color="auto" w:fill="auto"/>
        </w:rPr>
        <w:t>33</w:t>
      </w:r>
      <w:r w:rsidR="00D14755" w:rsidRPr="005948BA">
        <w:rPr>
          <w:rFonts w:eastAsiaTheme="minorHAnsi"/>
          <w:color w:val="auto"/>
          <w:szCs w:val="22"/>
          <w:shd w:val="clear" w:color="auto" w:fill="auto"/>
        </w:rPr>
        <w:t xml:space="preserve"> months beginning </w:t>
      </w:r>
      <w:r w:rsidR="00A5613A">
        <w:rPr>
          <w:rFonts w:eastAsiaTheme="minorHAnsi"/>
          <w:color w:val="auto"/>
          <w:szCs w:val="22"/>
          <w:shd w:val="clear" w:color="auto" w:fill="auto"/>
        </w:rPr>
        <w:t>October 1</w:t>
      </w:r>
      <w:r w:rsidR="00D14755" w:rsidRPr="005948BA">
        <w:rPr>
          <w:rFonts w:eastAsiaTheme="minorHAnsi"/>
          <w:color w:val="auto"/>
          <w:szCs w:val="22"/>
          <w:shd w:val="clear" w:color="auto" w:fill="auto"/>
        </w:rPr>
        <w:t>, 2019</w:t>
      </w:r>
      <w:r w:rsidR="006A06A9">
        <w:rPr>
          <w:rFonts w:eastAsiaTheme="minorHAnsi"/>
          <w:color w:val="auto"/>
          <w:szCs w:val="22"/>
          <w:shd w:val="clear" w:color="auto" w:fill="auto"/>
        </w:rPr>
        <w:t>,</w:t>
      </w:r>
      <w:r w:rsidR="00D14755" w:rsidRPr="005948BA">
        <w:rPr>
          <w:rFonts w:eastAsiaTheme="minorHAnsi"/>
          <w:color w:val="auto"/>
          <w:szCs w:val="22"/>
          <w:shd w:val="clear" w:color="auto" w:fill="auto"/>
        </w:rPr>
        <w:t xml:space="preserve"> and ending </w:t>
      </w:r>
      <w:r w:rsidR="00AF2927">
        <w:rPr>
          <w:rFonts w:eastAsiaTheme="minorHAnsi"/>
          <w:color w:val="auto"/>
          <w:szCs w:val="22"/>
          <w:shd w:val="clear" w:color="auto" w:fill="auto"/>
        </w:rPr>
        <w:t>June 30</w:t>
      </w:r>
      <w:r w:rsidR="00D14755" w:rsidRPr="005948BA">
        <w:rPr>
          <w:rFonts w:eastAsiaTheme="minorHAnsi"/>
          <w:color w:val="auto"/>
          <w:szCs w:val="22"/>
          <w:shd w:val="clear" w:color="auto" w:fill="auto"/>
        </w:rPr>
        <w:t>, 2022, contingent upon the CDE</w:t>
      </w:r>
      <w:r w:rsidR="00113CA1">
        <w:rPr>
          <w:rFonts w:eastAsiaTheme="minorHAnsi"/>
          <w:color w:val="auto"/>
          <w:szCs w:val="22"/>
          <w:shd w:val="clear" w:color="auto" w:fill="auto"/>
        </w:rPr>
        <w:t>’s</w:t>
      </w:r>
      <w:r w:rsidR="00D14755" w:rsidRPr="005948BA">
        <w:rPr>
          <w:rFonts w:eastAsiaTheme="minorHAnsi"/>
          <w:color w:val="auto"/>
          <w:szCs w:val="22"/>
          <w:shd w:val="clear" w:color="auto" w:fill="auto"/>
        </w:rPr>
        <w:t xml:space="preserve"> receipt of st</w:t>
      </w:r>
      <w:r w:rsidR="006C2D68">
        <w:rPr>
          <w:rFonts w:eastAsiaTheme="minorHAnsi"/>
          <w:color w:val="auto"/>
          <w:szCs w:val="22"/>
          <w:shd w:val="clear" w:color="auto" w:fill="auto"/>
        </w:rPr>
        <w:t>ate allocation for FY 2019–20.</w:t>
      </w:r>
    </w:p>
    <w:p w14:paraId="1848CEF6" w14:textId="2831CFCC" w:rsidR="00D14755" w:rsidRPr="005948BA" w:rsidRDefault="00D14755" w:rsidP="00A44586">
      <w:pPr>
        <w:spacing w:after="0"/>
        <w:ind w:left="720"/>
        <w:rPr>
          <w:rFonts w:eastAsiaTheme="minorHAnsi"/>
          <w:color w:val="auto"/>
          <w:szCs w:val="22"/>
          <w:shd w:val="clear" w:color="auto" w:fill="auto"/>
        </w:rPr>
      </w:pPr>
      <w:r w:rsidRPr="005948BA">
        <w:rPr>
          <w:rFonts w:eastAsiaTheme="minorHAnsi"/>
          <w:color w:val="auto"/>
          <w:szCs w:val="22"/>
          <w:shd w:val="clear" w:color="auto" w:fill="auto"/>
        </w:rPr>
        <w:t xml:space="preserve">The </w:t>
      </w:r>
      <w:r w:rsidR="00941EFB">
        <w:rPr>
          <w:rFonts w:eastAsiaTheme="minorHAnsi"/>
          <w:color w:val="auto"/>
          <w:szCs w:val="22"/>
          <w:shd w:val="clear" w:color="auto" w:fill="auto"/>
        </w:rPr>
        <w:t xml:space="preserve">grantee’s </w:t>
      </w:r>
      <w:r w:rsidRPr="005948BA">
        <w:rPr>
          <w:rFonts w:eastAsiaTheme="minorHAnsi"/>
          <w:color w:val="auto"/>
          <w:szCs w:val="22"/>
          <w:shd w:val="clear" w:color="auto" w:fill="auto"/>
        </w:rPr>
        <w:t xml:space="preserve">proposed budget will be reviewed for allowable and reasonable expenditure requests following the Grant Readers’ Review. If budget adjustments are made for any application, the rank order (which will be based on the narrative score) will remain the same. The distribution of funding among the various categories of cost must clearly support the activities approved in the </w:t>
      </w:r>
      <w:r w:rsidR="00941EFB">
        <w:rPr>
          <w:rFonts w:eastAsiaTheme="minorHAnsi"/>
          <w:color w:val="auto"/>
          <w:szCs w:val="22"/>
          <w:shd w:val="clear" w:color="auto" w:fill="auto"/>
        </w:rPr>
        <w:t>g</w:t>
      </w:r>
      <w:r w:rsidR="00486D75" w:rsidRPr="005948BA">
        <w:rPr>
          <w:rFonts w:eastAsiaTheme="minorHAnsi"/>
          <w:color w:val="auto"/>
          <w:szCs w:val="22"/>
          <w:shd w:val="clear" w:color="auto" w:fill="auto"/>
        </w:rPr>
        <w:t>rantee</w:t>
      </w:r>
      <w:r w:rsidRPr="005948BA">
        <w:rPr>
          <w:rFonts w:eastAsiaTheme="minorHAnsi"/>
          <w:color w:val="auto"/>
          <w:szCs w:val="22"/>
          <w:shd w:val="clear" w:color="auto" w:fill="auto"/>
        </w:rPr>
        <w:t>’s</w:t>
      </w:r>
      <w:r w:rsidRPr="005948BA">
        <w:rPr>
          <w:rFonts w:eastAsiaTheme="minorHAnsi"/>
          <w:b/>
          <w:color w:val="auto"/>
          <w:szCs w:val="22"/>
          <w:shd w:val="clear" w:color="auto" w:fill="auto"/>
        </w:rPr>
        <w:t xml:space="preserve"> </w:t>
      </w:r>
      <w:r w:rsidRPr="005948BA">
        <w:rPr>
          <w:rFonts w:eastAsiaTheme="minorHAnsi"/>
          <w:color w:val="auto"/>
          <w:szCs w:val="22"/>
          <w:shd w:val="clear" w:color="auto" w:fill="auto"/>
        </w:rPr>
        <w:t xml:space="preserve">application. If the </w:t>
      </w:r>
      <w:r w:rsidR="00941EFB">
        <w:rPr>
          <w:rFonts w:eastAsiaTheme="minorHAnsi"/>
          <w:color w:val="auto"/>
          <w:szCs w:val="22"/>
          <w:shd w:val="clear" w:color="auto" w:fill="auto"/>
        </w:rPr>
        <w:t>g</w:t>
      </w:r>
      <w:r w:rsidR="00486D75" w:rsidRPr="005948BA">
        <w:rPr>
          <w:rFonts w:eastAsiaTheme="minorHAnsi"/>
          <w:color w:val="auto"/>
          <w:szCs w:val="22"/>
          <w:shd w:val="clear" w:color="auto" w:fill="auto"/>
        </w:rPr>
        <w:t>rantee</w:t>
      </w:r>
      <w:r w:rsidRPr="005948BA">
        <w:rPr>
          <w:rFonts w:eastAsiaTheme="minorHAnsi"/>
          <w:color w:val="auto"/>
          <w:szCs w:val="22"/>
          <w:shd w:val="clear" w:color="auto" w:fill="auto"/>
        </w:rPr>
        <w:t xml:space="preserve"> wishes to change the alignment of funding in its budget, and the changes total more than 10 percent of the grant amount, the </w:t>
      </w:r>
      <w:r w:rsidR="00941EFB">
        <w:rPr>
          <w:rFonts w:eastAsiaTheme="minorHAnsi"/>
          <w:color w:val="auto"/>
          <w:szCs w:val="22"/>
          <w:shd w:val="clear" w:color="auto" w:fill="auto"/>
        </w:rPr>
        <w:t>g</w:t>
      </w:r>
      <w:r w:rsidR="00486D75" w:rsidRPr="005948BA">
        <w:rPr>
          <w:rFonts w:eastAsiaTheme="minorHAnsi"/>
          <w:color w:val="auto"/>
          <w:szCs w:val="22"/>
          <w:shd w:val="clear" w:color="auto" w:fill="auto"/>
        </w:rPr>
        <w:t>rantee</w:t>
      </w:r>
      <w:r w:rsidRPr="005948BA">
        <w:rPr>
          <w:rFonts w:eastAsiaTheme="minorHAnsi"/>
          <w:color w:val="auto"/>
          <w:szCs w:val="22"/>
          <w:shd w:val="clear" w:color="auto" w:fill="auto"/>
        </w:rPr>
        <w:t xml:space="preserve"> must submit a budget revision request to the CDE.</w:t>
      </w:r>
    </w:p>
    <w:p w14:paraId="3C387874" w14:textId="28A17E4A" w:rsidR="00D14755" w:rsidRPr="005948BA" w:rsidRDefault="00D14755" w:rsidP="00A44586">
      <w:pPr>
        <w:ind w:left="720"/>
        <w:rPr>
          <w:rFonts w:eastAsiaTheme="minorHAnsi"/>
          <w:color w:val="auto"/>
          <w:szCs w:val="22"/>
          <w:shd w:val="clear" w:color="auto" w:fill="auto"/>
        </w:rPr>
      </w:pPr>
      <w:r w:rsidRPr="005948BA">
        <w:rPr>
          <w:rFonts w:eastAsiaTheme="minorHAnsi"/>
          <w:color w:val="auto"/>
          <w:szCs w:val="22"/>
          <w:shd w:val="clear" w:color="auto" w:fill="auto"/>
        </w:rPr>
        <w:t xml:space="preserve">The </w:t>
      </w:r>
      <w:r w:rsidR="00E80A2B">
        <w:rPr>
          <w:rFonts w:eastAsiaTheme="minorHAnsi"/>
          <w:color w:val="auto"/>
          <w:szCs w:val="22"/>
          <w:shd w:val="clear" w:color="auto" w:fill="auto"/>
        </w:rPr>
        <w:t>g</w:t>
      </w:r>
      <w:r w:rsidR="00486D75" w:rsidRPr="005948BA">
        <w:rPr>
          <w:rFonts w:eastAsiaTheme="minorHAnsi"/>
          <w:color w:val="auto"/>
          <w:szCs w:val="22"/>
          <w:shd w:val="clear" w:color="auto" w:fill="auto"/>
        </w:rPr>
        <w:t>rantee</w:t>
      </w:r>
      <w:r w:rsidRPr="005948BA">
        <w:rPr>
          <w:rFonts w:eastAsiaTheme="minorHAnsi"/>
          <w:color w:val="auto"/>
          <w:szCs w:val="22"/>
          <w:shd w:val="clear" w:color="auto" w:fill="auto"/>
        </w:rPr>
        <w:t xml:space="preserve"> will also be required to submit to the CDE two expenditure reports each </w:t>
      </w:r>
      <w:r w:rsidR="00E80A2B">
        <w:rPr>
          <w:rFonts w:eastAsiaTheme="minorHAnsi"/>
          <w:color w:val="auto"/>
          <w:szCs w:val="22"/>
          <w:shd w:val="clear" w:color="auto" w:fill="auto"/>
        </w:rPr>
        <w:t>FY</w:t>
      </w:r>
      <w:r w:rsidRPr="005948BA">
        <w:rPr>
          <w:rFonts w:eastAsiaTheme="minorHAnsi"/>
          <w:color w:val="auto"/>
          <w:szCs w:val="22"/>
          <w:shd w:val="clear" w:color="auto" w:fill="auto"/>
        </w:rPr>
        <w:t xml:space="preserve"> indicating grant expenditures to date. The expenditure report due dates will be as follow</w:t>
      </w:r>
      <w:r w:rsidR="00042E80">
        <w:rPr>
          <w:rFonts w:eastAsiaTheme="minorHAnsi"/>
          <w:color w:val="auto"/>
          <w:szCs w:val="22"/>
          <w:shd w:val="clear" w:color="auto" w:fill="auto"/>
        </w:rPr>
        <w:t>s</w:t>
      </w:r>
      <w:r w:rsidRPr="005948BA">
        <w:rPr>
          <w:rFonts w:eastAsiaTheme="minorHAnsi"/>
          <w:color w:val="auto"/>
          <w:szCs w:val="22"/>
          <w:shd w:val="clear" w:color="auto" w:fill="auto"/>
        </w:rPr>
        <w:t>:</w:t>
      </w:r>
    </w:p>
    <w:p w14:paraId="5D71BFBF" w14:textId="5798D7F8" w:rsidR="00D14755" w:rsidRPr="00A44586" w:rsidRDefault="00A5613A" w:rsidP="00A44586">
      <w:pPr>
        <w:pStyle w:val="ListParagraph"/>
        <w:numPr>
          <w:ilvl w:val="0"/>
          <w:numId w:val="38"/>
        </w:numPr>
        <w:rPr>
          <w:rFonts w:eastAsiaTheme="minorHAnsi"/>
        </w:rPr>
      </w:pPr>
      <w:r>
        <w:rPr>
          <w:rFonts w:eastAsiaTheme="minorHAnsi"/>
        </w:rPr>
        <w:t>October 1</w:t>
      </w:r>
      <w:r w:rsidR="00D14755" w:rsidRPr="00A44586">
        <w:rPr>
          <w:rFonts w:eastAsiaTheme="minorHAnsi"/>
        </w:rPr>
        <w:t>, 2019</w:t>
      </w:r>
      <w:r w:rsidR="00E80A2B">
        <w:rPr>
          <w:rFonts w:eastAsiaTheme="minorHAnsi"/>
        </w:rPr>
        <w:t>–</w:t>
      </w:r>
      <w:r w:rsidR="00D14755" w:rsidRPr="00A44586">
        <w:rPr>
          <w:rFonts w:eastAsiaTheme="minorHAnsi"/>
        </w:rPr>
        <w:t>December 31, 2019</w:t>
      </w:r>
      <w:r w:rsidR="00E80A2B">
        <w:rPr>
          <w:rFonts w:eastAsiaTheme="minorHAnsi"/>
        </w:rPr>
        <w:t xml:space="preserve">: </w:t>
      </w:r>
      <w:r w:rsidR="00D14755" w:rsidRPr="00A44586">
        <w:rPr>
          <w:rFonts w:eastAsiaTheme="minorHAnsi"/>
        </w:rPr>
        <w:t xml:space="preserve">Expenditure Report </w:t>
      </w:r>
      <w:r w:rsidR="001B2374">
        <w:rPr>
          <w:rFonts w:eastAsiaTheme="minorHAnsi"/>
        </w:rPr>
        <w:t>d</w:t>
      </w:r>
      <w:r w:rsidR="00D14755" w:rsidRPr="00A44586">
        <w:rPr>
          <w:rFonts w:eastAsiaTheme="minorHAnsi"/>
        </w:rPr>
        <w:t>ue no later than February 15, 2020</w:t>
      </w:r>
    </w:p>
    <w:p w14:paraId="6FD5F8C5" w14:textId="5908CF72" w:rsidR="00D14755" w:rsidRPr="00A44586" w:rsidRDefault="00D14755" w:rsidP="001B2374">
      <w:pPr>
        <w:pStyle w:val="ListParagraph"/>
        <w:numPr>
          <w:ilvl w:val="0"/>
          <w:numId w:val="38"/>
        </w:numPr>
        <w:rPr>
          <w:rFonts w:eastAsiaTheme="minorHAnsi"/>
        </w:rPr>
      </w:pPr>
      <w:r w:rsidRPr="00A44586">
        <w:rPr>
          <w:rFonts w:eastAsiaTheme="minorHAnsi"/>
        </w:rPr>
        <w:t>January 1, 2020</w:t>
      </w:r>
      <w:r w:rsidR="00E80A2B">
        <w:rPr>
          <w:rFonts w:eastAsiaTheme="minorHAnsi"/>
        </w:rPr>
        <w:t>–</w:t>
      </w:r>
      <w:r w:rsidRPr="00A44586">
        <w:rPr>
          <w:rFonts w:eastAsiaTheme="minorHAnsi"/>
        </w:rPr>
        <w:t>June 30, 2020</w:t>
      </w:r>
      <w:r w:rsidR="00E80A2B">
        <w:rPr>
          <w:rFonts w:eastAsiaTheme="minorHAnsi"/>
        </w:rPr>
        <w:t xml:space="preserve">: </w:t>
      </w:r>
      <w:r w:rsidRPr="00A44586">
        <w:rPr>
          <w:rFonts w:eastAsiaTheme="minorHAnsi"/>
        </w:rPr>
        <w:t xml:space="preserve">Expenditure Report </w:t>
      </w:r>
      <w:r w:rsidR="001B2374" w:rsidRPr="001B2374">
        <w:rPr>
          <w:rFonts w:eastAsiaTheme="minorHAnsi"/>
        </w:rPr>
        <w:t>due</w:t>
      </w:r>
      <w:r w:rsidRPr="00A44586">
        <w:rPr>
          <w:rFonts w:eastAsiaTheme="minorHAnsi"/>
        </w:rPr>
        <w:t xml:space="preserve"> no later than August 15, 2020</w:t>
      </w:r>
    </w:p>
    <w:p w14:paraId="7EB59D77" w14:textId="6D25DDC3" w:rsidR="00D14755" w:rsidRPr="00A44586" w:rsidRDefault="00D14755" w:rsidP="001B2374">
      <w:pPr>
        <w:pStyle w:val="ListParagraph"/>
        <w:numPr>
          <w:ilvl w:val="0"/>
          <w:numId w:val="38"/>
        </w:numPr>
        <w:rPr>
          <w:rFonts w:eastAsiaTheme="minorHAnsi"/>
        </w:rPr>
      </w:pPr>
      <w:r w:rsidRPr="00A44586">
        <w:rPr>
          <w:rFonts w:eastAsiaTheme="minorHAnsi"/>
        </w:rPr>
        <w:t>July 1, 2020</w:t>
      </w:r>
      <w:r w:rsidR="00E80A2B">
        <w:rPr>
          <w:rFonts w:eastAsiaTheme="minorHAnsi"/>
        </w:rPr>
        <w:t>–</w:t>
      </w:r>
      <w:r w:rsidRPr="00A44586">
        <w:rPr>
          <w:rFonts w:eastAsiaTheme="minorHAnsi"/>
        </w:rPr>
        <w:t>December 31, 2020</w:t>
      </w:r>
      <w:r w:rsidR="00E80A2B">
        <w:rPr>
          <w:rFonts w:eastAsiaTheme="minorHAnsi"/>
        </w:rPr>
        <w:t xml:space="preserve">: </w:t>
      </w:r>
      <w:r w:rsidRPr="00A44586">
        <w:rPr>
          <w:rFonts w:eastAsiaTheme="minorHAnsi"/>
        </w:rPr>
        <w:t xml:space="preserve"> Expenditure Report </w:t>
      </w:r>
      <w:r w:rsidR="001B2374" w:rsidRPr="001B2374">
        <w:rPr>
          <w:rFonts w:eastAsiaTheme="minorHAnsi"/>
        </w:rPr>
        <w:t>due</w:t>
      </w:r>
      <w:r w:rsidRPr="00A44586">
        <w:rPr>
          <w:rFonts w:eastAsiaTheme="minorHAnsi"/>
        </w:rPr>
        <w:t xml:space="preserve"> no later than February 15, 2021</w:t>
      </w:r>
    </w:p>
    <w:p w14:paraId="1866E0D5" w14:textId="32D5F8A4" w:rsidR="00D14755" w:rsidRPr="00A44586" w:rsidRDefault="00D14755" w:rsidP="001B2374">
      <w:pPr>
        <w:pStyle w:val="ListParagraph"/>
        <w:numPr>
          <w:ilvl w:val="0"/>
          <w:numId w:val="38"/>
        </w:numPr>
        <w:rPr>
          <w:rFonts w:eastAsiaTheme="minorHAnsi"/>
        </w:rPr>
      </w:pPr>
      <w:r w:rsidRPr="00A44586">
        <w:rPr>
          <w:rFonts w:eastAsiaTheme="minorHAnsi"/>
        </w:rPr>
        <w:t>January 1, 2021</w:t>
      </w:r>
      <w:r w:rsidR="00E80A2B">
        <w:rPr>
          <w:rFonts w:eastAsiaTheme="minorHAnsi"/>
        </w:rPr>
        <w:t>–</w:t>
      </w:r>
      <w:r w:rsidRPr="00A44586">
        <w:rPr>
          <w:rFonts w:eastAsiaTheme="minorHAnsi"/>
        </w:rPr>
        <w:t>June 30, 2021</w:t>
      </w:r>
      <w:r w:rsidR="00E80A2B">
        <w:rPr>
          <w:rFonts w:eastAsiaTheme="minorHAnsi"/>
        </w:rPr>
        <w:t xml:space="preserve">: </w:t>
      </w:r>
      <w:r w:rsidRPr="00A44586">
        <w:rPr>
          <w:rFonts w:eastAsiaTheme="minorHAnsi"/>
        </w:rPr>
        <w:t xml:space="preserve"> Expenditure Report </w:t>
      </w:r>
      <w:r w:rsidR="001B2374" w:rsidRPr="001B2374">
        <w:rPr>
          <w:rFonts w:eastAsiaTheme="minorHAnsi"/>
        </w:rPr>
        <w:t>due</w:t>
      </w:r>
      <w:r w:rsidRPr="00A44586">
        <w:rPr>
          <w:rFonts w:eastAsiaTheme="minorHAnsi"/>
        </w:rPr>
        <w:t xml:space="preserve"> no later than August 15, 2021</w:t>
      </w:r>
    </w:p>
    <w:p w14:paraId="3DCC15EF" w14:textId="7A682055" w:rsidR="00D14755" w:rsidRPr="00A44586" w:rsidRDefault="00D14755" w:rsidP="001B2374">
      <w:pPr>
        <w:pStyle w:val="ListParagraph"/>
        <w:numPr>
          <w:ilvl w:val="0"/>
          <w:numId w:val="38"/>
        </w:numPr>
        <w:rPr>
          <w:rFonts w:eastAsiaTheme="minorHAnsi"/>
        </w:rPr>
      </w:pPr>
      <w:r w:rsidRPr="00A44586">
        <w:rPr>
          <w:rFonts w:eastAsiaTheme="minorHAnsi"/>
        </w:rPr>
        <w:t>July 1, 2021</w:t>
      </w:r>
      <w:r w:rsidR="00E80A2B">
        <w:rPr>
          <w:rFonts w:eastAsiaTheme="minorHAnsi"/>
        </w:rPr>
        <w:t>–</w:t>
      </w:r>
      <w:r w:rsidRPr="00A44586">
        <w:rPr>
          <w:rFonts w:eastAsiaTheme="minorHAnsi"/>
        </w:rPr>
        <w:t>December 31, 2021</w:t>
      </w:r>
      <w:r w:rsidR="00E80A2B">
        <w:rPr>
          <w:rFonts w:eastAsiaTheme="minorHAnsi"/>
        </w:rPr>
        <w:t xml:space="preserve">: </w:t>
      </w:r>
      <w:r w:rsidRPr="00A44586">
        <w:rPr>
          <w:rFonts w:eastAsiaTheme="minorHAnsi"/>
        </w:rPr>
        <w:t xml:space="preserve"> Expenditure Report </w:t>
      </w:r>
      <w:r w:rsidR="001B2374" w:rsidRPr="001B2374">
        <w:rPr>
          <w:rFonts w:eastAsiaTheme="minorHAnsi"/>
        </w:rPr>
        <w:t>due</w:t>
      </w:r>
      <w:r w:rsidRPr="00A44586">
        <w:rPr>
          <w:rFonts w:eastAsiaTheme="minorHAnsi"/>
        </w:rPr>
        <w:t xml:space="preserve"> no later than February 15, 2022</w:t>
      </w:r>
    </w:p>
    <w:p w14:paraId="59724166" w14:textId="7FD6C252" w:rsidR="00537DC7" w:rsidRDefault="00D14755" w:rsidP="001B2374">
      <w:pPr>
        <w:pStyle w:val="ListParagraph"/>
        <w:numPr>
          <w:ilvl w:val="0"/>
          <w:numId w:val="38"/>
        </w:numPr>
        <w:rPr>
          <w:rFonts w:eastAsiaTheme="minorHAnsi"/>
        </w:rPr>
      </w:pPr>
      <w:r w:rsidRPr="00A44586">
        <w:rPr>
          <w:rFonts w:eastAsiaTheme="minorHAnsi"/>
        </w:rPr>
        <w:t>January 1, 2022</w:t>
      </w:r>
      <w:r w:rsidR="00E80A2B">
        <w:rPr>
          <w:rFonts w:eastAsiaTheme="minorHAnsi"/>
        </w:rPr>
        <w:t>–</w:t>
      </w:r>
      <w:r w:rsidR="00BC10BA">
        <w:rPr>
          <w:rFonts w:eastAsiaTheme="minorHAnsi"/>
        </w:rPr>
        <w:t>June 30, 2022</w:t>
      </w:r>
      <w:r w:rsidR="00E80A2B">
        <w:rPr>
          <w:rFonts w:eastAsiaTheme="minorHAnsi"/>
        </w:rPr>
        <w:t>:</w:t>
      </w:r>
      <w:r w:rsidRPr="00A44586">
        <w:rPr>
          <w:rFonts w:eastAsiaTheme="minorHAnsi"/>
        </w:rPr>
        <w:t xml:space="preserve"> Expenditure Report </w:t>
      </w:r>
      <w:r w:rsidR="001B2374" w:rsidRPr="001B2374">
        <w:rPr>
          <w:rFonts w:eastAsiaTheme="minorHAnsi"/>
        </w:rPr>
        <w:t>due</w:t>
      </w:r>
      <w:r w:rsidRPr="00A44586">
        <w:rPr>
          <w:rFonts w:eastAsiaTheme="minorHAnsi"/>
        </w:rPr>
        <w:t xml:space="preserve"> no later than </w:t>
      </w:r>
      <w:r w:rsidR="00264F62">
        <w:rPr>
          <w:rFonts w:eastAsiaTheme="minorHAnsi"/>
        </w:rPr>
        <w:t>August 15</w:t>
      </w:r>
      <w:r w:rsidRPr="00A44586">
        <w:rPr>
          <w:rFonts w:eastAsiaTheme="minorHAnsi"/>
        </w:rPr>
        <w:t>, 2022</w:t>
      </w:r>
    </w:p>
    <w:p w14:paraId="6CE9BB72" w14:textId="00841236" w:rsidR="008D78ED" w:rsidRDefault="008D78ED">
      <w:pPr>
        <w:spacing w:before="0" w:after="0"/>
        <w:rPr>
          <w:rFonts w:eastAsiaTheme="minorHAnsi"/>
        </w:rPr>
      </w:pPr>
      <w:r>
        <w:rPr>
          <w:rFonts w:eastAsiaTheme="minorHAnsi"/>
        </w:rPr>
        <w:br w:type="page"/>
      </w:r>
    </w:p>
    <w:p w14:paraId="0014C010" w14:textId="7974DAEC" w:rsidR="0038339B" w:rsidRPr="0024561D" w:rsidRDefault="00D14755" w:rsidP="0024561D">
      <w:pPr>
        <w:pStyle w:val="Heading4"/>
        <w:numPr>
          <w:ilvl w:val="0"/>
          <w:numId w:val="32"/>
        </w:numPr>
        <w:rPr>
          <w:bCs/>
          <w:color w:val="auto"/>
          <w:szCs w:val="20"/>
          <w:shd w:val="clear" w:color="auto" w:fill="auto"/>
        </w:rPr>
      </w:pPr>
      <w:bookmarkStart w:id="86" w:name="_Toc8915800"/>
      <w:r w:rsidRPr="005948BA">
        <w:lastRenderedPageBreak/>
        <w:t>Payment Process</w:t>
      </w:r>
      <w:bookmarkEnd w:id="86"/>
    </w:p>
    <w:p w14:paraId="71CC9A24" w14:textId="7EC320D8" w:rsidR="00D14755" w:rsidRPr="005948BA" w:rsidRDefault="00D14755" w:rsidP="00040C16">
      <w:pPr>
        <w:spacing w:after="0"/>
        <w:ind w:left="1080"/>
        <w:rPr>
          <w:bCs/>
          <w:color w:val="auto"/>
          <w:szCs w:val="20"/>
          <w:shd w:val="clear" w:color="auto" w:fill="auto"/>
        </w:rPr>
      </w:pPr>
      <w:r w:rsidRPr="005948BA">
        <w:rPr>
          <w:bCs/>
          <w:color w:val="auto"/>
          <w:szCs w:val="20"/>
          <w:shd w:val="clear" w:color="auto" w:fill="auto"/>
        </w:rPr>
        <w:t>All payments are subject to Budget Act approval. Payments will be distributed as follow</w:t>
      </w:r>
      <w:r w:rsidR="00537DC7">
        <w:rPr>
          <w:bCs/>
          <w:color w:val="auto"/>
          <w:szCs w:val="20"/>
          <w:shd w:val="clear" w:color="auto" w:fill="auto"/>
        </w:rPr>
        <w:t>s</w:t>
      </w:r>
      <w:r w:rsidRPr="005948BA">
        <w:rPr>
          <w:bCs/>
          <w:color w:val="auto"/>
          <w:szCs w:val="20"/>
          <w:shd w:val="clear" w:color="auto" w:fill="auto"/>
        </w:rPr>
        <w:t>:</w:t>
      </w:r>
    </w:p>
    <w:p w14:paraId="514238EF" w14:textId="5D777A1B" w:rsidR="00D14755" w:rsidRPr="005948BA" w:rsidRDefault="00486D75" w:rsidP="00D5013F">
      <w:pPr>
        <w:numPr>
          <w:ilvl w:val="0"/>
          <w:numId w:val="14"/>
        </w:numPr>
        <w:spacing w:after="0"/>
        <w:rPr>
          <w:rFonts w:eastAsiaTheme="minorHAnsi"/>
          <w:color w:val="auto"/>
          <w:szCs w:val="22"/>
          <w:shd w:val="clear" w:color="auto" w:fill="auto"/>
        </w:rPr>
      </w:pPr>
      <w:r w:rsidRPr="005948BA">
        <w:rPr>
          <w:rFonts w:eastAsiaTheme="minorHAnsi"/>
          <w:color w:val="auto"/>
          <w:szCs w:val="22"/>
          <w:shd w:val="clear" w:color="auto" w:fill="auto"/>
        </w:rPr>
        <w:t xml:space="preserve">The </w:t>
      </w:r>
      <w:r w:rsidR="00537DC7">
        <w:rPr>
          <w:rFonts w:eastAsiaTheme="minorHAnsi"/>
          <w:color w:val="auto"/>
          <w:szCs w:val="22"/>
          <w:shd w:val="clear" w:color="auto" w:fill="auto"/>
        </w:rPr>
        <w:t>g</w:t>
      </w:r>
      <w:r w:rsidR="00D14755" w:rsidRPr="005948BA">
        <w:rPr>
          <w:rFonts w:eastAsiaTheme="minorHAnsi"/>
          <w:color w:val="auto"/>
          <w:szCs w:val="22"/>
          <w:shd w:val="clear" w:color="auto" w:fill="auto"/>
        </w:rPr>
        <w:t>rantee will receive a cash advance equal to 50 percent of the grant award after the State Budget has been signed and the LEA has returned the</w:t>
      </w:r>
      <w:r w:rsidR="00163559">
        <w:rPr>
          <w:rFonts w:eastAsiaTheme="minorHAnsi"/>
          <w:color w:val="auto"/>
          <w:szCs w:val="22"/>
          <w:shd w:val="clear" w:color="auto" w:fill="auto"/>
        </w:rPr>
        <w:t xml:space="preserve"> signed AO-400</w:t>
      </w:r>
      <w:r w:rsidR="00D14755" w:rsidRPr="005948BA">
        <w:rPr>
          <w:rFonts w:eastAsiaTheme="minorHAnsi"/>
          <w:color w:val="auto"/>
          <w:szCs w:val="22"/>
          <w:shd w:val="clear" w:color="auto" w:fill="auto"/>
        </w:rPr>
        <w:t xml:space="preserve"> form with documents satisfactorily addressing all program and budget stipulations and a Grantee Budget Request Form.</w:t>
      </w:r>
    </w:p>
    <w:p w14:paraId="748F0B5A" w14:textId="080A9BA0" w:rsidR="00D14755" w:rsidRDefault="009B4CC5" w:rsidP="001951B7">
      <w:pPr>
        <w:numPr>
          <w:ilvl w:val="0"/>
          <w:numId w:val="14"/>
        </w:numPr>
        <w:rPr>
          <w:rFonts w:eastAsiaTheme="minorHAnsi"/>
          <w:color w:val="auto"/>
          <w:szCs w:val="22"/>
          <w:shd w:val="clear" w:color="auto" w:fill="auto"/>
        </w:rPr>
      </w:pPr>
      <w:r w:rsidRPr="005948BA">
        <w:rPr>
          <w:rFonts w:eastAsiaTheme="minorHAnsi"/>
          <w:color w:val="auto"/>
          <w:szCs w:val="22"/>
          <w:shd w:val="clear" w:color="auto" w:fill="auto"/>
        </w:rPr>
        <w:t>The</w:t>
      </w:r>
      <w:r w:rsidR="00486D75" w:rsidRPr="005948BA">
        <w:rPr>
          <w:rFonts w:eastAsiaTheme="minorHAnsi"/>
          <w:color w:val="auto"/>
          <w:szCs w:val="22"/>
          <w:shd w:val="clear" w:color="auto" w:fill="auto"/>
        </w:rPr>
        <w:t xml:space="preserve"> </w:t>
      </w:r>
      <w:r w:rsidR="00537DC7">
        <w:rPr>
          <w:rFonts w:eastAsiaTheme="minorHAnsi"/>
          <w:color w:val="auto"/>
          <w:szCs w:val="22"/>
          <w:shd w:val="clear" w:color="auto" w:fill="auto"/>
        </w:rPr>
        <w:t>g</w:t>
      </w:r>
      <w:r w:rsidR="00486D75" w:rsidRPr="005948BA">
        <w:rPr>
          <w:rFonts w:eastAsiaTheme="minorHAnsi"/>
          <w:color w:val="auto"/>
          <w:szCs w:val="22"/>
          <w:shd w:val="clear" w:color="auto" w:fill="auto"/>
        </w:rPr>
        <w:t>rantee</w:t>
      </w:r>
      <w:r w:rsidR="00D14755" w:rsidRPr="005948BA">
        <w:rPr>
          <w:rFonts w:asciiTheme="minorHAnsi" w:eastAsiaTheme="minorHAnsi" w:hAnsiTheme="minorHAnsi" w:cstheme="minorBidi"/>
          <w:color w:val="auto"/>
          <w:sz w:val="22"/>
          <w:szCs w:val="22"/>
          <w:shd w:val="clear" w:color="auto" w:fill="auto"/>
        </w:rPr>
        <w:t xml:space="preserve"> </w:t>
      </w:r>
      <w:r w:rsidR="00D14755" w:rsidRPr="005948BA">
        <w:rPr>
          <w:rFonts w:eastAsiaTheme="minorHAnsi"/>
          <w:color w:val="auto"/>
          <w:szCs w:val="22"/>
          <w:shd w:val="clear" w:color="auto" w:fill="auto"/>
        </w:rPr>
        <w:t xml:space="preserve">will be paid </w:t>
      </w:r>
      <w:r w:rsidR="003D5917" w:rsidRPr="005948BA">
        <w:rPr>
          <w:rFonts w:eastAsiaTheme="minorHAnsi"/>
          <w:color w:val="auto"/>
          <w:szCs w:val="22"/>
          <w:shd w:val="clear" w:color="auto" w:fill="auto"/>
        </w:rPr>
        <w:t xml:space="preserve">an additional </w:t>
      </w:r>
      <w:r w:rsidR="00D14755" w:rsidRPr="005948BA">
        <w:rPr>
          <w:rFonts w:eastAsiaTheme="minorHAnsi"/>
          <w:color w:val="auto"/>
          <w:szCs w:val="22"/>
          <w:shd w:val="clear" w:color="auto" w:fill="auto"/>
        </w:rPr>
        <w:t xml:space="preserve">40 percent </w:t>
      </w:r>
      <w:r w:rsidR="003D5917" w:rsidRPr="005948BA">
        <w:rPr>
          <w:rFonts w:eastAsiaTheme="minorHAnsi"/>
          <w:color w:val="auto"/>
          <w:szCs w:val="22"/>
          <w:shd w:val="clear" w:color="auto" w:fill="auto"/>
        </w:rPr>
        <w:t>of the grant award</w:t>
      </w:r>
      <w:r w:rsidR="00B633C8" w:rsidRPr="005948BA">
        <w:rPr>
          <w:rFonts w:eastAsiaTheme="minorHAnsi"/>
          <w:color w:val="auto"/>
          <w:szCs w:val="22"/>
          <w:shd w:val="clear" w:color="auto" w:fill="auto"/>
        </w:rPr>
        <w:t xml:space="preserve"> when</w:t>
      </w:r>
      <w:r w:rsidR="003D5917" w:rsidRPr="005948BA">
        <w:rPr>
          <w:rFonts w:eastAsiaTheme="minorHAnsi"/>
          <w:color w:val="auto"/>
          <w:szCs w:val="22"/>
          <w:shd w:val="clear" w:color="auto" w:fill="auto"/>
        </w:rPr>
        <w:t xml:space="preserve"> the </w:t>
      </w:r>
      <w:r w:rsidR="00537DC7">
        <w:rPr>
          <w:rFonts w:eastAsiaTheme="minorHAnsi"/>
          <w:color w:val="auto"/>
          <w:szCs w:val="22"/>
          <w:shd w:val="clear" w:color="auto" w:fill="auto"/>
        </w:rPr>
        <w:t>g</w:t>
      </w:r>
      <w:r w:rsidR="00486D75" w:rsidRPr="005948BA">
        <w:rPr>
          <w:rFonts w:eastAsiaTheme="minorHAnsi"/>
          <w:color w:val="auto"/>
          <w:szCs w:val="22"/>
          <w:shd w:val="clear" w:color="auto" w:fill="auto"/>
        </w:rPr>
        <w:t>rantee</w:t>
      </w:r>
      <w:r w:rsidR="003D5917" w:rsidRPr="005948BA">
        <w:rPr>
          <w:rFonts w:eastAsiaTheme="minorHAnsi"/>
          <w:color w:val="auto"/>
          <w:szCs w:val="22"/>
          <w:shd w:val="clear" w:color="auto" w:fill="auto"/>
        </w:rPr>
        <w:t xml:space="preserve"> </w:t>
      </w:r>
      <w:r w:rsidR="00D14755" w:rsidRPr="005948BA">
        <w:rPr>
          <w:rFonts w:eastAsiaTheme="minorHAnsi"/>
          <w:color w:val="auto"/>
          <w:szCs w:val="22"/>
          <w:shd w:val="clear" w:color="auto" w:fill="auto"/>
        </w:rPr>
        <w:t>has expended at least 80 percent of the first payment</w:t>
      </w:r>
      <w:r w:rsidR="003D5917" w:rsidRPr="005948BA">
        <w:rPr>
          <w:rFonts w:eastAsiaTheme="minorHAnsi"/>
          <w:color w:val="auto"/>
          <w:szCs w:val="22"/>
          <w:shd w:val="clear" w:color="auto" w:fill="auto"/>
        </w:rPr>
        <w:t>, as evidenced by expenditure reports submitted to, and approved by, the CDE</w:t>
      </w:r>
      <w:r w:rsidR="00D14755" w:rsidRPr="005948BA">
        <w:rPr>
          <w:rFonts w:eastAsiaTheme="minorHAnsi"/>
          <w:color w:val="auto"/>
          <w:szCs w:val="22"/>
          <w:shd w:val="clear" w:color="auto" w:fill="auto"/>
        </w:rPr>
        <w:t>.</w:t>
      </w:r>
    </w:p>
    <w:p w14:paraId="2EB3766E" w14:textId="1A00F3E9" w:rsidR="00D14755" w:rsidRPr="005948BA" w:rsidRDefault="00D14755" w:rsidP="00D5013F">
      <w:pPr>
        <w:numPr>
          <w:ilvl w:val="0"/>
          <w:numId w:val="14"/>
        </w:numPr>
        <w:spacing w:after="0"/>
        <w:contextualSpacing/>
        <w:rPr>
          <w:rFonts w:eastAsiaTheme="minorHAnsi"/>
          <w:color w:val="auto"/>
          <w:sz w:val="28"/>
          <w:szCs w:val="22"/>
          <w:shd w:val="clear" w:color="auto" w:fill="auto"/>
        </w:rPr>
      </w:pPr>
      <w:r w:rsidRPr="005948BA">
        <w:rPr>
          <w:rFonts w:eastAsiaTheme="minorHAnsi"/>
          <w:color w:val="auto"/>
          <w:szCs w:val="22"/>
          <w:shd w:val="clear" w:color="auto" w:fill="auto"/>
        </w:rPr>
        <w:t xml:space="preserve">The final payment of 10 percent will be held pending receipt and </w:t>
      </w:r>
      <w:r w:rsidR="00BC0B74" w:rsidRPr="005948BA">
        <w:rPr>
          <w:rFonts w:eastAsiaTheme="minorHAnsi"/>
          <w:color w:val="auto"/>
          <w:szCs w:val="22"/>
          <w:shd w:val="clear" w:color="auto" w:fill="auto"/>
        </w:rPr>
        <w:t>approval of all required report</w:t>
      </w:r>
      <w:r w:rsidR="00537DC7">
        <w:rPr>
          <w:rFonts w:eastAsiaTheme="minorHAnsi"/>
          <w:color w:val="auto"/>
          <w:szCs w:val="22"/>
          <w:shd w:val="clear" w:color="auto" w:fill="auto"/>
        </w:rPr>
        <w:t>s, including the final expenditure report</w:t>
      </w:r>
      <w:r w:rsidRPr="005948BA">
        <w:rPr>
          <w:rFonts w:eastAsiaTheme="minorHAnsi"/>
          <w:color w:val="auto"/>
          <w:szCs w:val="22"/>
          <w:shd w:val="clear" w:color="auto" w:fill="auto"/>
        </w:rPr>
        <w:t>.</w:t>
      </w:r>
    </w:p>
    <w:p w14:paraId="35D321D1" w14:textId="7D43739A" w:rsidR="00D14755" w:rsidRPr="005948BA" w:rsidRDefault="00D14755" w:rsidP="00D5013F">
      <w:pPr>
        <w:spacing w:after="0"/>
        <w:ind w:left="1080"/>
        <w:rPr>
          <w:rFonts w:eastAsiaTheme="minorHAnsi"/>
          <w:color w:val="auto"/>
          <w:shd w:val="clear" w:color="auto" w:fill="auto"/>
        </w:rPr>
      </w:pPr>
      <w:r w:rsidRPr="005948BA">
        <w:rPr>
          <w:rFonts w:eastAsiaTheme="minorHAnsi"/>
          <w:color w:val="auto"/>
          <w:szCs w:val="22"/>
          <w:shd w:val="clear" w:color="auto" w:fill="auto"/>
        </w:rPr>
        <w:t xml:space="preserve">All </w:t>
      </w:r>
      <w:r w:rsidRPr="005948BA">
        <w:rPr>
          <w:rFonts w:eastAsiaTheme="minorHAnsi"/>
          <w:color w:val="auto"/>
          <w:shd w:val="clear" w:color="auto" w:fill="auto"/>
        </w:rPr>
        <w:t xml:space="preserve">funding must be expended no later than </w:t>
      </w:r>
      <w:r w:rsidR="00BC10BA">
        <w:rPr>
          <w:rFonts w:eastAsiaTheme="minorHAnsi"/>
          <w:color w:val="auto"/>
          <w:shd w:val="clear" w:color="auto" w:fill="auto"/>
        </w:rPr>
        <w:t>June 30, 2022</w:t>
      </w:r>
      <w:r w:rsidRPr="005948BA">
        <w:rPr>
          <w:rFonts w:eastAsiaTheme="minorHAnsi"/>
          <w:color w:val="auto"/>
          <w:shd w:val="clear" w:color="auto" w:fill="auto"/>
        </w:rPr>
        <w:t xml:space="preserve">. The carryover of unexpended grant funds after </w:t>
      </w:r>
      <w:r w:rsidR="00BC10BA">
        <w:rPr>
          <w:rFonts w:eastAsiaTheme="minorHAnsi"/>
          <w:color w:val="auto"/>
          <w:shd w:val="clear" w:color="auto" w:fill="auto"/>
        </w:rPr>
        <w:t>June 30, 2022</w:t>
      </w:r>
      <w:r w:rsidRPr="005948BA">
        <w:rPr>
          <w:rFonts w:eastAsiaTheme="minorHAnsi"/>
          <w:color w:val="auto"/>
          <w:shd w:val="clear" w:color="auto" w:fill="auto"/>
        </w:rPr>
        <w:t>, is not allowed.</w:t>
      </w:r>
    </w:p>
    <w:p w14:paraId="7FC5302E" w14:textId="77777777" w:rsidR="00D14755" w:rsidRPr="005948BA" w:rsidRDefault="00D14755" w:rsidP="0024561D">
      <w:pPr>
        <w:pStyle w:val="Heading4"/>
      </w:pPr>
      <w:bookmarkStart w:id="87" w:name="_Toc8915801"/>
      <w:r w:rsidRPr="005948BA">
        <w:t>Personnel Requirements</w:t>
      </w:r>
      <w:bookmarkEnd w:id="87"/>
    </w:p>
    <w:p w14:paraId="4AD64C12" w14:textId="49641948" w:rsidR="00D14755" w:rsidRDefault="00D14755" w:rsidP="005751A3">
      <w:pPr>
        <w:ind w:left="1080"/>
        <w:rPr>
          <w:rFonts w:eastAsiaTheme="minorHAnsi"/>
          <w:b/>
          <w:color w:val="auto"/>
          <w:szCs w:val="22"/>
          <w:shd w:val="clear" w:color="auto" w:fill="auto"/>
        </w:rPr>
      </w:pPr>
      <w:r w:rsidRPr="005948BA">
        <w:rPr>
          <w:rFonts w:eastAsiaTheme="minorHAnsi"/>
          <w:color w:val="auto"/>
          <w:szCs w:val="22"/>
          <w:shd w:val="clear" w:color="auto" w:fill="auto"/>
        </w:rPr>
        <w:t xml:space="preserve">Personnel required for the </w:t>
      </w:r>
      <w:r w:rsidR="00E41022">
        <w:rPr>
          <w:rFonts w:eastAsiaTheme="minorHAnsi"/>
          <w:color w:val="auto"/>
          <w:szCs w:val="22"/>
          <w:shd w:val="clear" w:color="auto" w:fill="auto"/>
        </w:rPr>
        <w:t>TUPE CBP G</w:t>
      </w:r>
      <w:r w:rsidR="005773D2" w:rsidRPr="005948BA">
        <w:rPr>
          <w:rFonts w:eastAsiaTheme="minorHAnsi"/>
          <w:color w:val="auto"/>
          <w:szCs w:val="22"/>
          <w:shd w:val="clear" w:color="auto" w:fill="auto"/>
        </w:rPr>
        <w:t>rant</w:t>
      </w:r>
      <w:r w:rsidRPr="005948BA">
        <w:rPr>
          <w:rFonts w:eastAsiaTheme="minorHAnsi"/>
          <w:color w:val="auto"/>
          <w:szCs w:val="22"/>
          <w:shd w:val="clear" w:color="auto" w:fill="auto"/>
        </w:rPr>
        <w:t xml:space="preserve"> Program</w:t>
      </w:r>
      <w:r w:rsidRPr="005948BA">
        <w:rPr>
          <w:rFonts w:eastAsiaTheme="minorHAnsi"/>
          <w:b/>
          <w:color w:val="auto"/>
          <w:szCs w:val="22"/>
          <w:shd w:val="clear" w:color="auto" w:fill="auto"/>
        </w:rPr>
        <w:t xml:space="preserve"> </w:t>
      </w:r>
      <w:r w:rsidRPr="005948BA">
        <w:rPr>
          <w:rFonts w:eastAsiaTheme="minorHAnsi"/>
          <w:color w:val="auto"/>
          <w:szCs w:val="22"/>
          <w:shd w:val="clear" w:color="auto" w:fill="auto"/>
        </w:rPr>
        <w:t xml:space="preserve">must be clearly identified and justified in the narrative and on the budget sections of the application. Project staff may be </w:t>
      </w:r>
      <w:r w:rsidRPr="005948BA">
        <w:rPr>
          <w:rFonts w:eastAsiaTheme="minorHAnsi"/>
          <w:b/>
          <w:color w:val="auto"/>
          <w:szCs w:val="22"/>
          <w:shd w:val="clear" w:color="auto" w:fill="auto"/>
        </w:rPr>
        <w:t>COE personnel</w:t>
      </w:r>
      <w:r w:rsidRPr="005948BA">
        <w:rPr>
          <w:rFonts w:eastAsiaTheme="minorHAnsi"/>
          <w:color w:val="auto"/>
          <w:szCs w:val="22"/>
          <w:shd w:val="clear" w:color="auto" w:fill="auto"/>
        </w:rPr>
        <w:t xml:space="preserve"> or contract staff from a partner agency and must provide services related to the program plan as described in </w:t>
      </w:r>
      <w:r w:rsidR="009977CB">
        <w:rPr>
          <w:rFonts w:eastAsiaTheme="minorHAnsi"/>
          <w:color w:val="auto"/>
          <w:szCs w:val="22"/>
          <w:shd w:val="clear" w:color="auto" w:fill="auto"/>
        </w:rPr>
        <w:t>this</w:t>
      </w:r>
      <w:r w:rsidRPr="005948BA">
        <w:rPr>
          <w:rFonts w:eastAsiaTheme="minorHAnsi"/>
          <w:color w:val="auto"/>
          <w:szCs w:val="22"/>
          <w:shd w:val="clear" w:color="auto" w:fill="auto"/>
        </w:rPr>
        <w:t xml:space="preserve"> RFA</w:t>
      </w:r>
      <w:r w:rsidRPr="005948BA">
        <w:rPr>
          <w:rFonts w:eastAsiaTheme="minorHAnsi"/>
          <w:b/>
          <w:color w:val="auto"/>
          <w:szCs w:val="22"/>
          <w:shd w:val="clear" w:color="auto" w:fill="auto"/>
        </w:rPr>
        <w:t>.</w:t>
      </w:r>
    </w:p>
    <w:p w14:paraId="6CF20B5F" w14:textId="2B05D5D9" w:rsidR="00D14755" w:rsidRPr="005948BA" w:rsidRDefault="00D14755" w:rsidP="000E5B69">
      <w:pPr>
        <w:numPr>
          <w:ilvl w:val="0"/>
          <w:numId w:val="15"/>
        </w:numPr>
        <w:ind w:left="1800"/>
        <w:rPr>
          <w:rFonts w:eastAsiaTheme="minorHAnsi"/>
          <w:color w:val="auto"/>
          <w:shd w:val="clear" w:color="auto" w:fill="auto"/>
        </w:rPr>
      </w:pPr>
      <w:r w:rsidRPr="005948BA">
        <w:rPr>
          <w:rFonts w:eastAsiaTheme="minorHAnsi"/>
          <w:b/>
          <w:color w:val="000000" w:themeColor="text1"/>
          <w:shd w:val="clear" w:color="auto" w:fill="auto"/>
        </w:rPr>
        <w:t>Project Coordinator.</w:t>
      </w:r>
      <w:r w:rsidRPr="005948BA">
        <w:rPr>
          <w:rFonts w:eastAsiaTheme="minorHAnsi"/>
          <w:color w:val="000000" w:themeColor="text1"/>
          <w:shd w:val="clear" w:color="auto" w:fill="auto"/>
        </w:rPr>
        <w:t xml:space="preserve"> The duties of the Project Coordinator may v</w:t>
      </w:r>
      <w:r w:rsidR="00267C93">
        <w:rPr>
          <w:rFonts w:eastAsiaTheme="minorHAnsi"/>
          <w:color w:val="000000" w:themeColor="text1"/>
          <w:shd w:val="clear" w:color="auto" w:fill="auto"/>
        </w:rPr>
        <w:t>ary, but must have the capacity</w:t>
      </w:r>
      <w:r w:rsidRPr="005948BA">
        <w:rPr>
          <w:rFonts w:eastAsiaTheme="minorHAnsi"/>
          <w:color w:val="000000" w:themeColor="text1"/>
          <w:shd w:val="clear" w:color="auto" w:fill="auto"/>
        </w:rPr>
        <w:t xml:space="preserve"> and expertise to carry out all the responsibilities that include, but are not limited to:</w:t>
      </w:r>
    </w:p>
    <w:p w14:paraId="1CAB2623" w14:textId="13DED279" w:rsidR="00D14755" w:rsidRPr="005948BA" w:rsidRDefault="00D14755" w:rsidP="00D5013F">
      <w:pPr>
        <w:numPr>
          <w:ilvl w:val="1"/>
          <w:numId w:val="15"/>
        </w:numPr>
        <w:spacing w:after="0"/>
        <w:ind w:left="2520"/>
        <w:rPr>
          <w:rFonts w:eastAsiaTheme="minorHAnsi"/>
          <w:color w:val="000000" w:themeColor="text1"/>
          <w:szCs w:val="22"/>
          <w:shd w:val="clear" w:color="auto" w:fill="auto"/>
        </w:rPr>
      </w:pPr>
      <w:r w:rsidRPr="005948BA">
        <w:rPr>
          <w:rFonts w:eastAsiaTheme="minorHAnsi"/>
          <w:color w:val="000000" w:themeColor="text1"/>
          <w:szCs w:val="22"/>
          <w:shd w:val="clear" w:color="auto" w:fill="auto"/>
        </w:rPr>
        <w:t>Provide overall coordination of project staff and activities, as well as provide direct services to the identified subgroup(s) described in the program plan to fully implement the TUPE Program</w:t>
      </w:r>
      <w:r w:rsidR="009977CB">
        <w:rPr>
          <w:rFonts w:eastAsiaTheme="minorHAnsi"/>
          <w:color w:val="000000" w:themeColor="text1"/>
          <w:szCs w:val="22"/>
          <w:shd w:val="clear" w:color="auto" w:fill="auto"/>
        </w:rPr>
        <w:t>.</w:t>
      </w:r>
    </w:p>
    <w:p w14:paraId="6CE2D278" w14:textId="77777777" w:rsidR="00D14755" w:rsidRPr="005948BA" w:rsidRDefault="00D14755" w:rsidP="00D5013F">
      <w:pPr>
        <w:numPr>
          <w:ilvl w:val="1"/>
          <w:numId w:val="15"/>
        </w:numPr>
        <w:spacing w:after="0"/>
        <w:ind w:left="2520"/>
        <w:rPr>
          <w:rFonts w:eastAsiaTheme="minorHAnsi"/>
          <w:color w:val="000000" w:themeColor="text1"/>
          <w:shd w:val="clear" w:color="auto" w:fill="auto"/>
        </w:rPr>
      </w:pPr>
      <w:r w:rsidRPr="005948BA">
        <w:rPr>
          <w:rFonts w:eastAsiaTheme="minorHAnsi"/>
          <w:color w:val="000000" w:themeColor="text1"/>
          <w:shd w:val="clear" w:color="auto" w:fill="auto"/>
        </w:rPr>
        <w:t>Ensure that all project funds expended or obligated are allowable costs and in compliance with the approved budget.</w:t>
      </w:r>
    </w:p>
    <w:p w14:paraId="54B149EB" w14:textId="77777777" w:rsidR="00D14755" w:rsidRPr="005948BA" w:rsidRDefault="00D14755" w:rsidP="00D5013F">
      <w:pPr>
        <w:numPr>
          <w:ilvl w:val="1"/>
          <w:numId w:val="15"/>
        </w:numPr>
        <w:spacing w:after="0"/>
        <w:ind w:left="2520"/>
        <w:rPr>
          <w:rFonts w:eastAsiaTheme="minorHAnsi"/>
          <w:color w:val="000000" w:themeColor="text1"/>
          <w:shd w:val="clear" w:color="auto" w:fill="auto"/>
        </w:rPr>
      </w:pPr>
      <w:r w:rsidRPr="005948BA">
        <w:rPr>
          <w:rFonts w:eastAsiaTheme="minorHAnsi"/>
          <w:color w:val="000000" w:themeColor="text1"/>
          <w:shd w:val="clear" w:color="auto" w:fill="auto"/>
        </w:rPr>
        <w:t>Maintain required documentation of project services, activities, accomplishments, and program records.</w:t>
      </w:r>
    </w:p>
    <w:p w14:paraId="306D8DD2" w14:textId="77777777" w:rsidR="00D14755" w:rsidRPr="005948BA" w:rsidRDefault="00D14755" w:rsidP="00D5013F">
      <w:pPr>
        <w:numPr>
          <w:ilvl w:val="1"/>
          <w:numId w:val="15"/>
        </w:numPr>
        <w:spacing w:after="0"/>
        <w:ind w:left="2520"/>
        <w:rPr>
          <w:rFonts w:eastAsiaTheme="minorHAnsi"/>
          <w:color w:val="000000" w:themeColor="text1"/>
          <w:shd w:val="clear" w:color="auto" w:fill="auto"/>
        </w:rPr>
      </w:pPr>
      <w:r w:rsidRPr="005948BA">
        <w:rPr>
          <w:rFonts w:eastAsiaTheme="minorHAnsi"/>
          <w:color w:val="000000" w:themeColor="text1"/>
          <w:shd w:val="clear" w:color="auto" w:fill="auto"/>
        </w:rPr>
        <w:t xml:space="preserve">Develop and provide mandatory grant implementation and annual evaluation reports, maintain and/or monitor any budget </w:t>
      </w:r>
      <w:r w:rsidRPr="005948BA">
        <w:rPr>
          <w:rFonts w:eastAsiaTheme="minorHAnsi"/>
          <w:color w:val="000000" w:themeColor="text1"/>
          <w:shd w:val="clear" w:color="auto" w:fill="auto"/>
        </w:rPr>
        <w:lastRenderedPageBreak/>
        <w:t>and project modifications, project claim invoices, and fiscal reports.</w:t>
      </w:r>
    </w:p>
    <w:p w14:paraId="75E675C5" w14:textId="77777777" w:rsidR="00D14755" w:rsidRPr="005948BA" w:rsidRDefault="00D14755" w:rsidP="008C1772">
      <w:pPr>
        <w:numPr>
          <w:ilvl w:val="1"/>
          <w:numId w:val="15"/>
        </w:numPr>
        <w:spacing w:after="0"/>
        <w:ind w:left="2520"/>
        <w:rPr>
          <w:rFonts w:eastAsiaTheme="minorHAnsi"/>
          <w:color w:val="000000" w:themeColor="text1"/>
          <w:shd w:val="clear" w:color="auto" w:fill="auto"/>
        </w:rPr>
      </w:pPr>
      <w:r w:rsidRPr="005948BA">
        <w:rPr>
          <w:rFonts w:eastAsiaTheme="minorHAnsi"/>
          <w:color w:val="000000" w:themeColor="text1"/>
          <w:shd w:val="clear" w:color="auto" w:fill="auto"/>
        </w:rPr>
        <w:t xml:space="preserve">Coordinate ongoing data collection for evaluation purposes. </w:t>
      </w:r>
    </w:p>
    <w:p w14:paraId="25410785" w14:textId="279F4BC4" w:rsidR="00D14755" w:rsidRPr="005948BA" w:rsidRDefault="00D14755" w:rsidP="008C1772">
      <w:pPr>
        <w:numPr>
          <w:ilvl w:val="1"/>
          <w:numId w:val="15"/>
        </w:numPr>
        <w:spacing w:after="0"/>
        <w:ind w:left="2520"/>
        <w:rPr>
          <w:rFonts w:eastAsiaTheme="minorHAnsi"/>
          <w:color w:val="000000" w:themeColor="text1"/>
          <w:shd w:val="clear" w:color="auto" w:fill="auto"/>
        </w:rPr>
      </w:pPr>
      <w:r w:rsidRPr="005948BA">
        <w:rPr>
          <w:rFonts w:eastAsiaTheme="minorHAnsi"/>
          <w:color w:val="000000" w:themeColor="text1"/>
          <w:shd w:val="clear" w:color="auto" w:fill="auto"/>
        </w:rPr>
        <w:t>Facilitate ongoing collaborative meetings through workshops, teleconferences</w:t>
      </w:r>
      <w:r w:rsidR="00DA4F83">
        <w:rPr>
          <w:rFonts w:eastAsiaTheme="minorHAnsi"/>
          <w:color w:val="000000" w:themeColor="text1"/>
          <w:shd w:val="clear" w:color="auto" w:fill="auto"/>
        </w:rPr>
        <w:t>,</w:t>
      </w:r>
      <w:r w:rsidRPr="005948BA">
        <w:rPr>
          <w:rFonts w:eastAsiaTheme="minorHAnsi"/>
          <w:color w:val="000000" w:themeColor="text1"/>
          <w:shd w:val="clear" w:color="auto" w:fill="auto"/>
        </w:rPr>
        <w:t xml:space="preserve"> and webinars.</w:t>
      </w:r>
    </w:p>
    <w:p w14:paraId="697F53CF" w14:textId="77777777" w:rsidR="008D78ED" w:rsidRDefault="00D14755" w:rsidP="00DE57AD">
      <w:pPr>
        <w:spacing w:after="0"/>
        <w:ind w:left="1800"/>
        <w:rPr>
          <w:rFonts w:eastAsiaTheme="minorHAnsi"/>
          <w:color w:val="000000" w:themeColor="text1"/>
          <w:shd w:val="clear" w:color="auto" w:fill="auto"/>
        </w:rPr>
      </w:pPr>
      <w:r w:rsidRPr="005948BA">
        <w:rPr>
          <w:rFonts w:eastAsiaTheme="minorHAnsi"/>
          <w:color w:val="000000" w:themeColor="text1"/>
          <w:shd w:val="clear" w:color="auto" w:fill="auto"/>
        </w:rPr>
        <w:t>The exact</w:t>
      </w:r>
      <w:r w:rsidRPr="005948BA">
        <w:rPr>
          <w:rFonts w:asciiTheme="minorHAnsi" w:eastAsiaTheme="minorHAnsi" w:hAnsiTheme="minorHAnsi" w:cstheme="minorBidi"/>
          <w:color w:val="000000" w:themeColor="text1"/>
          <w:sz w:val="22"/>
          <w:szCs w:val="22"/>
          <w:shd w:val="clear" w:color="auto" w:fill="auto"/>
        </w:rPr>
        <w:t xml:space="preserve"> </w:t>
      </w:r>
      <w:r w:rsidRPr="005948BA">
        <w:rPr>
          <w:rFonts w:eastAsiaTheme="minorHAnsi"/>
          <w:color w:val="000000" w:themeColor="text1"/>
          <w:shd w:val="clear" w:color="auto" w:fill="auto"/>
        </w:rPr>
        <w:t>title of the Project Coordinator position is determined by the COE, however, if a project coordinator is also providing direct services, the application must clearly identify the Project Coordinator duties, separate from the duties of a direct service provider. The total percentage of time for any individual person funded by any TUPE grant cannot exceed 100 percent.</w:t>
      </w:r>
    </w:p>
    <w:p w14:paraId="3D5CD15E" w14:textId="472634DF" w:rsidR="00D14755" w:rsidRPr="00B60C3D" w:rsidRDefault="00D14755" w:rsidP="00B60C3D">
      <w:pPr>
        <w:numPr>
          <w:ilvl w:val="0"/>
          <w:numId w:val="15"/>
        </w:numPr>
        <w:spacing w:after="0"/>
        <w:ind w:left="1800"/>
        <w:rPr>
          <w:rFonts w:eastAsiaTheme="minorHAnsi"/>
          <w:b/>
          <w:color w:val="000000" w:themeColor="text1"/>
          <w:shd w:val="clear" w:color="auto" w:fill="auto"/>
        </w:rPr>
      </w:pPr>
      <w:r w:rsidRPr="005948BA">
        <w:rPr>
          <w:rFonts w:eastAsiaTheme="minorHAnsi"/>
          <w:b/>
          <w:color w:val="000000" w:themeColor="text1"/>
          <w:shd w:val="clear" w:color="auto" w:fill="auto"/>
        </w:rPr>
        <w:t>Clerical</w:t>
      </w:r>
      <w:r w:rsidR="00486D75" w:rsidRPr="005948BA">
        <w:rPr>
          <w:rFonts w:eastAsiaTheme="minorHAnsi"/>
          <w:b/>
          <w:color w:val="000000" w:themeColor="text1"/>
          <w:shd w:val="clear" w:color="auto" w:fill="auto"/>
        </w:rPr>
        <w:t>/Administrative</w:t>
      </w:r>
      <w:r w:rsidRPr="005948BA">
        <w:rPr>
          <w:rFonts w:eastAsiaTheme="minorHAnsi"/>
          <w:b/>
          <w:color w:val="000000" w:themeColor="text1"/>
          <w:shd w:val="clear" w:color="auto" w:fill="auto"/>
        </w:rPr>
        <w:t xml:space="preserve"> Staff</w:t>
      </w:r>
      <w:r w:rsidR="00B60C3D">
        <w:rPr>
          <w:rFonts w:eastAsiaTheme="minorHAnsi"/>
          <w:b/>
          <w:color w:val="000000" w:themeColor="text1"/>
          <w:shd w:val="clear" w:color="auto" w:fill="auto"/>
        </w:rPr>
        <w:t xml:space="preserve">. </w:t>
      </w:r>
      <w:r w:rsidRPr="00B60C3D">
        <w:rPr>
          <w:rFonts w:eastAsiaTheme="minorHAnsi"/>
          <w:color w:val="000000" w:themeColor="text1"/>
          <w:shd w:val="clear" w:color="auto" w:fill="auto"/>
        </w:rPr>
        <w:t>The title and duties of clerical staff may vary. Details of the duties for this position must be clearly identified in the Budget Narrative Section of the application. The total percentage of time for any individual person funded by any TUPE grant cannot exceed 100 percent.</w:t>
      </w:r>
    </w:p>
    <w:p w14:paraId="2CD8D26D" w14:textId="7F253B5C" w:rsidR="00D14755" w:rsidRPr="00B60C3D" w:rsidRDefault="00D14755" w:rsidP="00B60C3D">
      <w:pPr>
        <w:numPr>
          <w:ilvl w:val="0"/>
          <w:numId w:val="15"/>
        </w:numPr>
        <w:spacing w:after="0"/>
        <w:ind w:left="1800"/>
        <w:rPr>
          <w:rFonts w:eastAsiaTheme="minorHAnsi"/>
          <w:color w:val="auto"/>
          <w:shd w:val="clear" w:color="auto" w:fill="auto"/>
        </w:rPr>
      </w:pPr>
      <w:r w:rsidRPr="005948BA">
        <w:rPr>
          <w:rFonts w:eastAsiaTheme="minorHAnsi"/>
          <w:b/>
          <w:color w:val="auto"/>
          <w:shd w:val="clear" w:color="auto" w:fill="auto"/>
        </w:rPr>
        <w:t>Contracted Direct Service Providers.</w:t>
      </w:r>
      <w:r w:rsidRPr="005948BA">
        <w:rPr>
          <w:rFonts w:eastAsiaTheme="minorHAnsi"/>
          <w:color w:val="auto"/>
          <w:shd w:val="clear" w:color="auto" w:fill="auto"/>
        </w:rPr>
        <w:t xml:space="preserve"> </w:t>
      </w:r>
      <w:r w:rsidRPr="00B60C3D">
        <w:rPr>
          <w:rFonts w:eastAsiaTheme="minorHAnsi"/>
          <w:color w:val="auto"/>
          <w:shd w:val="clear" w:color="auto" w:fill="auto"/>
        </w:rPr>
        <w:t xml:space="preserve">There is no time requirement for contracted staff to provide direct services or evaluate the TUPE </w:t>
      </w:r>
      <w:r w:rsidR="00011FB5" w:rsidRPr="00B60C3D">
        <w:rPr>
          <w:rFonts w:eastAsiaTheme="minorHAnsi"/>
          <w:color w:val="auto"/>
          <w:shd w:val="clear" w:color="auto" w:fill="auto"/>
        </w:rPr>
        <w:t>CBP</w:t>
      </w:r>
      <w:r w:rsidRPr="00B60C3D">
        <w:rPr>
          <w:rFonts w:eastAsiaTheme="minorHAnsi"/>
          <w:b/>
          <w:color w:val="auto"/>
          <w:szCs w:val="22"/>
          <w:shd w:val="clear" w:color="auto" w:fill="auto"/>
        </w:rPr>
        <w:t xml:space="preserve"> </w:t>
      </w:r>
      <w:r w:rsidRPr="00B60C3D">
        <w:rPr>
          <w:rFonts w:eastAsiaTheme="minorHAnsi"/>
          <w:color w:val="auto"/>
          <w:szCs w:val="22"/>
          <w:shd w:val="clear" w:color="auto" w:fill="auto"/>
        </w:rPr>
        <w:t xml:space="preserve">Grant </w:t>
      </w:r>
      <w:r w:rsidRPr="00B60C3D">
        <w:rPr>
          <w:rFonts w:eastAsiaTheme="minorHAnsi"/>
          <w:color w:val="auto"/>
          <w:shd w:val="clear" w:color="auto" w:fill="auto"/>
        </w:rPr>
        <w:t>Program. Each paid staff person must have specific duties related to direct tobacco-use prevention services and activities clearly described in the budget narrative.</w:t>
      </w:r>
    </w:p>
    <w:p w14:paraId="150D59D2" w14:textId="77777777" w:rsidR="00D14755" w:rsidRPr="005948BA" w:rsidRDefault="00D14755" w:rsidP="0024561D">
      <w:pPr>
        <w:pStyle w:val="Heading4"/>
      </w:pPr>
      <w:bookmarkStart w:id="88" w:name="_Toc8915802"/>
      <w:r w:rsidRPr="005948BA">
        <w:t>Allowable Costs</w:t>
      </w:r>
      <w:bookmarkEnd w:id="88"/>
    </w:p>
    <w:p w14:paraId="3C3B85EF" w14:textId="5BD49225" w:rsidR="00D14755" w:rsidRPr="005948BA" w:rsidRDefault="00D14755" w:rsidP="00ED3861">
      <w:pPr>
        <w:spacing w:after="0"/>
        <w:ind w:left="1080"/>
        <w:contextualSpacing/>
        <w:rPr>
          <w:rFonts w:eastAsiaTheme="minorHAnsi"/>
          <w:color w:val="auto"/>
          <w:szCs w:val="22"/>
          <w:shd w:val="clear" w:color="auto" w:fill="auto"/>
        </w:rPr>
      </w:pPr>
      <w:r w:rsidRPr="005948BA">
        <w:rPr>
          <w:rFonts w:eastAsiaTheme="minorHAnsi"/>
          <w:color w:val="auto"/>
          <w:szCs w:val="22"/>
          <w:shd w:val="clear" w:color="auto" w:fill="auto"/>
        </w:rPr>
        <w:t xml:space="preserve">Grant funds must be used as proposed in the approved application or subsequent budget revision(s) approved by the CDE. Costs charged to </w:t>
      </w:r>
      <w:r w:rsidR="005773D2" w:rsidRPr="005948BA">
        <w:rPr>
          <w:rFonts w:eastAsiaTheme="minorHAnsi"/>
          <w:color w:val="auto"/>
          <w:szCs w:val="22"/>
          <w:shd w:val="clear" w:color="auto" w:fill="auto"/>
        </w:rPr>
        <w:t xml:space="preserve">the </w:t>
      </w:r>
      <w:r w:rsidRPr="005948BA">
        <w:rPr>
          <w:rFonts w:eastAsiaTheme="minorHAnsi"/>
          <w:color w:val="auto"/>
          <w:szCs w:val="22"/>
          <w:shd w:val="clear" w:color="auto" w:fill="auto"/>
        </w:rPr>
        <w:t xml:space="preserve">TUPE </w:t>
      </w:r>
      <w:r w:rsidR="00011FB5">
        <w:rPr>
          <w:rFonts w:eastAsiaTheme="minorHAnsi"/>
          <w:color w:val="auto"/>
          <w:szCs w:val="22"/>
          <w:shd w:val="clear" w:color="auto" w:fill="auto"/>
        </w:rPr>
        <w:t>CBP</w:t>
      </w:r>
      <w:r w:rsidRPr="005948BA">
        <w:rPr>
          <w:rFonts w:eastAsiaTheme="minorHAnsi"/>
          <w:b/>
          <w:color w:val="auto"/>
          <w:szCs w:val="22"/>
          <w:shd w:val="clear" w:color="auto" w:fill="auto"/>
        </w:rPr>
        <w:t xml:space="preserve"> </w:t>
      </w:r>
      <w:r w:rsidRPr="005948BA">
        <w:rPr>
          <w:rFonts w:eastAsiaTheme="minorHAnsi"/>
          <w:color w:val="auto"/>
          <w:szCs w:val="22"/>
          <w:shd w:val="clear" w:color="auto" w:fill="auto"/>
        </w:rPr>
        <w:t xml:space="preserve">Grant </w:t>
      </w:r>
      <w:r w:rsidRPr="005948BA">
        <w:rPr>
          <w:rFonts w:eastAsiaTheme="minorHAnsi"/>
          <w:color w:val="auto"/>
          <w:shd w:val="clear" w:color="auto" w:fill="auto"/>
        </w:rPr>
        <w:t>Program</w:t>
      </w:r>
      <w:r w:rsidRPr="005948BA">
        <w:rPr>
          <w:rFonts w:eastAsiaTheme="minorHAnsi"/>
          <w:color w:val="auto"/>
          <w:szCs w:val="22"/>
          <w:shd w:val="clear" w:color="auto" w:fill="auto"/>
        </w:rPr>
        <w:t xml:space="preserve"> budget must be limited to those materials and activities which directly address tobacco-use prevention, youth development, intervention, or cessation/referral strategies. Funds may be used for:</w:t>
      </w:r>
    </w:p>
    <w:p w14:paraId="528E07F3" w14:textId="37D93BE3" w:rsidR="00D14755" w:rsidRPr="005948BA" w:rsidRDefault="00D14755" w:rsidP="004E6DD7">
      <w:pPr>
        <w:numPr>
          <w:ilvl w:val="0"/>
          <w:numId w:val="16"/>
        </w:numPr>
        <w:spacing w:after="0"/>
        <w:rPr>
          <w:rFonts w:eastAsiaTheme="minorHAnsi"/>
          <w:color w:val="auto"/>
          <w:szCs w:val="22"/>
          <w:shd w:val="clear" w:color="auto" w:fill="auto"/>
        </w:rPr>
      </w:pPr>
      <w:r w:rsidRPr="005948BA">
        <w:rPr>
          <w:rFonts w:eastAsiaTheme="minorHAnsi"/>
          <w:color w:val="auto"/>
          <w:szCs w:val="22"/>
          <w:shd w:val="clear" w:color="auto" w:fill="auto"/>
        </w:rPr>
        <w:t xml:space="preserve">TUPE </w:t>
      </w:r>
      <w:r w:rsidR="00011FB5">
        <w:rPr>
          <w:rFonts w:eastAsiaTheme="minorHAnsi"/>
          <w:color w:val="auto"/>
          <w:szCs w:val="22"/>
          <w:shd w:val="clear" w:color="auto" w:fill="auto"/>
        </w:rPr>
        <w:t xml:space="preserve">CBP </w:t>
      </w:r>
      <w:r w:rsidRPr="005948BA">
        <w:rPr>
          <w:rFonts w:eastAsiaTheme="minorHAnsi"/>
          <w:color w:val="auto"/>
          <w:szCs w:val="22"/>
          <w:shd w:val="clear" w:color="auto" w:fill="auto"/>
        </w:rPr>
        <w:t xml:space="preserve">Grant </w:t>
      </w:r>
      <w:r w:rsidRPr="005948BA">
        <w:rPr>
          <w:rFonts w:eastAsiaTheme="minorHAnsi"/>
          <w:color w:val="auto"/>
          <w:shd w:val="clear" w:color="auto" w:fill="auto"/>
        </w:rPr>
        <w:t>Program</w:t>
      </w:r>
      <w:r w:rsidRPr="005948BA">
        <w:rPr>
          <w:rFonts w:eastAsiaTheme="minorHAnsi"/>
          <w:color w:val="auto"/>
          <w:szCs w:val="22"/>
          <w:shd w:val="clear" w:color="auto" w:fill="auto"/>
        </w:rPr>
        <w:t xml:space="preserve"> Project Coordinator position.</w:t>
      </w:r>
    </w:p>
    <w:p w14:paraId="2DD3E539" w14:textId="77777777" w:rsidR="00D14755" w:rsidRPr="005948BA" w:rsidRDefault="00D14755" w:rsidP="004E6DD7">
      <w:pPr>
        <w:numPr>
          <w:ilvl w:val="0"/>
          <w:numId w:val="16"/>
        </w:numPr>
        <w:spacing w:after="0"/>
        <w:rPr>
          <w:rFonts w:eastAsiaTheme="minorHAnsi"/>
          <w:color w:val="auto"/>
          <w:szCs w:val="22"/>
          <w:shd w:val="clear" w:color="auto" w:fill="auto"/>
        </w:rPr>
      </w:pPr>
      <w:r w:rsidRPr="005948BA">
        <w:rPr>
          <w:rFonts w:eastAsiaTheme="minorHAnsi"/>
          <w:color w:val="auto"/>
          <w:szCs w:val="22"/>
          <w:shd w:val="clear" w:color="auto" w:fill="auto"/>
        </w:rPr>
        <w:t>Staff for the project.</w:t>
      </w:r>
    </w:p>
    <w:p w14:paraId="350D7D6C" w14:textId="77777777" w:rsidR="00D14755" w:rsidRPr="005948BA" w:rsidRDefault="00D14755" w:rsidP="004E6DD7">
      <w:pPr>
        <w:numPr>
          <w:ilvl w:val="0"/>
          <w:numId w:val="16"/>
        </w:numPr>
        <w:spacing w:after="0"/>
        <w:rPr>
          <w:rFonts w:eastAsiaTheme="minorHAnsi"/>
          <w:color w:val="auto"/>
          <w:szCs w:val="22"/>
          <w:shd w:val="clear" w:color="auto" w:fill="auto"/>
        </w:rPr>
      </w:pPr>
      <w:r w:rsidRPr="005948BA">
        <w:rPr>
          <w:rFonts w:eastAsiaTheme="minorHAnsi"/>
          <w:color w:val="auto"/>
          <w:szCs w:val="22"/>
          <w:shd w:val="clear" w:color="auto" w:fill="auto"/>
        </w:rPr>
        <w:t>Contracted direct service providers.</w:t>
      </w:r>
    </w:p>
    <w:p w14:paraId="6191572C" w14:textId="77777777" w:rsidR="00D14755" w:rsidRPr="005948BA" w:rsidRDefault="00D14755" w:rsidP="004E6DD7">
      <w:pPr>
        <w:numPr>
          <w:ilvl w:val="0"/>
          <w:numId w:val="16"/>
        </w:numPr>
        <w:spacing w:after="0"/>
        <w:rPr>
          <w:rFonts w:eastAsiaTheme="minorHAnsi"/>
          <w:color w:val="auto"/>
          <w:szCs w:val="22"/>
          <w:shd w:val="clear" w:color="auto" w:fill="auto"/>
        </w:rPr>
      </w:pPr>
      <w:r w:rsidRPr="005948BA">
        <w:rPr>
          <w:rFonts w:eastAsiaTheme="minorHAnsi"/>
          <w:color w:val="auto"/>
          <w:szCs w:val="22"/>
          <w:shd w:val="clear" w:color="auto" w:fill="auto"/>
        </w:rPr>
        <w:t>Associated costs related to direct services, such as:</w:t>
      </w:r>
    </w:p>
    <w:p w14:paraId="1FCA2301" w14:textId="0C53AB4E" w:rsidR="00D14755" w:rsidRPr="005948BA" w:rsidRDefault="00D14755" w:rsidP="00873864">
      <w:pPr>
        <w:numPr>
          <w:ilvl w:val="0"/>
          <w:numId w:val="17"/>
        </w:numPr>
        <w:spacing w:after="0"/>
        <w:rPr>
          <w:rFonts w:eastAsiaTheme="minorHAnsi"/>
          <w:color w:val="auto"/>
          <w:szCs w:val="22"/>
          <w:shd w:val="clear" w:color="auto" w:fill="auto"/>
        </w:rPr>
      </w:pPr>
      <w:r w:rsidRPr="005948BA">
        <w:rPr>
          <w:rFonts w:eastAsiaTheme="minorHAnsi"/>
          <w:color w:val="auto"/>
          <w:szCs w:val="22"/>
          <w:shd w:val="clear" w:color="auto" w:fill="auto"/>
        </w:rPr>
        <w:t>Training and release time</w:t>
      </w:r>
      <w:r w:rsidR="0007219E">
        <w:rPr>
          <w:rFonts w:eastAsiaTheme="minorHAnsi"/>
          <w:color w:val="auto"/>
          <w:szCs w:val="22"/>
          <w:shd w:val="clear" w:color="auto" w:fill="auto"/>
        </w:rPr>
        <w:t>.</w:t>
      </w:r>
    </w:p>
    <w:p w14:paraId="28ADA60C" w14:textId="15C13863" w:rsidR="00D14755" w:rsidRPr="005948BA" w:rsidRDefault="00D14755" w:rsidP="00873864">
      <w:pPr>
        <w:numPr>
          <w:ilvl w:val="0"/>
          <w:numId w:val="17"/>
        </w:numPr>
        <w:spacing w:after="0"/>
        <w:rPr>
          <w:rFonts w:eastAsiaTheme="minorHAnsi"/>
          <w:color w:val="auto"/>
          <w:szCs w:val="22"/>
          <w:shd w:val="clear" w:color="auto" w:fill="auto"/>
        </w:rPr>
      </w:pPr>
      <w:r w:rsidRPr="005948BA">
        <w:rPr>
          <w:rFonts w:eastAsiaTheme="minorHAnsi"/>
          <w:color w:val="auto"/>
          <w:szCs w:val="22"/>
          <w:shd w:val="clear" w:color="auto" w:fill="auto"/>
        </w:rPr>
        <w:t>Ser</w:t>
      </w:r>
      <w:r w:rsidR="0007219E">
        <w:rPr>
          <w:rFonts w:eastAsiaTheme="minorHAnsi"/>
          <w:color w:val="auto"/>
          <w:szCs w:val="22"/>
          <w:shd w:val="clear" w:color="auto" w:fill="auto"/>
        </w:rPr>
        <w:t>vices required by project staff</w:t>
      </w:r>
      <w:r w:rsidRPr="005948BA">
        <w:rPr>
          <w:rFonts w:eastAsiaTheme="minorHAnsi"/>
          <w:color w:val="auto"/>
          <w:szCs w:val="22"/>
          <w:shd w:val="clear" w:color="auto" w:fill="auto"/>
        </w:rPr>
        <w:t xml:space="preserve"> </w:t>
      </w:r>
      <w:r w:rsidR="00011FB5">
        <w:rPr>
          <w:rFonts w:eastAsiaTheme="minorHAnsi"/>
          <w:color w:val="auto"/>
          <w:szCs w:val="22"/>
          <w:shd w:val="clear" w:color="auto" w:fill="auto"/>
        </w:rPr>
        <w:t xml:space="preserve">and contracted </w:t>
      </w:r>
      <w:r w:rsidRPr="005948BA">
        <w:rPr>
          <w:rFonts w:eastAsiaTheme="minorHAnsi"/>
          <w:color w:val="auto"/>
          <w:szCs w:val="22"/>
          <w:shd w:val="clear" w:color="auto" w:fill="auto"/>
        </w:rPr>
        <w:t>service providers</w:t>
      </w:r>
      <w:r w:rsidR="00E13806">
        <w:rPr>
          <w:rFonts w:eastAsiaTheme="minorHAnsi"/>
          <w:color w:val="auto"/>
          <w:szCs w:val="22"/>
          <w:shd w:val="clear" w:color="auto" w:fill="auto"/>
        </w:rPr>
        <w:t>.</w:t>
      </w:r>
    </w:p>
    <w:p w14:paraId="28C7D52E" w14:textId="309CD993" w:rsidR="00D14755" w:rsidRPr="005948BA" w:rsidRDefault="00D14755" w:rsidP="008C04AD">
      <w:pPr>
        <w:numPr>
          <w:ilvl w:val="0"/>
          <w:numId w:val="17"/>
        </w:numPr>
        <w:spacing w:after="0"/>
        <w:rPr>
          <w:rFonts w:eastAsiaTheme="minorHAnsi"/>
          <w:color w:val="auto"/>
          <w:szCs w:val="22"/>
          <w:shd w:val="clear" w:color="auto" w:fill="auto"/>
        </w:rPr>
      </w:pPr>
      <w:r w:rsidRPr="005948BA">
        <w:rPr>
          <w:rFonts w:eastAsiaTheme="minorHAnsi"/>
          <w:color w:val="auto"/>
          <w:szCs w:val="22"/>
          <w:shd w:val="clear" w:color="auto" w:fill="auto"/>
        </w:rPr>
        <w:lastRenderedPageBreak/>
        <w:t>Materials and supplies</w:t>
      </w:r>
      <w:r w:rsidR="0007219E">
        <w:rPr>
          <w:rFonts w:eastAsiaTheme="minorHAnsi"/>
          <w:color w:val="auto"/>
          <w:szCs w:val="22"/>
          <w:shd w:val="clear" w:color="auto" w:fill="auto"/>
        </w:rPr>
        <w:t>.</w:t>
      </w:r>
    </w:p>
    <w:p w14:paraId="34C1F0C2" w14:textId="47A6C14A" w:rsidR="003725FA" w:rsidRPr="005948BA" w:rsidRDefault="003725FA" w:rsidP="008C04AD">
      <w:pPr>
        <w:numPr>
          <w:ilvl w:val="0"/>
          <w:numId w:val="17"/>
        </w:numPr>
        <w:spacing w:after="0"/>
        <w:rPr>
          <w:rFonts w:eastAsiaTheme="minorHAnsi"/>
          <w:color w:val="auto"/>
          <w:szCs w:val="22"/>
          <w:shd w:val="clear" w:color="auto" w:fill="auto"/>
        </w:rPr>
      </w:pPr>
      <w:r w:rsidRPr="005948BA">
        <w:rPr>
          <w:rFonts w:eastAsiaTheme="minorHAnsi"/>
          <w:color w:val="auto"/>
          <w:szCs w:val="22"/>
          <w:shd w:val="clear" w:color="auto" w:fill="auto"/>
        </w:rPr>
        <w:t>Subcontracts, if needed, related to implementation of capacity building program.</w:t>
      </w:r>
    </w:p>
    <w:p w14:paraId="554AB12E" w14:textId="73F1FF5F" w:rsidR="00D14755" w:rsidRPr="005948BA" w:rsidRDefault="00D14755" w:rsidP="00873864">
      <w:pPr>
        <w:numPr>
          <w:ilvl w:val="0"/>
          <w:numId w:val="16"/>
        </w:numPr>
        <w:spacing w:after="0"/>
        <w:rPr>
          <w:rFonts w:eastAsiaTheme="minorHAnsi"/>
          <w:color w:val="auto"/>
          <w:szCs w:val="22"/>
          <w:shd w:val="clear" w:color="auto" w:fill="auto"/>
        </w:rPr>
      </w:pPr>
      <w:r w:rsidRPr="005948BA">
        <w:rPr>
          <w:rFonts w:eastAsiaTheme="minorHAnsi"/>
          <w:color w:val="auto"/>
          <w:szCs w:val="22"/>
          <w:shd w:val="clear" w:color="auto" w:fill="auto"/>
        </w:rPr>
        <w:t xml:space="preserve">Noncapitalized equipment costs less than $5,000 per item. Equipment purchased with TUPE </w:t>
      </w:r>
      <w:r w:rsidR="00E13806">
        <w:rPr>
          <w:rFonts w:eastAsiaTheme="minorHAnsi"/>
          <w:color w:val="auto"/>
          <w:szCs w:val="22"/>
          <w:shd w:val="clear" w:color="auto" w:fill="auto"/>
        </w:rPr>
        <w:t>CBP</w:t>
      </w:r>
      <w:r w:rsidRPr="005948BA">
        <w:rPr>
          <w:rFonts w:eastAsiaTheme="minorHAnsi"/>
          <w:b/>
          <w:color w:val="auto"/>
          <w:szCs w:val="22"/>
          <w:shd w:val="clear" w:color="auto" w:fill="auto"/>
        </w:rPr>
        <w:t xml:space="preserve"> </w:t>
      </w:r>
      <w:r w:rsidRPr="005948BA">
        <w:rPr>
          <w:rFonts w:eastAsiaTheme="minorHAnsi"/>
          <w:color w:val="auto"/>
          <w:szCs w:val="22"/>
          <w:shd w:val="clear" w:color="auto" w:fill="auto"/>
        </w:rPr>
        <w:t xml:space="preserve">Grant </w:t>
      </w:r>
      <w:r w:rsidRPr="005948BA">
        <w:rPr>
          <w:rFonts w:eastAsiaTheme="minorHAnsi"/>
          <w:color w:val="auto"/>
          <w:shd w:val="clear" w:color="auto" w:fill="auto"/>
        </w:rPr>
        <w:t>Program</w:t>
      </w:r>
      <w:r w:rsidRPr="005948BA">
        <w:rPr>
          <w:rFonts w:eastAsiaTheme="minorHAnsi"/>
          <w:color w:val="auto"/>
          <w:szCs w:val="22"/>
          <w:shd w:val="clear" w:color="auto" w:fill="auto"/>
        </w:rPr>
        <w:t xml:space="preserve"> funds may only be used by personnel assigned to the TUPE </w:t>
      </w:r>
      <w:r w:rsidR="00E13806">
        <w:rPr>
          <w:rFonts w:eastAsiaTheme="minorHAnsi"/>
          <w:color w:val="auto"/>
          <w:szCs w:val="22"/>
          <w:shd w:val="clear" w:color="auto" w:fill="auto"/>
        </w:rPr>
        <w:t>CBP</w:t>
      </w:r>
      <w:r w:rsidRPr="005948BA">
        <w:rPr>
          <w:rFonts w:eastAsiaTheme="minorHAnsi"/>
          <w:b/>
          <w:color w:val="auto"/>
          <w:szCs w:val="22"/>
          <w:shd w:val="clear" w:color="auto" w:fill="auto"/>
        </w:rPr>
        <w:t xml:space="preserve"> </w:t>
      </w:r>
      <w:r w:rsidRPr="005948BA">
        <w:rPr>
          <w:rFonts w:eastAsiaTheme="minorHAnsi"/>
          <w:color w:val="auto"/>
          <w:szCs w:val="22"/>
          <w:shd w:val="clear" w:color="auto" w:fill="auto"/>
        </w:rPr>
        <w:t xml:space="preserve">Grant </w:t>
      </w:r>
      <w:r w:rsidRPr="005948BA">
        <w:rPr>
          <w:rFonts w:eastAsiaTheme="minorHAnsi"/>
          <w:color w:val="auto"/>
          <w:shd w:val="clear" w:color="auto" w:fill="auto"/>
        </w:rPr>
        <w:t>Program.</w:t>
      </w:r>
      <w:r w:rsidRPr="005948BA">
        <w:rPr>
          <w:rFonts w:eastAsiaTheme="minorHAnsi"/>
          <w:color w:val="auto"/>
          <w:szCs w:val="22"/>
          <w:shd w:val="clear" w:color="auto" w:fill="auto"/>
        </w:rPr>
        <w:t xml:space="preserve"> The amount budgeted for individual equipment cannot exceed the percentage of time the person using the equipment is assigned to the TUPE Program. Funds from other sources must contribute to equipment costs designated for shared-use with other programs, and costs are to be prorated.</w:t>
      </w:r>
    </w:p>
    <w:p w14:paraId="0E96E693" w14:textId="77777777" w:rsidR="00D14755" w:rsidRPr="005948BA" w:rsidRDefault="00D14755" w:rsidP="00873864">
      <w:pPr>
        <w:numPr>
          <w:ilvl w:val="0"/>
          <w:numId w:val="16"/>
        </w:numPr>
        <w:spacing w:after="0"/>
        <w:rPr>
          <w:rFonts w:eastAsiaTheme="minorHAnsi"/>
          <w:color w:val="auto"/>
          <w:szCs w:val="22"/>
          <w:shd w:val="clear" w:color="auto" w:fill="auto"/>
        </w:rPr>
      </w:pPr>
      <w:r w:rsidRPr="005948BA">
        <w:rPr>
          <w:rFonts w:eastAsiaTheme="minorHAnsi"/>
          <w:color w:val="auto"/>
          <w:szCs w:val="22"/>
          <w:shd w:val="clear" w:color="auto" w:fill="auto"/>
        </w:rPr>
        <w:t xml:space="preserve">The percentage used to determine Indirect Cost Rates are not to exceed the CDE-approved rate. </w:t>
      </w:r>
    </w:p>
    <w:p w14:paraId="4E1848F4" w14:textId="77777777" w:rsidR="00D14755" w:rsidRPr="005948BA" w:rsidRDefault="00D14755" w:rsidP="00873864">
      <w:pPr>
        <w:numPr>
          <w:ilvl w:val="0"/>
          <w:numId w:val="16"/>
        </w:numPr>
        <w:spacing w:after="0"/>
        <w:rPr>
          <w:rFonts w:eastAsiaTheme="minorHAnsi"/>
          <w:color w:val="auto"/>
          <w:szCs w:val="22"/>
          <w:shd w:val="clear" w:color="auto" w:fill="auto"/>
        </w:rPr>
      </w:pPr>
      <w:r w:rsidRPr="005948BA">
        <w:rPr>
          <w:rFonts w:eastAsiaTheme="minorHAnsi"/>
          <w:color w:val="auto"/>
          <w:szCs w:val="22"/>
          <w:shd w:val="clear" w:color="auto" w:fill="auto"/>
        </w:rPr>
        <w:t>Travel costs related to the project. These costs shall be reimbursed at rates not greater than those established in bargaining unit agreements to which the LEA is subject.</w:t>
      </w:r>
    </w:p>
    <w:p w14:paraId="14B39149" w14:textId="77777777" w:rsidR="00D14755" w:rsidRPr="005948BA" w:rsidRDefault="00D14755" w:rsidP="0024561D">
      <w:pPr>
        <w:pStyle w:val="Heading4"/>
      </w:pPr>
      <w:bookmarkStart w:id="89" w:name="_Toc8915803"/>
      <w:r w:rsidRPr="005948BA">
        <w:t>Nonallowable Costs</w:t>
      </w:r>
      <w:bookmarkEnd w:id="89"/>
    </w:p>
    <w:p w14:paraId="47D94C6D" w14:textId="78B694E9" w:rsidR="00D14755" w:rsidRPr="005948BA" w:rsidRDefault="00D14755" w:rsidP="00873864">
      <w:pPr>
        <w:spacing w:after="0"/>
        <w:ind w:left="1080"/>
        <w:rPr>
          <w:rFonts w:eastAsiaTheme="minorHAnsi"/>
          <w:color w:val="auto"/>
          <w:shd w:val="clear" w:color="auto" w:fill="auto"/>
        </w:rPr>
      </w:pPr>
      <w:r w:rsidRPr="005948BA">
        <w:rPr>
          <w:rFonts w:eastAsiaTheme="minorHAnsi"/>
          <w:color w:val="auto"/>
          <w:shd w:val="clear" w:color="auto" w:fill="auto"/>
        </w:rPr>
        <w:t xml:space="preserve">TUPE </w:t>
      </w:r>
      <w:r w:rsidR="00457FE0">
        <w:rPr>
          <w:rFonts w:eastAsiaTheme="minorHAnsi"/>
          <w:color w:val="auto"/>
          <w:shd w:val="clear" w:color="auto" w:fill="auto"/>
        </w:rPr>
        <w:t>CBP grant</w:t>
      </w:r>
      <w:r w:rsidRPr="005948BA">
        <w:rPr>
          <w:rFonts w:asciiTheme="minorHAnsi" w:eastAsiaTheme="minorHAnsi" w:hAnsiTheme="minorHAnsi" w:cstheme="minorBidi"/>
          <w:color w:val="auto"/>
          <w:sz w:val="22"/>
          <w:szCs w:val="22"/>
          <w:shd w:val="clear" w:color="auto" w:fill="auto"/>
        </w:rPr>
        <w:t xml:space="preserve"> </w:t>
      </w:r>
      <w:r w:rsidRPr="005948BA">
        <w:rPr>
          <w:rFonts w:eastAsiaTheme="minorHAnsi"/>
          <w:color w:val="auto"/>
          <w:shd w:val="clear" w:color="auto" w:fill="auto"/>
        </w:rPr>
        <w:t xml:space="preserve">funds are intended to supplement existing programs and must not be used to supplant other state or federal funds now being used for existing staff or activities. TUPE </w:t>
      </w:r>
      <w:r w:rsidR="00E13806">
        <w:rPr>
          <w:rFonts w:eastAsiaTheme="minorHAnsi"/>
          <w:color w:val="auto"/>
          <w:shd w:val="clear" w:color="auto" w:fill="auto"/>
        </w:rPr>
        <w:t>CBP</w:t>
      </w:r>
      <w:r w:rsidRPr="005948BA">
        <w:rPr>
          <w:rFonts w:eastAsiaTheme="minorHAnsi"/>
          <w:b/>
          <w:color w:val="auto"/>
          <w:szCs w:val="22"/>
          <w:shd w:val="clear" w:color="auto" w:fill="auto"/>
        </w:rPr>
        <w:t xml:space="preserve"> </w:t>
      </w:r>
      <w:r w:rsidRPr="005948BA">
        <w:rPr>
          <w:rFonts w:eastAsiaTheme="minorHAnsi"/>
          <w:color w:val="auto"/>
          <w:szCs w:val="22"/>
          <w:shd w:val="clear" w:color="auto" w:fill="auto"/>
        </w:rPr>
        <w:t xml:space="preserve">Grant </w:t>
      </w:r>
      <w:r w:rsidRPr="005948BA">
        <w:rPr>
          <w:rFonts w:eastAsiaTheme="minorHAnsi"/>
          <w:color w:val="auto"/>
          <w:shd w:val="clear" w:color="auto" w:fill="auto"/>
        </w:rPr>
        <w:t>Program funds cannot be transferred to any other program accounts that are for specific purposes other than tobacco-use prevention, youth development, intervention, or cessation/referral.</w:t>
      </w:r>
    </w:p>
    <w:p w14:paraId="7655C032" w14:textId="77777777" w:rsidR="00D14755" w:rsidRPr="005948BA" w:rsidRDefault="00D14755" w:rsidP="00873864">
      <w:pPr>
        <w:spacing w:after="0"/>
        <w:ind w:left="1080"/>
        <w:rPr>
          <w:rFonts w:eastAsiaTheme="minorHAnsi"/>
          <w:color w:val="auto"/>
          <w:shd w:val="clear" w:color="auto" w:fill="auto"/>
        </w:rPr>
      </w:pPr>
      <w:r w:rsidRPr="005948BA">
        <w:rPr>
          <w:rFonts w:eastAsiaTheme="minorHAnsi"/>
          <w:color w:val="auto"/>
          <w:shd w:val="clear" w:color="auto" w:fill="auto"/>
        </w:rPr>
        <w:t xml:space="preserve">Funds may </w:t>
      </w:r>
      <w:r w:rsidRPr="005948BA">
        <w:rPr>
          <w:rFonts w:eastAsiaTheme="minorHAnsi"/>
          <w:b/>
          <w:color w:val="auto"/>
          <w:shd w:val="clear" w:color="auto" w:fill="auto"/>
        </w:rPr>
        <w:t>not</w:t>
      </w:r>
      <w:r w:rsidRPr="005948BA">
        <w:rPr>
          <w:rFonts w:eastAsiaTheme="minorHAnsi"/>
          <w:color w:val="auto"/>
          <w:shd w:val="clear" w:color="auto" w:fill="auto"/>
        </w:rPr>
        <w:t xml:space="preserve"> be used for:</w:t>
      </w:r>
    </w:p>
    <w:p w14:paraId="52BB2CC2" w14:textId="143C4840" w:rsidR="00D14755" w:rsidRPr="005948BA" w:rsidRDefault="00D14755" w:rsidP="00873864">
      <w:pPr>
        <w:numPr>
          <w:ilvl w:val="0"/>
          <w:numId w:val="18"/>
        </w:numPr>
        <w:spacing w:after="0"/>
        <w:ind w:left="1800"/>
        <w:rPr>
          <w:rFonts w:eastAsiaTheme="minorHAnsi"/>
          <w:color w:val="auto"/>
          <w:shd w:val="clear" w:color="auto" w:fill="auto"/>
        </w:rPr>
      </w:pPr>
      <w:r w:rsidRPr="005948BA">
        <w:rPr>
          <w:rFonts w:eastAsiaTheme="minorHAnsi"/>
          <w:color w:val="auto"/>
          <w:shd w:val="clear" w:color="auto" w:fill="auto"/>
        </w:rPr>
        <w:t xml:space="preserve">Compensation or expenses of administrative personnel other than the TUPE </w:t>
      </w:r>
      <w:r w:rsidR="00E13806">
        <w:rPr>
          <w:rFonts w:eastAsiaTheme="minorHAnsi"/>
          <w:color w:val="auto"/>
          <w:shd w:val="clear" w:color="auto" w:fill="auto"/>
        </w:rPr>
        <w:t>CBP</w:t>
      </w:r>
      <w:r w:rsidRPr="005948BA">
        <w:rPr>
          <w:rFonts w:eastAsiaTheme="minorHAnsi"/>
          <w:b/>
          <w:color w:val="auto"/>
          <w:szCs w:val="22"/>
          <w:shd w:val="clear" w:color="auto" w:fill="auto"/>
        </w:rPr>
        <w:t xml:space="preserve"> </w:t>
      </w:r>
      <w:r w:rsidRPr="005948BA">
        <w:rPr>
          <w:rFonts w:eastAsiaTheme="minorHAnsi"/>
          <w:color w:val="auto"/>
          <w:szCs w:val="22"/>
          <w:shd w:val="clear" w:color="auto" w:fill="auto"/>
        </w:rPr>
        <w:t xml:space="preserve">Grant </w:t>
      </w:r>
      <w:r w:rsidRPr="005948BA">
        <w:rPr>
          <w:rFonts w:eastAsiaTheme="minorHAnsi"/>
          <w:color w:val="auto"/>
          <w:shd w:val="clear" w:color="auto" w:fill="auto"/>
        </w:rPr>
        <w:t>Program</w:t>
      </w:r>
      <w:r w:rsidR="00C44E03">
        <w:rPr>
          <w:rFonts w:eastAsiaTheme="minorHAnsi"/>
          <w:color w:val="auto"/>
          <w:shd w:val="clear" w:color="auto" w:fill="auto"/>
        </w:rPr>
        <w:t>.</w:t>
      </w:r>
    </w:p>
    <w:p w14:paraId="71B0EC36" w14:textId="77777777" w:rsidR="00D14755" w:rsidRPr="005948BA" w:rsidRDefault="00D14755" w:rsidP="00873864">
      <w:pPr>
        <w:numPr>
          <w:ilvl w:val="0"/>
          <w:numId w:val="18"/>
        </w:numPr>
        <w:spacing w:after="0"/>
        <w:ind w:left="1800"/>
        <w:rPr>
          <w:rFonts w:eastAsiaTheme="minorHAnsi"/>
          <w:color w:val="auto"/>
          <w:shd w:val="clear" w:color="auto" w:fill="auto"/>
        </w:rPr>
      </w:pPr>
      <w:r w:rsidRPr="005948BA">
        <w:rPr>
          <w:rFonts w:eastAsiaTheme="minorHAnsi"/>
          <w:color w:val="auto"/>
          <w:shd w:val="clear" w:color="auto" w:fill="auto"/>
        </w:rPr>
        <w:t>Expenditures for land, buildings, and other intangible capital assets, including items acquired through leases with option to purchase and capitalized equipment costs in excess of $5,000.</w:t>
      </w:r>
    </w:p>
    <w:p w14:paraId="2B62B660" w14:textId="2626CA2E" w:rsidR="00D14755" w:rsidRPr="005948BA" w:rsidRDefault="00D14755" w:rsidP="00AC60FF">
      <w:pPr>
        <w:spacing w:after="0"/>
        <w:ind w:left="1800"/>
        <w:rPr>
          <w:rFonts w:eastAsiaTheme="minorHAnsi"/>
          <w:color w:val="auto"/>
          <w:shd w:val="clear" w:color="auto" w:fill="auto"/>
        </w:rPr>
      </w:pPr>
      <w:r w:rsidRPr="005948BA">
        <w:rPr>
          <w:rFonts w:eastAsiaTheme="minorHAnsi"/>
          <w:color w:val="auto"/>
          <w:shd w:val="clear" w:color="auto" w:fill="auto"/>
        </w:rPr>
        <w:t>Applicants are encouraged to review Procedure 770, Distinguishing between Supplies and Equipment, in the California School Accounting Manual (CSAM) for further discussion regarding capitalized equipment, noncapitalized equipment, and supplies. The CSAM can b</w:t>
      </w:r>
      <w:r w:rsidR="0015616F">
        <w:rPr>
          <w:rFonts w:eastAsiaTheme="minorHAnsi"/>
          <w:color w:val="auto"/>
          <w:shd w:val="clear" w:color="auto" w:fill="auto"/>
        </w:rPr>
        <w:t>e downloaded from the CDE CSAM w</w:t>
      </w:r>
      <w:r w:rsidRPr="005948BA">
        <w:rPr>
          <w:rFonts w:eastAsiaTheme="minorHAnsi"/>
          <w:color w:val="auto"/>
          <w:shd w:val="clear" w:color="auto" w:fill="auto"/>
        </w:rPr>
        <w:t xml:space="preserve">eb page at </w:t>
      </w:r>
      <w:hyperlink r:id="rId27" w:tooltip="California School Accounting Manual 2019" w:history="1">
        <w:r w:rsidR="00DA726E" w:rsidRPr="001C2449">
          <w:rPr>
            <w:rStyle w:val="Hyperlink"/>
          </w:rPr>
          <w:t>https://www.cde.ca.gov/fg/ac/sa/documents/csam2019complete.pdf</w:t>
        </w:r>
      </w:hyperlink>
      <w:r w:rsidR="001E31A3" w:rsidRPr="001E31A3">
        <w:rPr>
          <w:rFonts w:eastAsiaTheme="minorHAnsi"/>
          <w:color w:val="0563C1" w:themeColor="hyperlink"/>
          <w:shd w:val="clear" w:color="auto" w:fill="auto"/>
        </w:rPr>
        <w:t>.</w:t>
      </w:r>
    </w:p>
    <w:p w14:paraId="04FB43F1" w14:textId="55AED6A6" w:rsidR="00D14755" w:rsidRPr="005948BA" w:rsidRDefault="00D14755" w:rsidP="00236AFA">
      <w:pPr>
        <w:numPr>
          <w:ilvl w:val="0"/>
          <w:numId w:val="18"/>
        </w:numPr>
        <w:spacing w:after="0"/>
        <w:ind w:left="1800"/>
        <w:rPr>
          <w:rFonts w:eastAsiaTheme="minorHAnsi"/>
          <w:color w:val="auto"/>
          <w:shd w:val="clear" w:color="auto" w:fill="auto"/>
        </w:rPr>
      </w:pPr>
      <w:r w:rsidRPr="005948BA">
        <w:rPr>
          <w:rFonts w:eastAsiaTheme="minorHAnsi"/>
          <w:color w:val="auto"/>
          <w:shd w:val="clear" w:color="auto" w:fill="auto"/>
        </w:rPr>
        <w:t>Telephone systems, fax machines, and telephones, including cell phones and landlines</w:t>
      </w:r>
      <w:r w:rsidR="0015616F">
        <w:rPr>
          <w:rFonts w:eastAsiaTheme="minorHAnsi"/>
          <w:color w:val="auto"/>
          <w:shd w:val="clear" w:color="auto" w:fill="auto"/>
        </w:rPr>
        <w:t>.</w:t>
      </w:r>
    </w:p>
    <w:p w14:paraId="366A1778" w14:textId="2F6D7932" w:rsidR="00D14755" w:rsidRPr="005948BA" w:rsidRDefault="00D14755" w:rsidP="00236AFA">
      <w:pPr>
        <w:numPr>
          <w:ilvl w:val="0"/>
          <w:numId w:val="18"/>
        </w:numPr>
        <w:spacing w:after="0"/>
        <w:ind w:left="1800"/>
        <w:rPr>
          <w:rFonts w:eastAsiaTheme="minorHAnsi"/>
          <w:color w:val="auto"/>
          <w:shd w:val="clear" w:color="auto" w:fill="auto"/>
        </w:rPr>
      </w:pPr>
      <w:r w:rsidRPr="005948BA">
        <w:rPr>
          <w:rFonts w:eastAsiaTheme="minorHAnsi"/>
          <w:color w:val="auto"/>
          <w:shd w:val="clear" w:color="auto" w:fill="auto"/>
        </w:rPr>
        <w:lastRenderedPageBreak/>
        <w:t>Purchase of vehicles</w:t>
      </w:r>
      <w:r w:rsidR="0015616F">
        <w:rPr>
          <w:rFonts w:eastAsiaTheme="minorHAnsi"/>
          <w:color w:val="auto"/>
          <w:shd w:val="clear" w:color="auto" w:fill="auto"/>
        </w:rPr>
        <w:t>.</w:t>
      </w:r>
    </w:p>
    <w:p w14:paraId="1F1322CC" w14:textId="15CF334E" w:rsidR="00D14755" w:rsidRPr="005948BA" w:rsidRDefault="00D14755" w:rsidP="00236AFA">
      <w:pPr>
        <w:numPr>
          <w:ilvl w:val="0"/>
          <w:numId w:val="18"/>
        </w:numPr>
        <w:spacing w:after="0"/>
        <w:ind w:left="1800"/>
        <w:rPr>
          <w:rFonts w:eastAsiaTheme="minorHAnsi"/>
          <w:color w:val="auto"/>
          <w:shd w:val="clear" w:color="auto" w:fill="auto"/>
        </w:rPr>
      </w:pPr>
      <w:r w:rsidRPr="005948BA">
        <w:rPr>
          <w:rFonts w:eastAsiaTheme="minorHAnsi"/>
          <w:color w:val="auto"/>
          <w:shd w:val="clear" w:color="auto" w:fill="auto"/>
        </w:rPr>
        <w:t>Out-of-state travel</w:t>
      </w:r>
      <w:r w:rsidR="0015616F">
        <w:rPr>
          <w:rFonts w:eastAsiaTheme="minorHAnsi"/>
          <w:color w:val="auto"/>
          <w:shd w:val="clear" w:color="auto" w:fill="auto"/>
        </w:rPr>
        <w:t>.</w:t>
      </w:r>
    </w:p>
    <w:p w14:paraId="4E693EED" w14:textId="39D8DF2A" w:rsidR="00D14755" w:rsidRPr="005948BA" w:rsidRDefault="00D14755" w:rsidP="00236AFA">
      <w:pPr>
        <w:numPr>
          <w:ilvl w:val="0"/>
          <w:numId w:val="18"/>
        </w:numPr>
        <w:spacing w:after="0"/>
        <w:ind w:left="1800"/>
        <w:rPr>
          <w:rFonts w:eastAsiaTheme="minorHAnsi"/>
          <w:color w:val="auto"/>
          <w:shd w:val="clear" w:color="auto" w:fill="auto"/>
        </w:rPr>
      </w:pPr>
      <w:r w:rsidRPr="005948BA">
        <w:rPr>
          <w:rFonts w:eastAsiaTheme="minorHAnsi"/>
          <w:color w:val="auto"/>
          <w:shd w:val="clear" w:color="auto" w:fill="auto"/>
        </w:rPr>
        <w:t xml:space="preserve">Food—exceptions may be allowed if the agency can provide a justification that the provision of food is necessary to implement a TUPE </w:t>
      </w:r>
      <w:r w:rsidR="00E13806">
        <w:rPr>
          <w:rFonts w:eastAsiaTheme="minorHAnsi"/>
          <w:color w:val="auto"/>
          <w:shd w:val="clear" w:color="auto" w:fill="auto"/>
        </w:rPr>
        <w:t>CBP</w:t>
      </w:r>
      <w:r w:rsidRPr="005948BA">
        <w:rPr>
          <w:rFonts w:eastAsiaTheme="minorHAnsi"/>
          <w:b/>
          <w:color w:val="auto"/>
          <w:szCs w:val="22"/>
          <w:shd w:val="clear" w:color="auto" w:fill="auto"/>
        </w:rPr>
        <w:t xml:space="preserve"> </w:t>
      </w:r>
      <w:r w:rsidRPr="005948BA">
        <w:rPr>
          <w:rFonts w:eastAsiaTheme="minorHAnsi"/>
          <w:color w:val="auto"/>
          <w:szCs w:val="22"/>
          <w:shd w:val="clear" w:color="auto" w:fill="auto"/>
        </w:rPr>
        <w:t xml:space="preserve">Grant </w:t>
      </w:r>
      <w:r w:rsidRPr="005948BA">
        <w:rPr>
          <w:rFonts w:eastAsiaTheme="minorHAnsi"/>
          <w:color w:val="auto"/>
          <w:shd w:val="clear" w:color="auto" w:fill="auto"/>
        </w:rPr>
        <w:t>Program</w:t>
      </w:r>
      <w:r w:rsidRPr="005948BA">
        <w:rPr>
          <w:rFonts w:eastAsiaTheme="minorHAnsi"/>
          <w:color w:val="auto"/>
          <w:szCs w:val="22"/>
          <w:shd w:val="clear" w:color="auto" w:fill="auto"/>
        </w:rPr>
        <w:t xml:space="preserve"> </w:t>
      </w:r>
      <w:r w:rsidR="0015616F">
        <w:rPr>
          <w:rFonts w:eastAsiaTheme="minorHAnsi"/>
          <w:color w:val="auto"/>
          <w:shd w:val="clear" w:color="auto" w:fill="auto"/>
        </w:rPr>
        <w:t>training event.</w:t>
      </w:r>
    </w:p>
    <w:p w14:paraId="369FE0DE" w14:textId="4FF60F12" w:rsidR="00D14755" w:rsidRPr="005948BA" w:rsidRDefault="00D14755" w:rsidP="00236AFA">
      <w:pPr>
        <w:numPr>
          <w:ilvl w:val="0"/>
          <w:numId w:val="18"/>
        </w:numPr>
        <w:spacing w:after="0"/>
        <w:ind w:left="1800"/>
        <w:rPr>
          <w:rFonts w:eastAsiaTheme="minorHAnsi"/>
          <w:color w:val="auto"/>
          <w:shd w:val="clear" w:color="auto" w:fill="auto"/>
        </w:rPr>
      </w:pPr>
      <w:r w:rsidRPr="005948BA">
        <w:rPr>
          <w:rFonts w:eastAsiaTheme="minorHAnsi"/>
          <w:color w:val="auto"/>
          <w:shd w:val="clear" w:color="auto" w:fill="auto"/>
        </w:rPr>
        <w:t>Payment of any kind to law enforcement agencies for enforcement, lesson delivery, or other activities and services</w:t>
      </w:r>
      <w:r w:rsidR="0015616F">
        <w:rPr>
          <w:rFonts w:eastAsiaTheme="minorHAnsi"/>
          <w:color w:val="auto"/>
          <w:shd w:val="clear" w:color="auto" w:fill="auto"/>
        </w:rPr>
        <w:t>.</w:t>
      </w:r>
    </w:p>
    <w:p w14:paraId="2E82652A" w14:textId="2059E85E" w:rsidR="00D14755" w:rsidRPr="005948BA" w:rsidRDefault="00D14755" w:rsidP="00236AFA">
      <w:pPr>
        <w:numPr>
          <w:ilvl w:val="0"/>
          <w:numId w:val="18"/>
        </w:numPr>
        <w:spacing w:after="0"/>
        <w:ind w:left="1800"/>
        <w:rPr>
          <w:rFonts w:eastAsiaTheme="minorHAnsi"/>
          <w:color w:val="auto"/>
          <w:shd w:val="clear" w:color="auto" w:fill="auto"/>
        </w:rPr>
      </w:pPr>
      <w:r w:rsidRPr="005948BA">
        <w:rPr>
          <w:rFonts w:eastAsiaTheme="minorHAnsi"/>
          <w:color w:val="auto"/>
          <w:shd w:val="clear" w:color="auto" w:fill="auto"/>
        </w:rPr>
        <w:t>Campus</w:t>
      </w:r>
      <w:r w:rsidR="0015616F">
        <w:rPr>
          <w:rFonts w:eastAsiaTheme="minorHAnsi"/>
          <w:color w:val="auto"/>
          <w:shd w:val="clear" w:color="auto" w:fill="auto"/>
        </w:rPr>
        <w:t xml:space="preserve"> monitoring and supervision.</w:t>
      </w:r>
    </w:p>
    <w:p w14:paraId="5B6FBECB" w14:textId="2DAD03F3" w:rsidR="00D14755" w:rsidRPr="005948BA" w:rsidRDefault="00D14755" w:rsidP="004E1A56">
      <w:pPr>
        <w:numPr>
          <w:ilvl w:val="0"/>
          <w:numId w:val="18"/>
        </w:numPr>
        <w:ind w:left="1800"/>
        <w:rPr>
          <w:rFonts w:eastAsiaTheme="minorHAnsi"/>
          <w:color w:val="auto"/>
          <w:shd w:val="clear" w:color="auto" w:fill="auto"/>
        </w:rPr>
      </w:pPr>
      <w:r w:rsidRPr="005948BA">
        <w:rPr>
          <w:rFonts w:eastAsiaTheme="minorHAnsi"/>
          <w:color w:val="auto"/>
          <w:shd w:val="clear" w:color="auto" w:fill="auto"/>
        </w:rPr>
        <w:t>Preparation, delivery, and travel costs associated with submitting this or subsequent TUPE applications</w:t>
      </w:r>
      <w:r w:rsidR="0015616F">
        <w:rPr>
          <w:rFonts w:eastAsiaTheme="minorHAnsi"/>
          <w:color w:val="auto"/>
          <w:shd w:val="clear" w:color="auto" w:fill="auto"/>
        </w:rPr>
        <w:t>.</w:t>
      </w:r>
    </w:p>
    <w:p w14:paraId="68F756F9" w14:textId="77777777" w:rsidR="00D14755" w:rsidRPr="005948BA" w:rsidRDefault="00D14755" w:rsidP="0024561D">
      <w:pPr>
        <w:pStyle w:val="Heading4"/>
      </w:pPr>
      <w:bookmarkStart w:id="90" w:name="_Toc8915804"/>
      <w:r w:rsidRPr="005948BA">
        <w:t>Budget Revisions</w:t>
      </w:r>
      <w:bookmarkEnd w:id="90"/>
    </w:p>
    <w:p w14:paraId="73D07781" w14:textId="52C1255E" w:rsidR="00D14755" w:rsidRPr="005948BA" w:rsidRDefault="00D14755" w:rsidP="005F55E0">
      <w:pPr>
        <w:spacing w:after="0"/>
        <w:ind w:left="1080"/>
        <w:rPr>
          <w:rFonts w:eastAsiaTheme="minorHAnsi"/>
          <w:color w:val="auto"/>
          <w:szCs w:val="22"/>
          <w:shd w:val="clear" w:color="auto" w:fill="auto"/>
        </w:rPr>
      </w:pPr>
      <w:r w:rsidRPr="005948BA">
        <w:rPr>
          <w:rFonts w:eastAsiaTheme="minorHAnsi"/>
          <w:color w:val="auto"/>
          <w:szCs w:val="22"/>
          <w:shd w:val="clear" w:color="auto" w:fill="auto"/>
        </w:rPr>
        <w:t xml:space="preserve">The </w:t>
      </w:r>
      <w:r w:rsidR="005F3711">
        <w:rPr>
          <w:rFonts w:eastAsiaTheme="minorHAnsi"/>
          <w:color w:val="auto"/>
          <w:szCs w:val="22"/>
          <w:shd w:val="clear" w:color="auto" w:fill="auto"/>
        </w:rPr>
        <w:t>g</w:t>
      </w:r>
      <w:r w:rsidR="00486D75" w:rsidRPr="005948BA">
        <w:rPr>
          <w:rFonts w:eastAsiaTheme="minorHAnsi"/>
          <w:color w:val="auto"/>
          <w:szCs w:val="22"/>
          <w:shd w:val="clear" w:color="auto" w:fill="auto"/>
        </w:rPr>
        <w:t>rantee</w:t>
      </w:r>
      <w:r w:rsidR="009E7B2F" w:rsidRPr="005948BA">
        <w:rPr>
          <w:rFonts w:eastAsiaTheme="minorHAnsi"/>
          <w:b/>
          <w:color w:val="auto"/>
          <w:szCs w:val="22"/>
          <w:shd w:val="clear" w:color="auto" w:fill="auto"/>
        </w:rPr>
        <w:t xml:space="preserve"> </w:t>
      </w:r>
      <w:r w:rsidRPr="005948BA">
        <w:rPr>
          <w:rFonts w:eastAsiaTheme="minorHAnsi"/>
          <w:color w:val="auto"/>
          <w:szCs w:val="22"/>
          <w:shd w:val="clear" w:color="auto" w:fill="auto"/>
        </w:rPr>
        <w:t>agrees to expend funds as described in the approved application. Failure to do so may result in a reduction of the grant award amount unless a budget revision and justification is submitted to, and approved by the CDE. The budget revision request must provide a fiscal and program explanation with sufficient detail to justify revising the original budget. The request must also describe why the revision is necessary and how the revision will affect the COE’s ability to execute the program strategies approved in the application.</w:t>
      </w:r>
    </w:p>
    <w:p w14:paraId="394C967B" w14:textId="0D610518" w:rsidR="00850D1B" w:rsidRPr="005948BA" w:rsidRDefault="00D14755" w:rsidP="00850D1B">
      <w:pPr>
        <w:ind w:left="1080"/>
        <w:rPr>
          <w:rFonts w:eastAsiaTheme="minorHAnsi"/>
          <w:color w:val="auto"/>
          <w:szCs w:val="22"/>
          <w:shd w:val="clear" w:color="auto" w:fill="auto"/>
        </w:rPr>
      </w:pPr>
      <w:r w:rsidRPr="005948BA">
        <w:rPr>
          <w:rFonts w:eastAsiaTheme="minorHAnsi"/>
          <w:color w:val="auto"/>
          <w:szCs w:val="22"/>
          <w:shd w:val="clear" w:color="auto" w:fill="auto"/>
        </w:rPr>
        <w:t xml:space="preserve">The </w:t>
      </w:r>
      <w:r w:rsidR="005F3711">
        <w:rPr>
          <w:rFonts w:eastAsiaTheme="minorHAnsi"/>
          <w:color w:val="auto"/>
          <w:szCs w:val="22"/>
          <w:shd w:val="clear" w:color="auto" w:fill="auto"/>
        </w:rPr>
        <w:t>g</w:t>
      </w:r>
      <w:r w:rsidR="00486D75" w:rsidRPr="005948BA">
        <w:rPr>
          <w:rFonts w:eastAsiaTheme="minorHAnsi"/>
          <w:color w:val="auto"/>
          <w:szCs w:val="22"/>
          <w:shd w:val="clear" w:color="auto" w:fill="auto"/>
        </w:rPr>
        <w:t>rantee</w:t>
      </w:r>
      <w:r w:rsidRPr="005948BA">
        <w:rPr>
          <w:rFonts w:eastAsiaTheme="minorHAnsi"/>
          <w:color w:val="auto"/>
          <w:szCs w:val="22"/>
          <w:shd w:val="clear" w:color="auto" w:fill="auto"/>
        </w:rPr>
        <w:t xml:space="preserve"> may not make any changes that increase the rates of reimbursement unless they are part of a negotiated collective bargaining agreement. Rates of reimbursement may not exceed the state-approved rates. The total grant amount may be decreased by t</w:t>
      </w:r>
      <w:r w:rsidR="00850D1B">
        <w:rPr>
          <w:rFonts w:eastAsiaTheme="minorHAnsi"/>
          <w:color w:val="auto"/>
          <w:szCs w:val="22"/>
          <w:shd w:val="clear" w:color="auto" w:fill="auto"/>
        </w:rPr>
        <w:t>he CDE pending available funds.</w:t>
      </w:r>
    </w:p>
    <w:p w14:paraId="6000846C" w14:textId="3FD03A65" w:rsidR="00DB0D09" w:rsidRDefault="00D14755" w:rsidP="005F55E0">
      <w:pPr>
        <w:spacing w:before="0" w:after="0"/>
        <w:ind w:left="1080"/>
        <w:rPr>
          <w:rFonts w:eastAsiaTheme="minorHAnsi"/>
          <w:color w:val="auto"/>
          <w:szCs w:val="22"/>
          <w:shd w:val="clear" w:color="auto" w:fill="auto"/>
        </w:rPr>
      </w:pPr>
      <w:r w:rsidRPr="005948BA">
        <w:rPr>
          <w:rFonts w:eastAsiaTheme="minorHAnsi"/>
          <w:color w:val="auto"/>
          <w:szCs w:val="22"/>
          <w:shd w:val="clear" w:color="auto" w:fill="auto"/>
        </w:rPr>
        <w:t xml:space="preserve">The </w:t>
      </w:r>
      <w:r w:rsidR="005F3711">
        <w:rPr>
          <w:rFonts w:eastAsiaTheme="minorHAnsi"/>
          <w:color w:val="auto"/>
          <w:szCs w:val="22"/>
          <w:shd w:val="clear" w:color="auto" w:fill="auto"/>
        </w:rPr>
        <w:t>g</w:t>
      </w:r>
      <w:r w:rsidR="00486D75" w:rsidRPr="005948BA">
        <w:rPr>
          <w:rFonts w:eastAsiaTheme="minorHAnsi"/>
          <w:color w:val="auto"/>
          <w:szCs w:val="22"/>
          <w:shd w:val="clear" w:color="auto" w:fill="auto"/>
        </w:rPr>
        <w:t>rantee</w:t>
      </w:r>
      <w:r w:rsidRPr="005948BA">
        <w:rPr>
          <w:rFonts w:eastAsiaTheme="minorHAnsi"/>
          <w:color w:val="auto"/>
          <w:szCs w:val="22"/>
          <w:shd w:val="clear" w:color="auto" w:fill="auto"/>
        </w:rPr>
        <w:t xml:space="preserve"> must submit all revisions to the budget prior to the end of the grant term.</w:t>
      </w:r>
    </w:p>
    <w:p w14:paraId="0EE51E1F" w14:textId="77777777" w:rsidR="00D14755" w:rsidRPr="005948BA" w:rsidRDefault="00D14755" w:rsidP="0024561D">
      <w:pPr>
        <w:pStyle w:val="Heading4"/>
      </w:pPr>
      <w:bookmarkStart w:id="91" w:name="_Toc8915805"/>
      <w:r w:rsidRPr="005948BA">
        <w:t>Match Requirement</w:t>
      </w:r>
      <w:bookmarkEnd w:id="91"/>
    </w:p>
    <w:p w14:paraId="06C13A8C" w14:textId="7DF5D7C2" w:rsidR="00D14755" w:rsidRPr="005948BA" w:rsidRDefault="00D14755" w:rsidP="005F55E0">
      <w:pPr>
        <w:spacing w:after="0"/>
        <w:ind w:left="1080"/>
        <w:rPr>
          <w:rFonts w:eastAsiaTheme="minorHAnsi"/>
          <w:color w:val="auto"/>
          <w:szCs w:val="22"/>
          <w:shd w:val="clear" w:color="auto" w:fill="auto"/>
        </w:rPr>
      </w:pPr>
      <w:r w:rsidRPr="005948BA">
        <w:rPr>
          <w:rFonts w:eastAsiaTheme="minorHAnsi"/>
          <w:color w:val="auto"/>
          <w:szCs w:val="22"/>
          <w:shd w:val="clear" w:color="auto" w:fill="auto"/>
        </w:rPr>
        <w:t xml:space="preserve">No matching funds are required. In-kind support for TUPE </w:t>
      </w:r>
      <w:r w:rsidR="00DB0D09">
        <w:rPr>
          <w:rFonts w:eastAsiaTheme="minorHAnsi"/>
          <w:color w:val="auto"/>
          <w:szCs w:val="22"/>
          <w:shd w:val="clear" w:color="auto" w:fill="auto"/>
        </w:rPr>
        <w:t>CBP</w:t>
      </w:r>
      <w:r w:rsidRPr="005948BA">
        <w:rPr>
          <w:rFonts w:eastAsiaTheme="minorHAnsi"/>
          <w:color w:val="auto"/>
          <w:szCs w:val="22"/>
          <w:shd w:val="clear" w:color="auto" w:fill="auto"/>
        </w:rPr>
        <w:t xml:space="preserve"> Grant </w:t>
      </w:r>
      <w:r w:rsidRPr="005948BA">
        <w:rPr>
          <w:rFonts w:eastAsiaTheme="minorHAnsi"/>
          <w:color w:val="auto"/>
          <w:shd w:val="clear" w:color="auto" w:fill="auto"/>
        </w:rPr>
        <w:t>Program</w:t>
      </w:r>
      <w:r w:rsidRPr="005948BA">
        <w:rPr>
          <w:rFonts w:eastAsiaTheme="minorHAnsi"/>
          <w:color w:val="auto"/>
          <w:szCs w:val="22"/>
          <w:shd w:val="clear" w:color="auto" w:fill="auto"/>
        </w:rPr>
        <w:t xml:space="preserve"> project costs is allowed and should be clearly identified as such in the budget if proposed.</w:t>
      </w:r>
    </w:p>
    <w:p w14:paraId="3DEFB193" w14:textId="77777777" w:rsidR="00D14755" w:rsidRPr="005948BA" w:rsidRDefault="00D14755" w:rsidP="0024561D">
      <w:pPr>
        <w:pStyle w:val="Heading4"/>
      </w:pPr>
      <w:bookmarkStart w:id="92" w:name="_Toc8915806"/>
      <w:r w:rsidRPr="005948BA">
        <w:t>Record Retention</w:t>
      </w:r>
      <w:bookmarkEnd w:id="92"/>
    </w:p>
    <w:p w14:paraId="2F7C2E64" w14:textId="77777777" w:rsidR="00D14755" w:rsidRPr="005948BA" w:rsidRDefault="00D14755" w:rsidP="005F55E0">
      <w:pPr>
        <w:spacing w:after="0"/>
        <w:ind w:left="1080"/>
        <w:rPr>
          <w:rFonts w:eastAsiaTheme="minorHAnsi"/>
          <w:color w:val="auto"/>
          <w:szCs w:val="22"/>
          <w:shd w:val="clear" w:color="auto" w:fill="auto"/>
        </w:rPr>
      </w:pPr>
      <w:r w:rsidRPr="005948BA">
        <w:rPr>
          <w:rFonts w:eastAsiaTheme="minorHAnsi"/>
          <w:color w:val="auto"/>
          <w:szCs w:val="22"/>
          <w:shd w:val="clear" w:color="auto" w:fill="auto"/>
        </w:rPr>
        <w:t xml:space="preserve">Grant recipient shall maintain accounting records and documentation of costs incurred during the grant award period and thereafter for five full years from the date of the final payment of grant funds. The CDE must be permitted to audit, review, and inspect the activities, documents, papers, and financial </w:t>
      </w:r>
      <w:r w:rsidRPr="005948BA">
        <w:rPr>
          <w:rFonts w:eastAsiaTheme="minorHAnsi"/>
          <w:color w:val="auto"/>
          <w:szCs w:val="22"/>
          <w:shd w:val="clear" w:color="auto" w:fill="auto"/>
        </w:rPr>
        <w:lastRenderedPageBreak/>
        <w:t>records during the term of the grant and for five years following final allocation of funds.</w:t>
      </w:r>
    </w:p>
    <w:p w14:paraId="4A0C91F0" w14:textId="77777777" w:rsidR="00D14755" w:rsidRPr="005948BA" w:rsidRDefault="00D14755" w:rsidP="0024561D">
      <w:pPr>
        <w:pStyle w:val="Heading4"/>
      </w:pPr>
      <w:bookmarkStart w:id="93" w:name="_Toc8915807"/>
      <w:r w:rsidRPr="005948BA">
        <w:t>Final Expenditure Report</w:t>
      </w:r>
      <w:bookmarkEnd w:id="93"/>
    </w:p>
    <w:p w14:paraId="597FF1CA" w14:textId="2184D312" w:rsidR="00671EFE" w:rsidRPr="00DB0D09" w:rsidRDefault="00D14755" w:rsidP="005F55E0">
      <w:pPr>
        <w:spacing w:after="0"/>
        <w:ind w:left="1080"/>
        <w:rPr>
          <w:rFonts w:eastAsiaTheme="minorHAnsi"/>
          <w:b/>
          <w:color w:val="auto"/>
          <w:szCs w:val="22"/>
          <w:shd w:val="clear" w:color="auto" w:fill="auto"/>
        </w:rPr>
      </w:pPr>
      <w:r w:rsidRPr="005948BA">
        <w:rPr>
          <w:rFonts w:eastAsiaTheme="minorHAnsi"/>
          <w:color w:val="auto"/>
          <w:szCs w:val="22"/>
          <w:shd w:val="clear" w:color="auto" w:fill="auto"/>
        </w:rPr>
        <w:t xml:space="preserve">Final expenditure reports must be submitted no later than </w:t>
      </w:r>
      <w:r w:rsidR="00264F62">
        <w:rPr>
          <w:rFonts w:eastAsiaTheme="minorHAnsi"/>
          <w:b/>
          <w:color w:val="auto"/>
          <w:szCs w:val="22"/>
          <w:shd w:val="clear" w:color="auto" w:fill="auto"/>
        </w:rPr>
        <w:t>August 15</w:t>
      </w:r>
      <w:r w:rsidRPr="00DB0D09">
        <w:rPr>
          <w:rFonts w:eastAsiaTheme="minorHAnsi"/>
          <w:b/>
          <w:color w:val="auto"/>
          <w:szCs w:val="22"/>
          <w:shd w:val="clear" w:color="auto" w:fill="auto"/>
        </w:rPr>
        <w:t>, 2022.</w:t>
      </w:r>
    </w:p>
    <w:p w14:paraId="57A08A28" w14:textId="5BFFDA49" w:rsidR="000E2E7F" w:rsidRPr="00616592" w:rsidRDefault="000E2E7F" w:rsidP="00E92A8E">
      <w:pPr>
        <w:spacing w:before="0" w:after="480"/>
        <w:ind w:left="1080"/>
      </w:pPr>
      <w:r w:rsidRPr="005948BA">
        <w:t xml:space="preserve">The </w:t>
      </w:r>
      <w:r w:rsidR="008D7F10">
        <w:t xml:space="preserve">proposed </w:t>
      </w:r>
      <w:r w:rsidRPr="005948BA">
        <w:t xml:space="preserve">budgets should </w:t>
      </w:r>
      <w:r w:rsidR="00C930F7" w:rsidRPr="005948BA">
        <w:t xml:space="preserve">show </w:t>
      </w:r>
      <w:r w:rsidRPr="005948BA">
        <w:t xml:space="preserve">how the grant will be used to develop, implement, and sustain the </w:t>
      </w:r>
      <w:r w:rsidR="002F2E1A" w:rsidRPr="005948BA">
        <w:t>TUPE</w:t>
      </w:r>
      <w:r w:rsidR="00EC188E" w:rsidRPr="005948BA">
        <w:t xml:space="preserve"> </w:t>
      </w:r>
      <w:r w:rsidR="008D7F10">
        <w:t>CBP</w:t>
      </w:r>
      <w:r w:rsidR="00A71FB1" w:rsidRPr="005948BA">
        <w:t xml:space="preserve"> Program</w:t>
      </w:r>
      <w:r w:rsidRPr="005948BA">
        <w:t xml:space="preserve">. </w:t>
      </w:r>
      <w:r w:rsidR="008D7F10">
        <w:t xml:space="preserve">The </w:t>
      </w:r>
      <w:r w:rsidRPr="005948BA">
        <w:t>expenditures must demonstrate appropriate use of state funds. Note that funding requested for purchases</w:t>
      </w:r>
      <w:r w:rsidR="00C930F7" w:rsidRPr="005948BA">
        <w:t xml:space="preserve"> over $5,000 in Capital Outlay</w:t>
      </w:r>
      <w:r w:rsidRPr="005948BA">
        <w:t xml:space="preserve"> requires </w:t>
      </w:r>
      <w:r w:rsidR="003B30BC" w:rsidRPr="005948BA">
        <w:t xml:space="preserve">the </w:t>
      </w:r>
      <w:r w:rsidRPr="005948BA">
        <w:t>CDE</w:t>
      </w:r>
      <w:r w:rsidR="003B30BC" w:rsidRPr="005948BA">
        <w:t>’s</w:t>
      </w:r>
      <w:r w:rsidRPr="005948BA">
        <w:t xml:space="preserve"> approval.</w:t>
      </w:r>
    </w:p>
    <w:p w14:paraId="60AE664A" w14:textId="4EDCE457" w:rsidR="00671EFE" w:rsidRPr="00EA311B" w:rsidRDefault="009A5113" w:rsidP="00E92A8E">
      <w:pPr>
        <w:pStyle w:val="Heading3"/>
        <w:spacing w:before="240"/>
        <w:rPr>
          <w:rFonts w:eastAsiaTheme="minorHAnsi"/>
        </w:rPr>
      </w:pPr>
      <w:bookmarkStart w:id="94" w:name="_Toc8915808"/>
      <w:r>
        <w:rPr>
          <w:rFonts w:eastAsiaTheme="minorHAnsi"/>
        </w:rPr>
        <w:t>Application Submission Elements</w:t>
      </w:r>
      <w:bookmarkEnd w:id="94"/>
    </w:p>
    <w:p w14:paraId="7A5545CE" w14:textId="75308014" w:rsidR="00671EFE" w:rsidRDefault="00671EFE" w:rsidP="0024561D">
      <w:pPr>
        <w:pStyle w:val="Heading4"/>
        <w:numPr>
          <w:ilvl w:val="0"/>
          <w:numId w:val="33"/>
        </w:numPr>
      </w:pPr>
      <w:bookmarkStart w:id="95" w:name="_Toc8915809"/>
      <w:r w:rsidRPr="00671EFE">
        <w:t>Intent to Submit an Application</w:t>
      </w:r>
      <w:bookmarkEnd w:id="95"/>
    </w:p>
    <w:p w14:paraId="3463E2A1" w14:textId="299DB7A6" w:rsidR="00671EFE" w:rsidRDefault="00671EFE" w:rsidP="005F55E0">
      <w:pPr>
        <w:spacing w:after="0"/>
        <w:ind w:left="1080"/>
      </w:pPr>
      <w:r>
        <w:t>Prospective applicants are require</w:t>
      </w:r>
      <w:r w:rsidR="00B3551D">
        <w:t>d to submit the ITS</w:t>
      </w:r>
      <w:r>
        <w:t xml:space="preserve"> Form</w:t>
      </w:r>
      <w:r w:rsidR="00962552">
        <w:t xml:space="preserve"> (Attachment A)</w:t>
      </w:r>
      <w:r>
        <w:t xml:space="preserve">. </w:t>
      </w:r>
      <w:r w:rsidRPr="008D7F10">
        <w:rPr>
          <w:b/>
        </w:rPr>
        <w:t>Failure to submit this completed form will result in disqualification of the application from the reading and scoring process</w:t>
      </w:r>
      <w:r w:rsidRPr="00772690">
        <w:rPr>
          <w:b/>
        </w:rPr>
        <w:t>.</w:t>
      </w:r>
      <w:r w:rsidR="00962552">
        <w:t xml:space="preserve"> Submission of the ITS F</w:t>
      </w:r>
      <w:r>
        <w:t>orm does not obligate the agency to submit an application. An email conf</w:t>
      </w:r>
      <w:r w:rsidR="00962552">
        <w:t>irmation of receipt of the ITS F</w:t>
      </w:r>
      <w:r>
        <w:t>orm will be sent to the contact person identified on the form.</w:t>
      </w:r>
    </w:p>
    <w:p w14:paraId="0761CFA2" w14:textId="1DA22E98" w:rsidR="005F55E0" w:rsidRPr="007B04BB" w:rsidRDefault="00671EFE" w:rsidP="005F55E0">
      <w:pPr>
        <w:spacing w:after="0"/>
        <w:ind w:left="1080"/>
      </w:pPr>
      <w:r>
        <w:t xml:space="preserve">The prospective applicant is </w:t>
      </w:r>
      <w:r w:rsidRPr="007B04BB">
        <w:t xml:space="preserve">responsible for ensuring that the </w:t>
      </w:r>
      <w:r w:rsidR="00962552">
        <w:t>ITS F</w:t>
      </w:r>
      <w:r w:rsidRPr="007B04BB">
        <w:t xml:space="preserve">orm is received by the CDE no later than </w:t>
      </w:r>
      <w:r w:rsidR="00A228FF">
        <w:rPr>
          <w:b/>
        </w:rPr>
        <w:t>August 6</w:t>
      </w:r>
      <w:r w:rsidR="00A71FB1" w:rsidRPr="007B04BB">
        <w:rPr>
          <w:b/>
        </w:rPr>
        <w:t xml:space="preserve">, </w:t>
      </w:r>
      <w:r w:rsidRPr="007B04BB">
        <w:rPr>
          <w:b/>
        </w:rPr>
        <w:t>2019, by 4:00 p.m.</w:t>
      </w:r>
      <w:r w:rsidRPr="007B04BB">
        <w:t xml:space="preserve"> Postmarks will not be accepted</w:t>
      </w:r>
      <w:r w:rsidR="000D79ED" w:rsidRPr="007B04BB">
        <w:t>.</w:t>
      </w:r>
      <w:r w:rsidR="00991113" w:rsidRPr="007B04BB">
        <w:t xml:space="preserve"> </w:t>
      </w:r>
      <w:bookmarkStart w:id="96" w:name="_Toc497482100"/>
      <w:bookmarkStart w:id="97" w:name="_Toc497305458"/>
    </w:p>
    <w:p w14:paraId="5C998B43" w14:textId="77777777" w:rsidR="00624EC2" w:rsidRPr="007B04BB" w:rsidRDefault="00624EC2" w:rsidP="0024561D">
      <w:pPr>
        <w:pStyle w:val="Heading4"/>
      </w:pPr>
      <w:bookmarkStart w:id="98" w:name="_Toc3789257"/>
      <w:bookmarkStart w:id="99" w:name="_Toc8915810"/>
      <w:bookmarkStart w:id="100" w:name="_Toc517183882"/>
      <w:bookmarkStart w:id="101" w:name="_Toc3534738"/>
      <w:r w:rsidRPr="007B04BB">
        <w:t>Application Technical Requirements and Disqualifications</w:t>
      </w:r>
      <w:bookmarkEnd w:id="98"/>
      <w:bookmarkEnd w:id="99"/>
    </w:p>
    <w:p w14:paraId="6E89BED2" w14:textId="71E24D77" w:rsidR="00873EAB" w:rsidRDefault="00624EC2" w:rsidP="00794827">
      <w:pPr>
        <w:pStyle w:val="ListParagraph"/>
        <w:numPr>
          <w:ilvl w:val="0"/>
          <w:numId w:val="45"/>
        </w:numPr>
        <w:spacing w:after="0"/>
        <w:rPr>
          <w:bCs/>
          <w:color w:val="auto"/>
          <w:shd w:val="clear" w:color="auto" w:fill="auto"/>
        </w:rPr>
      </w:pPr>
      <w:r w:rsidRPr="007B04BB">
        <w:rPr>
          <w:bCs/>
          <w:color w:val="auto"/>
          <w:shd w:val="clear" w:color="auto" w:fill="auto"/>
        </w:rPr>
        <w:t xml:space="preserve">An original </w:t>
      </w:r>
      <w:r w:rsidR="005B4B5A" w:rsidRPr="007B04BB">
        <w:rPr>
          <w:bCs/>
          <w:color w:val="auto"/>
          <w:shd w:val="clear" w:color="auto" w:fill="auto"/>
        </w:rPr>
        <w:t xml:space="preserve">TUPE </w:t>
      </w:r>
      <w:r w:rsidR="00873EAB" w:rsidRPr="007B04BB">
        <w:rPr>
          <w:bCs/>
          <w:color w:val="auto"/>
          <w:shd w:val="clear" w:color="auto" w:fill="auto"/>
        </w:rPr>
        <w:t>CBP</w:t>
      </w:r>
      <w:r w:rsidR="005B4B5A" w:rsidRPr="007B04BB">
        <w:rPr>
          <w:bCs/>
          <w:color w:val="auto"/>
          <w:shd w:val="clear" w:color="auto" w:fill="auto"/>
        </w:rPr>
        <w:t xml:space="preserve"> Grant</w:t>
      </w:r>
      <w:r w:rsidR="002C4B2A">
        <w:rPr>
          <w:bCs/>
          <w:color w:val="auto"/>
          <w:shd w:val="clear" w:color="auto" w:fill="auto"/>
        </w:rPr>
        <w:t xml:space="preserve"> A</w:t>
      </w:r>
      <w:r w:rsidRPr="007B04BB">
        <w:rPr>
          <w:bCs/>
          <w:color w:val="auto"/>
          <w:shd w:val="clear" w:color="auto" w:fill="auto"/>
        </w:rPr>
        <w:t>pplication</w:t>
      </w:r>
      <w:r w:rsidR="00A71FB1" w:rsidRPr="007B04BB">
        <w:rPr>
          <w:bCs/>
          <w:color w:val="auto"/>
          <w:shd w:val="clear" w:color="auto" w:fill="auto"/>
        </w:rPr>
        <w:t>,</w:t>
      </w:r>
      <w:r w:rsidRPr="007B04BB">
        <w:rPr>
          <w:bCs/>
          <w:color w:val="auto"/>
          <w:shd w:val="clear" w:color="auto" w:fill="auto"/>
        </w:rPr>
        <w:t xml:space="preserve"> </w:t>
      </w:r>
      <w:r w:rsidRPr="007B04BB">
        <w:rPr>
          <w:b/>
          <w:bCs/>
          <w:color w:val="auto"/>
          <w:shd w:val="clear" w:color="auto" w:fill="auto"/>
        </w:rPr>
        <w:t>two copies</w:t>
      </w:r>
      <w:r w:rsidR="00A71FB1" w:rsidRPr="007B04BB">
        <w:rPr>
          <w:bCs/>
          <w:color w:val="auto"/>
          <w:shd w:val="clear" w:color="auto" w:fill="auto"/>
        </w:rPr>
        <w:t xml:space="preserve">, and a USB drive with electronic files for application </w:t>
      </w:r>
      <w:r w:rsidR="00CC2ABD" w:rsidRPr="007B04BB">
        <w:rPr>
          <w:bCs/>
          <w:color w:val="auto"/>
          <w:shd w:val="clear" w:color="auto" w:fill="auto"/>
        </w:rPr>
        <w:t>narrative</w:t>
      </w:r>
      <w:r w:rsidR="00A71FB1" w:rsidRPr="007B04BB">
        <w:rPr>
          <w:bCs/>
          <w:color w:val="auto"/>
          <w:shd w:val="clear" w:color="auto" w:fill="auto"/>
        </w:rPr>
        <w:t>,</w:t>
      </w:r>
      <w:r w:rsidRPr="007B04BB">
        <w:rPr>
          <w:bCs/>
          <w:color w:val="auto"/>
          <w:shd w:val="clear" w:color="auto" w:fill="auto"/>
        </w:rPr>
        <w:t xml:space="preserve"> must be received by the CDE </w:t>
      </w:r>
      <w:r w:rsidRPr="007B04BB">
        <w:rPr>
          <w:b/>
          <w:bCs/>
          <w:color w:val="auto"/>
          <w:shd w:val="clear" w:color="auto" w:fill="auto"/>
        </w:rPr>
        <w:t xml:space="preserve">no later than 4:00 p.m. on </w:t>
      </w:r>
      <w:r w:rsidR="00A228FF">
        <w:rPr>
          <w:b/>
          <w:bCs/>
          <w:color w:val="auto"/>
          <w:shd w:val="clear" w:color="auto" w:fill="auto"/>
        </w:rPr>
        <w:t>August 30</w:t>
      </w:r>
      <w:r w:rsidRPr="007B04BB">
        <w:rPr>
          <w:b/>
          <w:bCs/>
          <w:color w:val="auto"/>
          <w:shd w:val="clear" w:color="auto" w:fill="auto"/>
        </w:rPr>
        <w:t xml:space="preserve">, 2019. Postmarks will not be accepted. </w:t>
      </w:r>
      <w:r w:rsidRPr="007B04BB">
        <w:rPr>
          <w:bCs/>
          <w:color w:val="auto"/>
          <w:shd w:val="clear" w:color="auto" w:fill="auto"/>
        </w:rPr>
        <w:t>Late submissions, faxed, or emailed applications, and</w:t>
      </w:r>
      <w:r w:rsidRPr="00873EAB">
        <w:rPr>
          <w:bCs/>
          <w:color w:val="auto"/>
          <w:shd w:val="clear" w:color="auto" w:fill="auto"/>
        </w:rPr>
        <w:t xml:space="preserve"> those without the requested number of copies </w:t>
      </w:r>
      <w:r w:rsidRPr="00873EAB">
        <w:rPr>
          <w:b/>
          <w:bCs/>
          <w:color w:val="auto"/>
          <w:shd w:val="clear" w:color="auto" w:fill="auto"/>
        </w:rPr>
        <w:t>will be disqualified</w:t>
      </w:r>
      <w:r w:rsidRPr="00C75731">
        <w:rPr>
          <w:b/>
          <w:bCs/>
          <w:color w:val="auto"/>
          <w:shd w:val="clear" w:color="auto" w:fill="auto"/>
        </w:rPr>
        <w:t>.</w:t>
      </w:r>
    </w:p>
    <w:p w14:paraId="21E779A8" w14:textId="718764BF" w:rsidR="00624EC2" w:rsidRPr="00624EC2" w:rsidRDefault="00624EC2" w:rsidP="0024561D">
      <w:pPr>
        <w:ind w:left="1080" w:firstLine="720"/>
        <w:rPr>
          <w:bCs/>
          <w:color w:val="auto"/>
          <w:shd w:val="clear" w:color="auto" w:fill="auto"/>
        </w:rPr>
      </w:pPr>
      <w:r w:rsidRPr="00624EC2">
        <w:rPr>
          <w:bCs/>
          <w:color w:val="auto"/>
          <w:shd w:val="clear" w:color="auto" w:fill="auto"/>
        </w:rPr>
        <w:t>Mail or hand deliver application</w:t>
      </w:r>
      <w:r w:rsidR="00A71FB1">
        <w:rPr>
          <w:bCs/>
          <w:color w:val="auto"/>
          <w:shd w:val="clear" w:color="auto" w:fill="auto"/>
        </w:rPr>
        <w:t xml:space="preserve"> packet</w:t>
      </w:r>
      <w:r w:rsidRPr="00624EC2">
        <w:rPr>
          <w:bCs/>
          <w:color w:val="auto"/>
          <w:shd w:val="clear" w:color="auto" w:fill="auto"/>
        </w:rPr>
        <w:t>s to:</w:t>
      </w:r>
    </w:p>
    <w:p w14:paraId="4832D642" w14:textId="4970AD2A" w:rsidR="00624EC2" w:rsidRPr="00624EC2" w:rsidRDefault="005B4B5A" w:rsidP="00624EC2">
      <w:pPr>
        <w:autoSpaceDE w:val="0"/>
        <w:autoSpaceDN w:val="0"/>
        <w:spacing w:before="0" w:after="0"/>
        <w:jc w:val="center"/>
        <w:rPr>
          <w:bCs/>
          <w:color w:val="auto"/>
          <w:shd w:val="clear" w:color="auto" w:fill="auto"/>
        </w:rPr>
      </w:pPr>
      <w:r>
        <w:rPr>
          <w:bCs/>
          <w:color w:val="auto"/>
          <w:shd w:val="clear" w:color="auto" w:fill="auto"/>
        </w:rPr>
        <w:t>TUPE Capacity Building Grant</w:t>
      </w:r>
      <w:r w:rsidR="00624EC2" w:rsidRPr="00624EC2">
        <w:rPr>
          <w:bCs/>
          <w:shd w:val="clear" w:color="auto" w:fill="auto"/>
        </w:rPr>
        <w:t xml:space="preserve"> Application</w:t>
      </w:r>
    </w:p>
    <w:p w14:paraId="53861B3C" w14:textId="77777777" w:rsidR="00E05C7F" w:rsidRDefault="00624EC2" w:rsidP="00624EC2">
      <w:pPr>
        <w:autoSpaceDE w:val="0"/>
        <w:autoSpaceDN w:val="0"/>
        <w:spacing w:before="0" w:after="0"/>
        <w:jc w:val="center"/>
        <w:rPr>
          <w:bCs/>
          <w:shd w:val="clear" w:color="auto" w:fill="auto"/>
        </w:rPr>
      </w:pPr>
      <w:r w:rsidRPr="00624EC2">
        <w:rPr>
          <w:bCs/>
          <w:shd w:val="clear" w:color="auto" w:fill="auto"/>
        </w:rPr>
        <w:t xml:space="preserve">Educator </w:t>
      </w:r>
      <w:r w:rsidR="00E05C7F">
        <w:rPr>
          <w:bCs/>
          <w:shd w:val="clear" w:color="auto" w:fill="auto"/>
        </w:rPr>
        <w:t>Excellence and Equity Division</w:t>
      </w:r>
    </w:p>
    <w:p w14:paraId="61526C9A" w14:textId="496964FF" w:rsidR="00624EC2" w:rsidRPr="00624EC2" w:rsidRDefault="00624EC2" w:rsidP="00624EC2">
      <w:pPr>
        <w:autoSpaceDE w:val="0"/>
        <w:autoSpaceDN w:val="0"/>
        <w:spacing w:before="0" w:after="0"/>
        <w:jc w:val="center"/>
        <w:rPr>
          <w:bCs/>
          <w:shd w:val="clear" w:color="auto" w:fill="auto"/>
        </w:rPr>
      </w:pPr>
      <w:r w:rsidRPr="00624EC2">
        <w:rPr>
          <w:bCs/>
          <w:shd w:val="clear" w:color="auto" w:fill="auto"/>
        </w:rPr>
        <w:t>T</w:t>
      </w:r>
      <w:r w:rsidR="00E05C7F">
        <w:rPr>
          <w:bCs/>
          <w:shd w:val="clear" w:color="auto" w:fill="auto"/>
        </w:rPr>
        <w:t>obacco-</w:t>
      </w:r>
      <w:r w:rsidRPr="00624EC2">
        <w:rPr>
          <w:bCs/>
          <w:shd w:val="clear" w:color="auto" w:fill="auto"/>
        </w:rPr>
        <w:t>U</w:t>
      </w:r>
      <w:r w:rsidR="00E05C7F">
        <w:rPr>
          <w:bCs/>
          <w:shd w:val="clear" w:color="auto" w:fill="auto"/>
        </w:rPr>
        <w:t xml:space="preserve">se </w:t>
      </w:r>
      <w:r w:rsidRPr="00624EC2">
        <w:rPr>
          <w:bCs/>
          <w:shd w:val="clear" w:color="auto" w:fill="auto"/>
        </w:rPr>
        <w:t>P</w:t>
      </w:r>
      <w:r w:rsidR="00E05C7F">
        <w:rPr>
          <w:bCs/>
          <w:shd w:val="clear" w:color="auto" w:fill="auto"/>
        </w:rPr>
        <w:t xml:space="preserve">revention </w:t>
      </w:r>
      <w:r w:rsidRPr="00624EC2">
        <w:rPr>
          <w:bCs/>
          <w:shd w:val="clear" w:color="auto" w:fill="auto"/>
        </w:rPr>
        <w:t>E</w:t>
      </w:r>
      <w:r w:rsidR="00E05C7F">
        <w:rPr>
          <w:bCs/>
          <w:shd w:val="clear" w:color="auto" w:fill="auto"/>
        </w:rPr>
        <w:t>ducation</w:t>
      </w:r>
      <w:r w:rsidRPr="00624EC2">
        <w:rPr>
          <w:bCs/>
          <w:shd w:val="clear" w:color="auto" w:fill="auto"/>
        </w:rPr>
        <w:t xml:space="preserve"> Office</w:t>
      </w:r>
    </w:p>
    <w:p w14:paraId="321D4CDA" w14:textId="77777777" w:rsidR="00624EC2" w:rsidRPr="00624EC2" w:rsidRDefault="00624EC2" w:rsidP="00624EC2">
      <w:pPr>
        <w:autoSpaceDE w:val="0"/>
        <w:autoSpaceDN w:val="0"/>
        <w:spacing w:before="0" w:after="0"/>
        <w:jc w:val="center"/>
        <w:rPr>
          <w:bCs/>
          <w:shd w:val="clear" w:color="auto" w:fill="auto"/>
        </w:rPr>
      </w:pPr>
      <w:r w:rsidRPr="00624EC2">
        <w:rPr>
          <w:bCs/>
          <w:shd w:val="clear" w:color="auto" w:fill="auto"/>
        </w:rPr>
        <w:t>California Department of Education</w:t>
      </w:r>
    </w:p>
    <w:p w14:paraId="291A192B" w14:textId="77777777" w:rsidR="00624EC2" w:rsidRPr="00624EC2" w:rsidRDefault="00624EC2" w:rsidP="00624EC2">
      <w:pPr>
        <w:autoSpaceDE w:val="0"/>
        <w:autoSpaceDN w:val="0"/>
        <w:adjustRightInd w:val="0"/>
        <w:spacing w:before="0" w:after="0"/>
        <w:jc w:val="center"/>
        <w:rPr>
          <w:bCs/>
          <w:color w:val="auto"/>
          <w:shd w:val="clear" w:color="auto" w:fill="auto"/>
        </w:rPr>
      </w:pPr>
      <w:r w:rsidRPr="00624EC2">
        <w:rPr>
          <w:bCs/>
          <w:color w:val="auto"/>
          <w:shd w:val="clear" w:color="auto" w:fill="auto"/>
        </w:rPr>
        <w:t>1430 N Street, Suite 6408</w:t>
      </w:r>
    </w:p>
    <w:p w14:paraId="69445585" w14:textId="77777777" w:rsidR="00624EC2" w:rsidRPr="00624EC2" w:rsidRDefault="00624EC2" w:rsidP="00624EC2">
      <w:pPr>
        <w:spacing w:before="0"/>
        <w:jc w:val="center"/>
        <w:rPr>
          <w:bCs/>
          <w:color w:val="auto"/>
          <w:shd w:val="clear" w:color="auto" w:fill="auto"/>
        </w:rPr>
      </w:pPr>
      <w:r w:rsidRPr="00624EC2">
        <w:rPr>
          <w:bCs/>
          <w:color w:val="auto"/>
          <w:shd w:val="clear" w:color="auto" w:fill="auto"/>
        </w:rPr>
        <w:t>Sacramento, CA 95814-5901</w:t>
      </w:r>
    </w:p>
    <w:p w14:paraId="7D91B36B" w14:textId="5F7756BA" w:rsidR="00624EC2" w:rsidRPr="00596A84" w:rsidRDefault="00624EC2" w:rsidP="00EC2785">
      <w:pPr>
        <w:pStyle w:val="ListParagraph"/>
        <w:numPr>
          <w:ilvl w:val="0"/>
          <w:numId w:val="45"/>
        </w:numPr>
        <w:spacing w:before="0" w:after="0"/>
        <w:rPr>
          <w:bCs/>
          <w:color w:val="auto"/>
          <w:shd w:val="clear" w:color="auto" w:fill="auto"/>
        </w:rPr>
      </w:pPr>
      <w:r w:rsidRPr="00EC2785">
        <w:rPr>
          <w:bCs/>
          <w:color w:val="auto"/>
          <w:shd w:val="clear" w:color="auto" w:fill="auto"/>
        </w:rPr>
        <w:t xml:space="preserve">The </w:t>
      </w:r>
      <w:r w:rsidRPr="00596A84">
        <w:rPr>
          <w:bCs/>
          <w:color w:val="auto"/>
          <w:shd w:val="clear" w:color="auto" w:fill="auto"/>
        </w:rPr>
        <w:t xml:space="preserve">original Application Cover Page Form (Attachment B) shall include all original wet signatures </w:t>
      </w:r>
      <w:r w:rsidRPr="00596A84">
        <w:rPr>
          <w:color w:val="auto"/>
          <w:shd w:val="clear" w:color="auto" w:fill="auto"/>
        </w:rPr>
        <w:t xml:space="preserve">in </w:t>
      </w:r>
      <w:r w:rsidRPr="00596A84">
        <w:rPr>
          <w:shd w:val="clear" w:color="auto" w:fill="auto"/>
        </w:rPr>
        <w:t>blue ink</w:t>
      </w:r>
      <w:r w:rsidRPr="00596A84">
        <w:rPr>
          <w:bCs/>
          <w:color w:val="0000FF"/>
          <w:shd w:val="clear" w:color="auto" w:fill="auto"/>
        </w:rPr>
        <w:t>.</w:t>
      </w:r>
      <w:r w:rsidRPr="00596A84">
        <w:rPr>
          <w:bCs/>
          <w:color w:val="auto"/>
          <w:shd w:val="clear" w:color="auto" w:fill="auto"/>
        </w:rPr>
        <w:t xml:space="preserve"> Applications that do not have </w:t>
      </w:r>
      <w:r w:rsidRPr="00596A84">
        <w:rPr>
          <w:bCs/>
          <w:color w:val="auto"/>
          <w:shd w:val="clear" w:color="auto" w:fill="auto"/>
        </w:rPr>
        <w:lastRenderedPageBreak/>
        <w:t xml:space="preserve">original signatures from the Superintendent or Designee using blue ink will be disqualified. </w:t>
      </w:r>
    </w:p>
    <w:p w14:paraId="4B2D3387" w14:textId="77777777" w:rsidR="008D78ED" w:rsidRDefault="00624EC2" w:rsidP="00EC2785">
      <w:pPr>
        <w:spacing w:after="0"/>
        <w:ind w:left="1800"/>
        <w:rPr>
          <w:b/>
          <w:bCs/>
          <w:color w:val="auto"/>
          <w:shd w:val="clear" w:color="auto" w:fill="auto"/>
        </w:rPr>
      </w:pPr>
      <w:r w:rsidRPr="00596A84">
        <w:rPr>
          <w:bCs/>
          <w:iCs/>
          <w:color w:val="auto"/>
          <w:shd w:val="clear" w:color="auto" w:fill="auto"/>
        </w:rPr>
        <w:t xml:space="preserve">A Designee may provide the authorized signature </w:t>
      </w:r>
      <w:r w:rsidR="002C1310">
        <w:rPr>
          <w:bCs/>
          <w:iCs/>
          <w:color w:val="auto"/>
          <w:shd w:val="clear" w:color="auto" w:fill="auto"/>
        </w:rPr>
        <w:t xml:space="preserve">on the Authorized Designee Form </w:t>
      </w:r>
      <w:r w:rsidR="002C1310" w:rsidRPr="00596A84">
        <w:rPr>
          <w:bCs/>
          <w:color w:val="auto"/>
          <w:shd w:val="clear" w:color="auto" w:fill="auto"/>
        </w:rPr>
        <w:t>(Attachment C)</w:t>
      </w:r>
      <w:r w:rsidR="002C1310">
        <w:rPr>
          <w:bCs/>
          <w:color w:val="auto"/>
          <w:shd w:val="clear" w:color="auto" w:fill="auto"/>
        </w:rPr>
        <w:t xml:space="preserve"> </w:t>
      </w:r>
      <w:r w:rsidRPr="00596A84">
        <w:rPr>
          <w:bCs/>
          <w:iCs/>
          <w:color w:val="auto"/>
          <w:shd w:val="clear" w:color="auto" w:fill="auto"/>
        </w:rPr>
        <w:t xml:space="preserve">as long as a copy of a recent governing board resolution or minutes, specifically authorizing the Designee to accept and sign </w:t>
      </w:r>
      <w:r w:rsidRPr="00596A84">
        <w:rPr>
          <w:bCs/>
          <w:color w:val="auto"/>
          <w:shd w:val="clear" w:color="auto" w:fill="auto"/>
        </w:rPr>
        <w:t xml:space="preserve">as a proxy for financial statements and legally binding documents, is included with the application materials. In the absence of an authorized signature, the applicant </w:t>
      </w:r>
      <w:r w:rsidRPr="00810163">
        <w:rPr>
          <w:b/>
          <w:bCs/>
          <w:color w:val="auto"/>
          <w:shd w:val="clear" w:color="auto" w:fill="auto"/>
        </w:rPr>
        <w:t>will be disqualified</w:t>
      </w:r>
      <w:r w:rsidRPr="004C2059">
        <w:rPr>
          <w:b/>
          <w:bCs/>
          <w:color w:val="auto"/>
          <w:shd w:val="clear" w:color="auto" w:fill="auto"/>
        </w:rPr>
        <w:t>.</w:t>
      </w:r>
    </w:p>
    <w:p w14:paraId="779B905F" w14:textId="54FBE4E5" w:rsidR="00624EC2" w:rsidRPr="0024561D" w:rsidRDefault="00624EC2" w:rsidP="0024561D">
      <w:pPr>
        <w:pStyle w:val="ListParagraph"/>
        <w:numPr>
          <w:ilvl w:val="0"/>
          <w:numId w:val="45"/>
        </w:numPr>
        <w:rPr>
          <w:shd w:val="clear" w:color="auto" w:fill="auto"/>
        </w:rPr>
      </w:pPr>
      <w:r w:rsidRPr="0024561D">
        <w:rPr>
          <w:shd w:val="clear" w:color="auto" w:fill="auto"/>
        </w:rPr>
        <w:t>Application Narrative</w:t>
      </w:r>
    </w:p>
    <w:p w14:paraId="25FE9508" w14:textId="11C2BCAE" w:rsidR="00624EC2" w:rsidRPr="00CC77AC" w:rsidRDefault="00624EC2" w:rsidP="00CC77AC">
      <w:pPr>
        <w:pStyle w:val="ListParagraph"/>
        <w:numPr>
          <w:ilvl w:val="0"/>
          <w:numId w:val="47"/>
        </w:numPr>
        <w:spacing w:after="0"/>
        <w:rPr>
          <w:bCs/>
          <w:color w:val="auto"/>
          <w:shd w:val="clear" w:color="auto" w:fill="auto"/>
        </w:rPr>
      </w:pPr>
      <w:r w:rsidRPr="00CC77AC">
        <w:rPr>
          <w:bCs/>
          <w:color w:val="auto"/>
          <w:shd w:val="clear" w:color="auto" w:fill="auto"/>
        </w:rPr>
        <w:t xml:space="preserve">Must be in 12-point Arial font, single-spaced, normal character spacing, with one-inch minimum margins. Tables or boxes used to present narrative information in text form must be in 12-point Arial font. Applicants may only use a smaller Arial font when inserting pie charts or graphs to present technical information not of a narrative nature. </w:t>
      </w:r>
      <w:r w:rsidR="00D364E1">
        <w:rPr>
          <w:bCs/>
          <w:color w:val="auto"/>
          <w:shd w:val="clear" w:color="auto" w:fill="auto"/>
        </w:rPr>
        <w:t xml:space="preserve">The </w:t>
      </w:r>
      <w:r w:rsidRPr="00CC77AC">
        <w:rPr>
          <w:bCs/>
          <w:color w:val="auto"/>
          <w:shd w:val="clear" w:color="auto" w:fill="auto"/>
        </w:rPr>
        <w:t>CDE will screen applications to ensure compliance with these requirements. If smaller font sizes or margins are used in the application, CDE staff shall compute the number of excess characters added to the application as a result, and will draw a red line through the extra characters. Application readers will not be allowed to review the red-line characters in the application.</w:t>
      </w:r>
    </w:p>
    <w:p w14:paraId="32A82BF3" w14:textId="58AADF64" w:rsidR="005F55E0" w:rsidRPr="00CC77AC" w:rsidRDefault="00624EC2" w:rsidP="00CC77AC">
      <w:pPr>
        <w:pStyle w:val="ListParagraph"/>
        <w:numPr>
          <w:ilvl w:val="0"/>
          <w:numId w:val="47"/>
        </w:numPr>
        <w:spacing w:after="0"/>
        <w:rPr>
          <w:bCs/>
          <w:color w:val="auto"/>
          <w:shd w:val="clear" w:color="auto" w:fill="auto"/>
        </w:rPr>
      </w:pPr>
      <w:r w:rsidRPr="00CC77AC">
        <w:rPr>
          <w:bCs/>
          <w:color w:val="auto"/>
          <w:shd w:val="clear" w:color="auto" w:fill="auto"/>
        </w:rPr>
        <w:t xml:space="preserve">Must be submitted on single-sided standard white, 8½- by 11-inch paper. The narrative section shall not exceed a total of </w:t>
      </w:r>
      <w:r w:rsidR="001A3615" w:rsidRPr="00CC77AC">
        <w:rPr>
          <w:bCs/>
          <w:color w:val="auto"/>
          <w:shd w:val="clear" w:color="auto" w:fill="auto"/>
        </w:rPr>
        <w:t>six</w:t>
      </w:r>
      <w:r w:rsidRPr="00CC77AC">
        <w:rPr>
          <w:bCs/>
          <w:color w:val="auto"/>
          <w:shd w:val="clear" w:color="auto" w:fill="auto"/>
        </w:rPr>
        <w:t xml:space="preserve"> pages. If the narrative section exceeds the maximum allowed pages, the CDE will draw a red line through the extra pages and will not allow application readers to review those pages.</w:t>
      </w:r>
    </w:p>
    <w:p w14:paraId="78AACD29" w14:textId="5B8C1747" w:rsidR="00624EC2" w:rsidRPr="00CC77AC" w:rsidRDefault="00624EC2" w:rsidP="00CC77AC">
      <w:pPr>
        <w:pStyle w:val="ListParagraph"/>
        <w:numPr>
          <w:ilvl w:val="0"/>
          <w:numId w:val="47"/>
        </w:numPr>
        <w:spacing w:after="0"/>
        <w:rPr>
          <w:bCs/>
          <w:color w:val="auto"/>
          <w:shd w:val="clear" w:color="auto" w:fill="auto"/>
        </w:rPr>
      </w:pPr>
      <w:r w:rsidRPr="008A36FA">
        <w:rPr>
          <w:bCs/>
          <w:color w:val="auto"/>
          <w:shd w:val="clear" w:color="auto" w:fill="auto"/>
        </w:rPr>
        <w:t>Application packets</w:t>
      </w:r>
      <w:r w:rsidRPr="00CC77AC">
        <w:rPr>
          <w:bCs/>
          <w:color w:val="auto"/>
          <w:shd w:val="clear" w:color="auto" w:fill="auto"/>
        </w:rPr>
        <w:t xml:space="preserve"> must be stapled or clipped together for submission and in the order identified on the Application Checklist (</w:t>
      </w:r>
      <w:r w:rsidRPr="003B54BE">
        <w:rPr>
          <w:bCs/>
          <w:color w:val="auto"/>
          <w:shd w:val="clear" w:color="auto" w:fill="auto"/>
        </w:rPr>
        <w:t>Section IX). Do</w:t>
      </w:r>
      <w:r w:rsidRPr="00CC77AC">
        <w:rPr>
          <w:bCs/>
          <w:color w:val="auto"/>
          <w:shd w:val="clear" w:color="auto" w:fill="auto"/>
        </w:rPr>
        <w:t xml:space="preserve"> not use binders, covers, flat folders, or sleeves. Do not include section separators or blank pages.</w:t>
      </w:r>
    </w:p>
    <w:p w14:paraId="06582FA6" w14:textId="77777777" w:rsidR="00624EC2" w:rsidRDefault="00624EC2" w:rsidP="008A36FA">
      <w:pPr>
        <w:pStyle w:val="NoSpacing"/>
        <w:spacing w:before="240"/>
        <w:ind w:left="1440"/>
      </w:pPr>
      <w:r w:rsidRPr="00450234">
        <w:rPr>
          <w:b/>
        </w:rPr>
        <w:t>Note:</w:t>
      </w:r>
      <w:r w:rsidRPr="008A36FA">
        <w:t xml:space="preserve"> Submission</w:t>
      </w:r>
      <w:r w:rsidRPr="00624EC2">
        <w:t xml:space="preserve"> of an application packet constitutes consent to a release of information and waiver of the applicant’s right to privacy with regard to information provided in response to this RFA. Ideas and format contained in the application will become the property of the CDE.</w:t>
      </w:r>
    </w:p>
    <w:p w14:paraId="59AA98D8" w14:textId="77777777" w:rsidR="005A02D7" w:rsidRPr="005948BA" w:rsidRDefault="005A02D7" w:rsidP="0024561D">
      <w:pPr>
        <w:pStyle w:val="Heading4"/>
      </w:pPr>
      <w:bookmarkStart w:id="102" w:name="_Toc8915811"/>
      <w:bookmarkStart w:id="103" w:name="_Toc3789258"/>
      <w:bookmarkStart w:id="104" w:name="_Toc530553121"/>
      <w:r w:rsidRPr="005948BA">
        <w:t>Project Budget</w:t>
      </w:r>
      <w:bookmarkEnd w:id="102"/>
    </w:p>
    <w:p w14:paraId="00B68F7B" w14:textId="76CD08CB" w:rsidR="005A02D7" w:rsidRPr="005948BA" w:rsidRDefault="005A02D7" w:rsidP="005A10FF">
      <w:pPr>
        <w:ind w:left="1080"/>
        <w:rPr>
          <w:color w:val="auto"/>
          <w:shd w:val="clear" w:color="auto" w:fill="auto"/>
        </w:rPr>
      </w:pPr>
      <w:r w:rsidRPr="005948BA">
        <w:rPr>
          <w:color w:val="auto"/>
          <w:shd w:val="clear" w:color="auto" w:fill="auto"/>
        </w:rPr>
        <w:t xml:space="preserve">The budget section should provide a summary of costs as well as a justification for each item listed in the TUPE Program </w:t>
      </w:r>
      <w:r w:rsidR="00FE7820">
        <w:rPr>
          <w:color w:val="auto"/>
          <w:shd w:val="clear" w:color="auto" w:fill="auto"/>
        </w:rPr>
        <w:t>CBP</w:t>
      </w:r>
      <w:r w:rsidRPr="005948BA">
        <w:rPr>
          <w:color w:val="auto"/>
          <w:shd w:val="clear" w:color="auto" w:fill="auto"/>
        </w:rPr>
        <w:t xml:space="preserve"> grant application. The proposed budget</w:t>
      </w:r>
      <w:r w:rsidR="00945E18">
        <w:rPr>
          <w:color w:val="auto"/>
          <w:shd w:val="clear" w:color="auto" w:fill="auto"/>
        </w:rPr>
        <w:t xml:space="preserve"> should not exceed $5.5</w:t>
      </w:r>
      <w:r w:rsidR="00FE7820">
        <w:rPr>
          <w:color w:val="auto"/>
          <w:shd w:val="clear" w:color="auto" w:fill="auto"/>
        </w:rPr>
        <w:t xml:space="preserve"> million</w:t>
      </w:r>
      <w:r w:rsidRPr="005948BA">
        <w:rPr>
          <w:color w:val="auto"/>
          <w:shd w:val="clear" w:color="auto" w:fill="auto"/>
        </w:rPr>
        <w:t xml:space="preserve"> for </w:t>
      </w:r>
      <w:r w:rsidR="00945E18">
        <w:rPr>
          <w:color w:val="auto"/>
          <w:shd w:val="clear" w:color="auto" w:fill="auto"/>
        </w:rPr>
        <w:t xml:space="preserve">the </w:t>
      </w:r>
      <w:r w:rsidR="00873940">
        <w:rPr>
          <w:color w:val="auto"/>
          <w:shd w:val="clear" w:color="auto" w:fill="auto"/>
        </w:rPr>
        <w:t>33</w:t>
      </w:r>
      <w:r w:rsidR="00570E8A">
        <w:rPr>
          <w:color w:val="auto"/>
          <w:shd w:val="clear" w:color="auto" w:fill="auto"/>
        </w:rPr>
        <w:t xml:space="preserve"> month</w:t>
      </w:r>
      <w:r w:rsidRPr="005948BA">
        <w:rPr>
          <w:color w:val="auto"/>
          <w:shd w:val="clear" w:color="auto" w:fill="auto"/>
        </w:rPr>
        <w:t xml:space="preserve"> grant </w:t>
      </w:r>
      <w:r w:rsidRPr="005948BA">
        <w:rPr>
          <w:color w:val="auto"/>
          <w:shd w:val="clear" w:color="auto" w:fill="auto"/>
        </w:rPr>
        <w:lastRenderedPageBreak/>
        <w:t xml:space="preserve">period beginning </w:t>
      </w:r>
      <w:r w:rsidR="00A5613A">
        <w:rPr>
          <w:color w:val="auto"/>
          <w:shd w:val="clear" w:color="auto" w:fill="auto"/>
        </w:rPr>
        <w:t>October 1</w:t>
      </w:r>
      <w:r w:rsidRPr="005948BA">
        <w:rPr>
          <w:color w:val="auto"/>
          <w:shd w:val="clear" w:color="auto" w:fill="auto"/>
        </w:rPr>
        <w:t>, 2019</w:t>
      </w:r>
      <w:r w:rsidR="00FE7820">
        <w:rPr>
          <w:color w:val="auto"/>
          <w:shd w:val="clear" w:color="auto" w:fill="auto"/>
        </w:rPr>
        <w:t>,</w:t>
      </w:r>
      <w:r w:rsidRPr="005948BA">
        <w:rPr>
          <w:color w:val="auto"/>
          <w:shd w:val="clear" w:color="auto" w:fill="auto"/>
        </w:rPr>
        <w:t xml:space="preserve"> through </w:t>
      </w:r>
      <w:r w:rsidR="00BC10BA">
        <w:rPr>
          <w:color w:val="auto"/>
          <w:shd w:val="clear" w:color="auto" w:fill="auto"/>
        </w:rPr>
        <w:t>June 30, 2022</w:t>
      </w:r>
      <w:r w:rsidRPr="005948BA">
        <w:rPr>
          <w:color w:val="auto"/>
          <w:shd w:val="clear" w:color="auto" w:fill="auto"/>
        </w:rPr>
        <w:t xml:space="preserve">. The CDE will review the proposed budget items for clarity, reasonableness, and purpose. Each item must delineate the intended purchase or service, and directly correlate with the proposed project. </w:t>
      </w:r>
      <w:r w:rsidRPr="005948BA">
        <w:rPr>
          <w:bCs/>
          <w:color w:val="auto"/>
          <w:shd w:val="clear" w:color="auto" w:fill="auto"/>
        </w:rPr>
        <w:t xml:space="preserve">Each budget item must provide a justification, along with the unit cost of the item or service. </w:t>
      </w:r>
      <w:r w:rsidRPr="005948BA">
        <w:rPr>
          <w:color w:val="auto"/>
          <w:shd w:val="clear" w:color="auto" w:fill="auto"/>
        </w:rPr>
        <w:t>Prior to funding, the CDE will screen for non-allowable costs and may reduce the requested amount in the application.</w:t>
      </w:r>
    </w:p>
    <w:p w14:paraId="76AB2292" w14:textId="288FA443" w:rsidR="005A02D7" w:rsidRPr="005948BA" w:rsidRDefault="005A02D7" w:rsidP="005A10FF">
      <w:pPr>
        <w:spacing w:before="0"/>
        <w:ind w:left="1080"/>
        <w:rPr>
          <w:color w:val="auto"/>
          <w:shd w:val="clear" w:color="auto" w:fill="auto"/>
        </w:rPr>
      </w:pPr>
      <w:r w:rsidRPr="005948BA">
        <w:rPr>
          <w:color w:val="auto"/>
          <w:shd w:val="clear" w:color="auto" w:fill="auto"/>
        </w:rPr>
        <w:t>There are two required sections of the project budget: the Budget Summary and the Budget Justification. Neither the Bu</w:t>
      </w:r>
      <w:r w:rsidRPr="005948BA">
        <w:rPr>
          <w:shd w:val="clear" w:color="auto" w:fill="auto"/>
        </w:rPr>
        <w:t xml:space="preserve">dget Summary nor the Budget Justification pages count toward the page limitations for the project narrative. </w:t>
      </w:r>
      <w:r w:rsidRPr="005948BA">
        <w:rPr>
          <w:bCs/>
          <w:shd w:val="clear" w:color="auto" w:fill="auto"/>
        </w:rPr>
        <w:t xml:space="preserve">Applicants should refer to the </w:t>
      </w:r>
      <w:r w:rsidRPr="005948BA">
        <w:rPr>
          <w:b/>
          <w:bCs/>
          <w:color w:val="auto"/>
          <w:shd w:val="clear" w:color="auto" w:fill="auto"/>
        </w:rPr>
        <w:t>Budget Summary Template (Attachment</w:t>
      </w:r>
      <w:r w:rsidR="0075419B">
        <w:rPr>
          <w:b/>
          <w:bCs/>
          <w:color w:val="auto"/>
          <w:shd w:val="clear" w:color="auto" w:fill="auto"/>
        </w:rPr>
        <w:t xml:space="preserve"> D</w:t>
      </w:r>
      <w:r w:rsidRPr="005948BA">
        <w:rPr>
          <w:b/>
          <w:bCs/>
          <w:color w:val="auto"/>
          <w:shd w:val="clear" w:color="auto" w:fill="auto"/>
        </w:rPr>
        <w:t>) and Budget Justification Template (Attachment</w:t>
      </w:r>
      <w:r w:rsidR="0075419B">
        <w:rPr>
          <w:b/>
          <w:bCs/>
          <w:color w:val="auto"/>
          <w:shd w:val="clear" w:color="auto" w:fill="auto"/>
        </w:rPr>
        <w:t xml:space="preserve"> E</w:t>
      </w:r>
      <w:r w:rsidRPr="005948BA">
        <w:rPr>
          <w:b/>
          <w:bCs/>
          <w:color w:val="auto"/>
          <w:shd w:val="clear" w:color="auto" w:fill="auto"/>
        </w:rPr>
        <w:t>)</w:t>
      </w:r>
      <w:r w:rsidRPr="005948BA">
        <w:rPr>
          <w:bCs/>
          <w:shd w:val="clear" w:color="auto" w:fill="auto"/>
        </w:rPr>
        <w:t xml:space="preserve"> for more information when </w:t>
      </w:r>
      <w:r w:rsidRPr="005948BA">
        <w:rPr>
          <w:color w:val="auto"/>
          <w:shd w:val="clear" w:color="auto" w:fill="auto"/>
        </w:rPr>
        <w:t>preparing the Budget S</w:t>
      </w:r>
      <w:r w:rsidR="00945E18">
        <w:rPr>
          <w:color w:val="auto"/>
          <w:shd w:val="clear" w:color="auto" w:fill="auto"/>
        </w:rPr>
        <w:t>ummary and Budget Justification</w:t>
      </w:r>
      <w:r w:rsidRPr="005948BA">
        <w:rPr>
          <w:color w:val="auto"/>
          <w:shd w:val="clear" w:color="auto" w:fill="auto"/>
        </w:rPr>
        <w:t>.</w:t>
      </w:r>
    </w:p>
    <w:p w14:paraId="1E5A206C" w14:textId="76C421E7" w:rsidR="005A02D7" w:rsidRPr="005948BA" w:rsidRDefault="005A02D7" w:rsidP="005A10FF">
      <w:pPr>
        <w:numPr>
          <w:ilvl w:val="0"/>
          <w:numId w:val="19"/>
        </w:numPr>
        <w:spacing w:before="0" w:after="0"/>
        <w:ind w:left="1800"/>
        <w:rPr>
          <w:b/>
          <w:color w:val="auto"/>
          <w:shd w:val="clear" w:color="auto" w:fill="auto"/>
        </w:rPr>
      </w:pPr>
      <w:r w:rsidRPr="005948BA">
        <w:rPr>
          <w:b/>
          <w:color w:val="auto"/>
          <w:shd w:val="clear" w:color="auto" w:fill="auto"/>
        </w:rPr>
        <w:t xml:space="preserve">Budget Summary. </w:t>
      </w:r>
      <w:r w:rsidRPr="005948BA">
        <w:rPr>
          <w:color w:val="auto"/>
          <w:shd w:val="clear" w:color="auto" w:fill="auto"/>
        </w:rPr>
        <w:t xml:space="preserve">The Budget Summary should show the subtotal of each listed object code. These subtotals should match those listed on the Budget Justification. </w:t>
      </w:r>
    </w:p>
    <w:p w14:paraId="029A851D" w14:textId="77777777" w:rsidR="005A02D7" w:rsidRPr="005948BA" w:rsidRDefault="005A02D7" w:rsidP="005A10FF">
      <w:pPr>
        <w:numPr>
          <w:ilvl w:val="0"/>
          <w:numId w:val="19"/>
        </w:numPr>
        <w:spacing w:after="0"/>
        <w:ind w:left="1800"/>
        <w:rPr>
          <w:bCs/>
          <w:color w:val="auto"/>
          <w:shd w:val="clear" w:color="auto" w:fill="auto"/>
        </w:rPr>
      </w:pPr>
      <w:r w:rsidRPr="005948BA">
        <w:rPr>
          <w:b/>
          <w:bCs/>
          <w:color w:val="auto"/>
          <w:shd w:val="clear" w:color="auto" w:fill="auto"/>
        </w:rPr>
        <w:t>Budget Justification.</w:t>
      </w:r>
      <w:r w:rsidRPr="005948BA">
        <w:rPr>
          <w:b/>
          <w:color w:val="auto"/>
          <w:shd w:val="clear" w:color="auto" w:fill="auto"/>
        </w:rPr>
        <w:t xml:space="preserve"> </w:t>
      </w:r>
      <w:r w:rsidRPr="005948BA">
        <w:rPr>
          <w:color w:val="auto"/>
          <w:shd w:val="clear" w:color="auto" w:fill="auto"/>
        </w:rPr>
        <w:t xml:space="preserve">The purpose of the Budget Justification narrative is to provide specific detail justifying the cost of each of the items listed in the Budget Summary, and to provide support for the amount itemized for those budgeted items. </w:t>
      </w:r>
      <w:r w:rsidRPr="005948BA">
        <w:rPr>
          <w:bCs/>
          <w:color w:val="auto"/>
          <w:shd w:val="clear" w:color="auto" w:fill="auto"/>
        </w:rPr>
        <w:t>The Budget Justification must be clearly aligned with the program as described in the application. Numbers within formulas should correspond to the numbers provided in the application, (e.g., staffing hours, number of students, number of school sites, etc.).</w:t>
      </w:r>
    </w:p>
    <w:p w14:paraId="7CF14DA6" w14:textId="49ACFCC9" w:rsidR="005A02D7" w:rsidRPr="005948BA" w:rsidRDefault="005A02D7" w:rsidP="00FD5E55">
      <w:pPr>
        <w:ind w:left="1080"/>
        <w:rPr>
          <w:bCs/>
          <w:color w:val="auto"/>
          <w:shd w:val="clear" w:color="auto" w:fill="auto"/>
        </w:rPr>
      </w:pPr>
      <w:r w:rsidRPr="005948BA">
        <w:rPr>
          <w:color w:val="auto"/>
          <w:shd w:val="clear" w:color="auto" w:fill="auto"/>
        </w:rPr>
        <w:t>To complete</w:t>
      </w:r>
      <w:r w:rsidRPr="005948BA">
        <w:rPr>
          <w:shd w:val="clear" w:color="auto" w:fill="auto"/>
        </w:rPr>
        <w:t xml:space="preserve"> </w:t>
      </w:r>
      <w:r w:rsidRPr="005948BA">
        <w:rPr>
          <w:bCs/>
          <w:shd w:val="clear" w:color="auto" w:fill="auto"/>
        </w:rPr>
        <w:t>the Budget Justification</w:t>
      </w:r>
      <w:r w:rsidRPr="005948BA">
        <w:rPr>
          <w:shd w:val="clear" w:color="auto" w:fill="auto"/>
        </w:rPr>
        <w:t xml:space="preserve"> the narrative </w:t>
      </w:r>
      <w:r w:rsidRPr="005948BA">
        <w:rPr>
          <w:color w:val="auto"/>
          <w:shd w:val="clear" w:color="auto" w:fill="auto"/>
        </w:rPr>
        <w:t>must:</w:t>
      </w:r>
    </w:p>
    <w:p w14:paraId="503CC846" w14:textId="6DB27153" w:rsidR="005A02D7" w:rsidRPr="005948BA" w:rsidRDefault="005A02D7" w:rsidP="0069146B">
      <w:pPr>
        <w:numPr>
          <w:ilvl w:val="0"/>
          <w:numId w:val="20"/>
        </w:numPr>
        <w:autoSpaceDE w:val="0"/>
        <w:autoSpaceDN w:val="0"/>
        <w:adjustRightInd w:val="0"/>
        <w:spacing w:before="0" w:after="0"/>
        <w:ind w:left="1800"/>
        <w:rPr>
          <w:color w:val="auto"/>
          <w:shd w:val="clear" w:color="auto" w:fill="auto"/>
        </w:rPr>
      </w:pPr>
      <w:r w:rsidRPr="005948BA">
        <w:rPr>
          <w:color w:val="auto"/>
          <w:shd w:val="clear" w:color="auto" w:fill="auto"/>
        </w:rPr>
        <w:t>Specify each position funded by the project on a separate line item. The time base and annual cost must be included</w:t>
      </w:r>
      <w:r w:rsidR="0075419B">
        <w:rPr>
          <w:color w:val="auto"/>
          <w:shd w:val="clear" w:color="auto" w:fill="auto"/>
        </w:rPr>
        <w:t>.</w:t>
      </w:r>
    </w:p>
    <w:p w14:paraId="46DC16A5" w14:textId="77777777" w:rsidR="005A02D7" w:rsidRPr="005948BA" w:rsidRDefault="005A02D7" w:rsidP="00AA6AAE">
      <w:pPr>
        <w:numPr>
          <w:ilvl w:val="0"/>
          <w:numId w:val="20"/>
        </w:numPr>
        <w:autoSpaceDE w:val="0"/>
        <w:autoSpaceDN w:val="0"/>
        <w:adjustRightInd w:val="0"/>
        <w:spacing w:after="0"/>
        <w:ind w:left="1800"/>
        <w:rPr>
          <w:bCs/>
          <w:color w:val="auto"/>
          <w:shd w:val="clear" w:color="auto" w:fill="auto"/>
        </w:rPr>
      </w:pPr>
      <w:r w:rsidRPr="005948BA">
        <w:rPr>
          <w:bCs/>
          <w:color w:val="auto"/>
          <w:shd w:val="clear" w:color="auto" w:fill="auto"/>
        </w:rPr>
        <w:t>Provide clear unit cost computations for each budget item.</w:t>
      </w:r>
    </w:p>
    <w:p w14:paraId="045DA364" w14:textId="77777777" w:rsidR="005A02D7" w:rsidRPr="005948BA" w:rsidRDefault="005A02D7" w:rsidP="00AA6AAE">
      <w:pPr>
        <w:numPr>
          <w:ilvl w:val="0"/>
          <w:numId w:val="20"/>
        </w:numPr>
        <w:autoSpaceDE w:val="0"/>
        <w:autoSpaceDN w:val="0"/>
        <w:adjustRightInd w:val="0"/>
        <w:spacing w:after="0"/>
        <w:ind w:left="1800"/>
        <w:rPr>
          <w:color w:val="auto"/>
          <w:shd w:val="clear" w:color="auto" w:fill="auto"/>
        </w:rPr>
      </w:pPr>
      <w:r w:rsidRPr="005948BA">
        <w:rPr>
          <w:color w:val="auto"/>
          <w:shd w:val="clear" w:color="auto" w:fill="auto"/>
        </w:rPr>
        <w:t>Provide in detail all personnel and non-personnel costs that are included in the proposed project.</w:t>
      </w:r>
    </w:p>
    <w:p w14:paraId="1751F8F0" w14:textId="77777777" w:rsidR="005A02D7" w:rsidRPr="005948BA" w:rsidRDefault="005A02D7" w:rsidP="00AA6AAE">
      <w:pPr>
        <w:numPr>
          <w:ilvl w:val="0"/>
          <w:numId w:val="20"/>
        </w:numPr>
        <w:autoSpaceDE w:val="0"/>
        <w:autoSpaceDN w:val="0"/>
        <w:adjustRightInd w:val="0"/>
        <w:spacing w:after="0"/>
        <w:ind w:left="1800"/>
        <w:rPr>
          <w:color w:val="auto"/>
          <w:shd w:val="clear" w:color="auto" w:fill="auto"/>
        </w:rPr>
      </w:pPr>
      <w:r w:rsidRPr="005948BA">
        <w:rPr>
          <w:color w:val="auto"/>
          <w:shd w:val="clear" w:color="auto" w:fill="auto"/>
        </w:rPr>
        <w:t>Provide a subtotal for each object code.</w:t>
      </w:r>
    </w:p>
    <w:p w14:paraId="3EC7DF36" w14:textId="3BFFF816" w:rsidR="005A02D7" w:rsidRDefault="005A02D7" w:rsidP="00EA4AFB">
      <w:pPr>
        <w:autoSpaceDE w:val="0"/>
        <w:autoSpaceDN w:val="0"/>
        <w:adjustRightInd w:val="0"/>
        <w:spacing w:after="480"/>
        <w:ind w:left="1800"/>
        <w:rPr>
          <w:color w:val="auto"/>
          <w:shd w:val="clear" w:color="auto" w:fill="auto"/>
        </w:rPr>
      </w:pPr>
      <w:r w:rsidRPr="005948BA">
        <w:rPr>
          <w:b/>
          <w:iCs/>
          <w:color w:val="auto"/>
          <w:shd w:val="clear" w:color="auto" w:fill="auto"/>
        </w:rPr>
        <w:t>Every dollar amount proposed must be fully explained</w:t>
      </w:r>
      <w:r w:rsidRPr="005948BA">
        <w:rPr>
          <w:b/>
          <w:color w:val="auto"/>
          <w:shd w:val="clear" w:color="auto" w:fill="auto"/>
        </w:rPr>
        <w:t>.</w:t>
      </w:r>
      <w:r w:rsidRPr="005948BA">
        <w:rPr>
          <w:color w:val="auto"/>
          <w:shd w:val="clear" w:color="auto" w:fill="auto"/>
        </w:rPr>
        <w:t xml:space="preserve"> Every dollar amount should be accompanied by a computation that includes a unit cost for the item being purchased (e.g., 1 set of curriculum materials for Project Alert for each of 30 classrooms at $240 each, 1 x 30 x 240 = $7,200). An exception to this rule is the cost of COE staff and contract staff. In this case, only the time base and annual cost need be stated</w:t>
      </w:r>
      <w:r w:rsidR="0075419B">
        <w:rPr>
          <w:color w:val="auto"/>
          <w:shd w:val="clear" w:color="auto" w:fill="auto"/>
        </w:rPr>
        <w:t xml:space="preserve">. </w:t>
      </w:r>
    </w:p>
    <w:p w14:paraId="167026DB" w14:textId="15B857F8" w:rsidR="00C45D07" w:rsidRPr="00C45D07" w:rsidRDefault="00663E11" w:rsidP="00EA4AFB">
      <w:pPr>
        <w:pStyle w:val="Heading3"/>
        <w:spacing w:before="240"/>
      </w:pPr>
      <w:bookmarkStart w:id="105" w:name="_Toc8915812"/>
      <w:bookmarkEnd w:id="103"/>
      <w:bookmarkEnd w:id="104"/>
      <w:r>
        <w:lastRenderedPageBreak/>
        <w:t>Program Application</w:t>
      </w:r>
      <w:bookmarkEnd w:id="105"/>
    </w:p>
    <w:p w14:paraId="4E673678" w14:textId="022022FA" w:rsidR="000E2E7F" w:rsidRPr="008749F0" w:rsidRDefault="000E2E7F" w:rsidP="0024561D">
      <w:pPr>
        <w:pStyle w:val="Heading4"/>
        <w:numPr>
          <w:ilvl w:val="0"/>
          <w:numId w:val="36"/>
        </w:numPr>
      </w:pPr>
      <w:bookmarkStart w:id="106" w:name="_Toc8915813"/>
      <w:r w:rsidRPr="008749F0">
        <w:t>Application Narrative</w:t>
      </w:r>
      <w:bookmarkEnd w:id="100"/>
      <w:bookmarkEnd w:id="101"/>
      <w:bookmarkEnd w:id="106"/>
    </w:p>
    <w:p w14:paraId="5F3F8188" w14:textId="367CDB54" w:rsidR="00D96319" w:rsidRPr="00616592" w:rsidRDefault="000E2E7F" w:rsidP="000A32C6">
      <w:pPr>
        <w:spacing w:after="0"/>
        <w:ind w:left="1080"/>
      </w:pPr>
      <w:r w:rsidRPr="00616592">
        <w:t xml:space="preserve">Provide a narrative </w:t>
      </w:r>
      <w:r w:rsidR="009645F3" w:rsidRPr="00616592">
        <w:t>that</w:t>
      </w:r>
      <w:r w:rsidRPr="00616592">
        <w:t xml:space="preserve"> </w:t>
      </w:r>
      <w:r w:rsidR="009645F3" w:rsidRPr="00616592">
        <w:t>describes</w:t>
      </w:r>
      <w:r w:rsidRPr="00616592">
        <w:t xml:space="preserve"> the multiple roles </w:t>
      </w:r>
      <w:r w:rsidR="005773D2">
        <w:t>of the</w:t>
      </w:r>
      <w:r w:rsidR="00410F6D" w:rsidRPr="00616592">
        <w:t xml:space="preserve"> </w:t>
      </w:r>
      <w:r w:rsidR="00EC188E" w:rsidRPr="00616592">
        <w:t xml:space="preserve">TUPE </w:t>
      </w:r>
      <w:r w:rsidR="00427DCB">
        <w:t>CBP</w:t>
      </w:r>
      <w:r w:rsidRPr="00616592">
        <w:t xml:space="preserve">. </w:t>
      </w:r>
      <w:r w:rsidRPr="005523C7">
        <w:t xml:space="preserve">The </w:t>
      </w:r>
      <w:r w:rsidR="00EC188E" w:rsidRPr="005523C7">
        <w:t xml:space="preserve">TUPE </w:t>
      </w:r>
      <w:r w:rsidR="00427DCB">
        <w:t>CBP</w:t>
      </w:r>
      <w:r w:rsidR="00410F6D" w:rsidRPr="005523C7">
        <w:t xml:space="preserve"> </w:t>
      </w:r>
      <w:r w:rsidRPr="005523C7">
        <w:t xml:space="preserve">serves as a </w:t>
      </w:r>
      <w:r w:rsidRPr="005523C7">
        <w:rPr>
          <w:b/>
        </w:rPr>
        <w:t>capacity builder</w:t>
      </w:r>
      <w:r w:rsidRPr="005523C7">
        <w:t xml:space="preserve">, a </w:t>
      </w:r>
      <w:r w:rsidRPr="005523C7">
        <w:rPr>
          <w:b/>
        </w:rPr>
        <w:t>resource</w:t>
      </w:r>
      <w:r w:rsidRPr="005523C7">
        <w:t xml:space="preserve"> </w:t>
      </w:r>
      <w:r w:rsidRPr="005523C7">
        <w:rPr>
          <w:b/>
        </w:rPr>
        <w:t>connector</w:t>
      </w:r>
      <w:r w:rsidRPr="005523C7">
        <w:t xml:space="preserve">, and a </w:t>
      </w:r>
      <w:r w:rsidR="00F6699C" w:rsidRPr="005523C7">
        <w:rPr>
          <w:b/>
        </w:rPr>
        <w:t>coordinator</w:t>
      </w:r>
      <w:r w:rsidRPr="005523C7">
        <w:t>.</w:t>
      </w:r>
      <w:r w:rsidRPr="00616592">
        <w:t xml:space="preserve"> </w:t>
      </w:r>
      <w:r w:rsidR="000D79ED" w:rsidRPr="00616592">
        <w:t xml:space="preserve">The applicant should demonstrate expertise with the </w:t>
      </w:r>
      <w:r w:rsidR="002F2E1A" w:rsidRPr="00616592">
        <w:t>TUPE</w:t>
      </w:r>
      <w:r w:rsidR="00DA0EAB">
        <w:t xml:space="preserve"> Program</w:t>
      </w:r>
      <w:r w:rsidR="000D79ED" w:rsidRPr="00616592">
        <w:t xml:space="preserve">; </w:t>
      </w:r>
      <w:r w:rsidR="009325CD">
        <w:t xml:space="preserve">experience providing training and technical assistance to support program development and implementation, </w:t>
      </w:r>
      <w:r w:rsidR="000D79ED" w:rsidRPr="00616592">
        <w:t xml:space="preserve">ability to foster collaboration among </w:t>
      </w:r>
      <w:r w:rsidR="00B819A1">
        <w:t>tobacco control partners</w:t>
      </w:r>
      <w:r w:rsidR="000D79ED" w:rsidRPr="00616592">
        <w:t xml:space="preserve">; and ability to support online </w:t>
      </w:r>
      <w:r w:rsidR="009325CD">
        <w:t xml:space="preserve">trainings, </w:t>
      </w:r>
      <w:r w:rsidR="000D79ED" w:rsidRPr="00616592">
        <w:t>meetings</w:t>
      </w:r>
      <w:r w:rsidR="00E303E1" w:rsidRPr="00616592">
        <w:t>,</w:t>
      </w:r>
      <w:r w:rsidR="000D79ED" w:rsidRPr="00616592">
        <w:t xml:space="preserve"> resources sharing</w:t>
      </w:r>
      <w:r w:rsidR="00E303E1" w:rsidRPr="00616592">
        <w:t>, and communication</w:t>
      </w:r>
      <w:r w:rsidR="000D79ED" w:rsidRPr="00616592">
        <w:t>.</w:t>
      </w:r>
    </w:p>
    <w:p w14:paraId="14889E7E" w14:textId="77777777" w:rsidR="009645F3" w:rsidRDefault="009645F3" w:rsidP="000A537C">
      <w:pPr>
        <w:spacing w:after="0"/>
        <w:ind w:left="1080"/>
      </w:pPr>
      <w:r w:rsidRPr="00616592">
        <w:t>To complete the narrative:</w:t>
      </w:r>
    </w:p>
    <w:p w14:paraId="5834F6FA" w14:textId="0E2052CB" w:rsidR="000E2E7F" w:rsidRPr="00616592" w:rsidRDefault="009325CD" w:rsidP="000A32C6">
      <w:pPr>
        <w:pStyle w:val="ListParagraph"/>
        <w:numPr>
          <w:ilvl w:val="0"/>
          <w:numId w:val="3"/>
        </w:numPr>
        <w:spacing w:after="0"/>
        <w:ind w:left="1800"/>
      </w:pPr>
      <w:r>
        <w:t>Address the prompt</w:t>
      </w:r>
      <w:r w:rsidR="000E2E7F" w:rsidRPr="00616592">
        <w:t xml:space="preserve"> </w:t>
      </w:r>
      <w:r w:rsidR="005523C7">
        <w:t>included</w:t>
      </w:r>
      <w:r w:rsidR="000E2E7F" w:rsidRPr="00616592">
        <w:t xml:space="preserve"> below</w:t>
      </w:r>
      <w:r w:rsidR="00C930F7" w:rsidRPr="00616592">
        <w:t>.</w:t>
      </w:r>
    </w:p>
    <w:p w14:paraId="02F3BF4C" w14:textId="392E23A7" w:rsidR="000E2E7F" w:rsidRPr="00616592" w:rsidRDefault="000E2E7F" w:rsidP="00586900">
      <w:pPr>
        <w:pStyle w:val="ListParagraph"/>
        <w:numPr>
          <w:ilvl w:val="0"/>
          <w:numId w:val="3"/>
        </w:numPr>
        <w:spacing w:after="0"/>
        <w:ind w:left="1800"/>
      </w:pPr>
      <w:r w:rsidRPr="00616592">
        <w:t xml:space="preserve">Refer to the scoring rubric in </w:t>
      </w:r>
      <w:r w:rsidRPr="005523C7">
        <w:t xml:space="preserve">Appendix </w:t>
      </w:r>
      <w:r w:rsidR="0069563B">
        <w:t>1</w:t>
      </w:r>
      <w:r w:rsidR="00586900">
        <w:t xml:space="preserve"> </w:t>
      </w:r>
      <w:r w:rsidRPr="00616592">
        <w:t>to understand how responses will be evaluated by the reading panel</w:t>
      </w:r>
      <w:r w:rsidR="00C930F7" w:rsidRPr="00616592">
        <w:t>.</w:t>
      </w:r>
    </w:p>
    <w:p w14:paraId="5BFE7E5B" w14:textId="7DFE92BC" w:rsidR="000E2E7F" w:rsidRPr="003B54BE" w:rsidRDefault="000E2E7F" w:rsidP="000A32C6">
      <w:pPr>
        <w:pStyle w:val="ListParagraph"/>
        <w:numPr>
          <w:ilvl w:val="0"/>
          <w:numId w:val="3"/>
        </w:numPr>
        <w:spacing w:after="0"/>
        <w:ind w:left="1800"/>
      </w:pPr>
      <w:r w:rsidRPr="00616592">
        <w:t>Follow all applic</w:t>
      </w:r>
      <w:r w:rsidR="00C43660" w:rsidRPr="00616592">
        <w:t xml:space="preserve">ation directions in Section </w:t>
      </w:r>
      <w:r w:rsidR="00C43660" w:rsidRPr="003B54BE">
        <w:t>IV</w:t>
      </w:r>
      <w:r w:rsidR="003B54BE" w:rsidRPr="003B54BE">
        <w:t>.</w:t>
      </w:r>
    </w:p>
    <w:p w14:paraId="4D42484B" w14:textId="184C99B7" w:rsidR="000E2E7F" w:rsidRPr="0024561D" w:rsidRDefault="00091872" w:rsidP="0024561D">
      <w:pPr>
        <w:pStyle w:val="Heading4"/>
        <w:numPr>
          <w:ilvl w:val="0"/>
          <w:numId w:val="35"/>
        </w:numPr>
        <w:rPr>
          <w:rStyle w:val="Heading4Char"/>
          <w:b/>
          <w:iCs/>
        </w:rPr>
      </w:pPr>
      <w:bookmarkStart w:id="107" w:name="_Toc8915814"/>
      <w:bookmarkStart w:id="108" w:name="_Toc517183884"/>
      <w:r>
        <w:rPr>
          <w:rStyle w:val="Heading4Char"/>
          <w:b/>
        </w:rPr>
        <w:t>T</w:t>
      </w:r>
      <w:r w:rsidR="00C227D1">
        <w:rPr>
          <w:rStyle w:val="Heading4Char"/>
          <w:b/>
        </w:rPr>
        <w:t>obacco-</w:t>
      </w:r>
      <w:r>
        <w:rPr>
          <w:rStyle w:val="Heading4Char"/>
          <w:b/>
        </w:rPr>
        <w:t>U</w:t>
      </w:r>
      <w:r w:rsidR="00C227D1">
        <w:rPr>
          <w:rStyle w:val="Heading4Char"/>
          <w:b/>
        </w:rPr>
        <w:t xml:space="preserve">se </w:t>
      </w:r>
      <w:r>
        <w:rPr>
          <w:rStyle w:val="Heading4Char"/>
          <w:b/>
        </w:rPr>
        <w:t>P</w:t>
      </w:r>
      <w:r w:rsidR="00C227D1">
        <w:rPr>
          <w:rStyle w:val="Heading4Char"/>
          <w:b/>
        </w:rPr>
        <w:t xml:space="preserve">revention </w:t>
      </w:r>
      <w:r>
        <w:rPr>
          <w:rStyle w:val="Heading4Char"/>
          <w:b/>
        </w:rPr>
        <w:t>E</w:t>
      </w:r>
      <w:r w:rsidR="00C227D1">
        <w:rPr>
          <w:rStyle w:val="Heading4Char"/>
          <w:b/>
        </w:rPr>
        <w:t>ducation</w:t>
      </w:r>
      <w:r>
        <w:rPr>
          <w:rStyle w:val="Heading4Char"/>
          <w:b/>
        </w:rPr>
        <w:t xml:space="preserve"> </w:t>
      </w:r>
      <w:r w:rsidR="00427DCB" w:rsidRPr="0024561D">
        <w:rPr>
          <w:rStyle w:val="Heading4Char"/>
          <w:b/>
        </w:rPr>
        <w:t>C</w:t>
      </w:r>
      <w:r>
        <w:rPr>
          <w:rStyle w:val="Heading4Char"/>
          <w:b/>
        </w:rPr>
        <w:t xml:space="preserve">apacity </w:t>
      </w:r>
      <w:r w:rsidR="00427DCB" w:rsidRPr="0024561D">
        <w:rPr>
          <w:rStyle w:val="Heading4Char"/>
          <w:b/>
        </w:rPr>
        <w:t>B</w:t>
      </w:r>
      <w:r>
        <w:rPr>
          <w:rStyle w:val="Heading4Char"/>
          <w:b/>
        </w:rPr>
        <w:t xml:space="preserve">uilding </w:t>
      </w:r>
      <w:r w:rsidR="00427DCB" w:rsidRPr="0024561D">
        <w:rPr>
          <w:rStyle w:val="Heading4Char"/>
          <w:b/>
        </w:rPr>
        <w:t>P</w:t>
      </w:r>
      <w:r>
        <w:rPr>
          <w:rStyle w:val="Heading4Char"/>
          <w:b/>
        </w:rPr>
        <w:t>rovider</w:t>
      </w:r>
      <w:r w:rsidR="000E2E7F" w:rsidRPr="0024561D">
        <w:rPr>
          <w:rStyle w:val="Heading4Char"/>
          <w:b/>
        </w:rPr>
        <w:t xml:space="preserve"> </w:t>
      </w:r>
      <w:r w:rsidR="009E5958" w:rsidRPr="0024561D">
        <w:rPr>
          <w:rStyle w:val="Heading4Char"/>
          <w:b/>
        </w:rPr>
        <w:t xml:space="preserve">Expertise and Proposed </w:t>
      </w:r>
      <w:r w:rsidR="000E2E7F" w:rsidRPr="0024561D">
        <w:rPr>
          <w:rStyle w:val="Heading4Char"/>
          <w:b/>
        </w:rPr>
        <w:t>Activities</w:t>
      </w:r>
      <w:bookmarkEnd w:id="107"/>
    </w:p>
    <w:bookmarkEnd w:id="108"/>
    <w:p w14:paraId="02DC50EC" w14:textId="300BD627" w:rsidR="000E2E7F" w:rsidRPr="00AC23CE" w:rsidRDefault="004204E9" w:rsidP="000A32C6">
      <w:pPr>
        <w:spacing w:after="0"/>
        <w:ind w:left="1080"/>
      </w:pPr>
      <w:r w:rsidRPr="00AC23CE">
        <w:t>An a</w:t>
      </w:r>
      <w:r w:rsidR="000E2E7F" w:rsidRPr="00AC23CE">
        <w:t xml:space="preserve">pplicant must demonstrate its current expertise and qualifications to effectively build </w:t>
      </w:r>
      <w:r w:rsidR="00F322A4" w:rsidRPr="00AC23CE">
        <w:t xml:space="preserve">the </w:t>
      </w:r>
      <w:r w:rsidR="000E2E7F" w:rsidRPr="00AC23CE">
        <w:t xml:space="preserve">capacity </w:t>
      </w:r>
      <w:r w:rsidR="00F322A4" w:rsidRPr="00AC23CE">
        <w:t>of</w:t>
      </w:r>
      <w:r w:rsidR="000E2E7F" w:rsidRPr="00AC23CE">
        <w:t xml:space="preserve"> </w:t>
      </w:r>
      <w:r w:rsidR="00305EDB" w:rsidRPr="00AC23CE">
        <w:t xml:space="preserve">TUPE-funded </w:t>
      </w:r>
      <w:r w:rsidR="0024373A" w:rsidRPr="00AC23CE">
        <w:t>LEAs</w:t>
      </w:r>
      <w:r w:rsidR="000E2E7F" w:rsidRPr="00AC23CE">
        <w:t xml:space="preserve">. </w:t>
      </w:r>
      <w:r w:rsidR="008A4730" w:rsidRPr="00AC23CE">
        <w:t>Describe your</w:t>
      </w:r>
      <w:r w:rsidR="000E2E7F" w:rsidRPr="00AC23CE">
        <w:t xml:space="preserve"> ability to</w:t>
      </w:r>
      <w:r w:rsidR="008A4730" w:rsidRPr="00AC23CE">
        <w:t>:</w:t>
      </w:r>
      <w:r w:rsidR="000E2E7F" w:rsidRPr="00AC23CE">
        <w:t xml:space="preserve"> </w:t>
      </w:r>
      <w:r w:rsidR="00FD6706" w:rsidRPr="00AC23CE">
        <w:t xml:space="preserve">(1) </w:t>
      </w:r>
      <w:r w:rsidR="009325CD" w:rsidRPr="00AC23CE">
        <w:t xml:space="preserve">build capacity in best practices and procedures to prevent or reduce tobacco use among students, (2) </w:t>
      </w:r>
      <w:r w:rsidR="000E2E7F" w:rsidRPr="00AC23CE">
        <w:t xml:space="preserve">make successful connections to </w:t>
      </w:r>
      <w:r w:rsidR="00203B83" w:rsidRPr="00AC23CE">
        <w:t>resources</w:t>
      </w:r>
      <w:r w:rsidR="00E303E1" w:rsidRPr="00AC23CE">
        <w:t xml:space="preserve">, </w:t>
      </w:r>
      <w:r w:rsidR="00203B83" w:rsidRPr="00AC23CE">
        <w:t>expertise</w:t>
      </w:r>
      <w:r w:rsidR="00295A69" w:rsidRPr="00AC23CE">
        <w:t>,</w:t>
      </w:r>
      <w:r w:rsidR="00AC0812" w:rsidRPr="00AC23CE">
        <w:t xml:space="preserve"> and coaching </w:t>
      </w:r>
      <w:r w:rsidR="000E2E7F" w:rsidRPr="00AC23CE">
        <w:t>structures</w:t>
      </w:r>
      <w:r w:rsidR="001F0A05" w:rsidRPr="00AC23CE">
        <w:t>; and (3) facilitate successful collaboration among</w:t>
      </w:r>
      <w:r w:rsidR="00EA4AFB">
        <w:t xml:space="preserve"> LEAs, Local Lead Agencies</w:t>
      </w:r>
      <w:r w:rsidR="001F0A05" w:rsidRPr="00AC23CE">
        <w:t xml:space="preserve"> </w:t>
      </w:r>
      <w:r w:rsidR="004D6065">
        <w:t xml:space="preserve">(LLAs) </w:t>
      </w:r>
      <w:r w:rsidR="001F0A05" w:rsidRPr="00AC23CE">
        <w:t>and other tobacco control partners</w:t>
      </w:r>
      <w:r w:rsidR="009325CD" w:rsidRPr="00AC23CE">
        <w:t>.</w:t>
      </w:r>
      <w:r w:rsidR="000E2E7F" w:rsidRPr="00AC23CE">
        <w:t xml:space="preserve"> </w:t>
      </w:r>
    </w:p>
    <w:p w14:paraId="48AF7C46" w14:textId="3B102949" w:rsidR="005523C7" w:rsidRPr="00AC23CE" w:rsidRDefault="000E2E7F" w:rsidP="005D7B6A">
      <w:pPr>
        <w:ind w:left="1080"/>
      </w:pPr>
      <w:r w:rsidRPr="00AC23CE">
        <w:t xml:space="preserve">Propose and describe activities that will achieve the goals and </w:t>
      </w:r>
      <w:r w:rsidR="000B5B6D" w:rsidRPr="00AC23CE">
        <w:t>responsibilities</w:t>
      </w:r>
      <w:r w:rsidRPr="00AC23CE">
        <w:rPr>
          <w:b/>
          <w:i/>
        </w:rPr>
        <w:t xml:space="preserve"> </w:t>
      </w:r>
      <w:r w:rsidRPr="00AC23CE">
        <w:t>described in Section</w:t>
      </w:r>
      <w:r w:rsidR="000B5B6D" w:rsidRPr="00AC23CE">
        <w:t>s</w:t>
      </w:r>
      <w:r w:rsidRPr="00AC23CE">
        <w:t xml:space="preserve"> </w:t>
      </w:r>
      <w:r w:rsidRPr="00697797">
        <w:t>I</w:t>
      </w:r>
      <w:r w:rsidR="00697797" w:rsidRPr="00697797">
        <w:t>I</w:t>
      </w:r>
      <w:r w:rsidR="00B00268" w:rsidRPr="00697797">
        <w:t>.B</w:t>
      </w:r>
      <w:r w:rsidR="00D611A4" w:rsidRPr="00697797">
        <w:t xml:space="preserve"> and I</w:t>
      </w:r>
      <w:r w:rsidR="00697797" w:rsidRPr="00697797">
        <w:t>I</w:t>
      </w:r>
      <w:r w:rsidR="00D611A4" w:rsidRPr="00697797">
        <w:t>.</w:t>
      </w:r>
      <w:r w:rsidR="00697797" w:rsidRPr="00697797">
        <w:t>D</w:t>
      </w:r>
      <w:r w:rsidR="00C10AA4">
        <w:t>, by providing</w:t>
      </w:r>
      <w:r w:rsidRPr="00AC23CE">
        <w:t xml:space="preserve"> </w:t>
      </w:r>
      <w:r w:rsidR="005523C7" w:rsidRPr="00AC23CE">
        <w:t>the following information:</w:t>
      </w:r>
    </w:p>
    <w:p w14:paraId="44016C72" w14:textId="77777777" w:rsidR="005523C7" w:rsidRPr="00AC23CE" w:rsidRDefault="005523C7" w:rsidP="005D7B6A">
      <w:pPr>
        <w:pStyle w:val="ListParagraph"/>
        <w:numPr>
          <w:ilvl w:val="0"/>
          <w:numId w:val="13"/>
        </w:numPr>
        <w:spacing w:before="0" w:after="0"/>
      </w:pPr>
      <w:r w:rsidRPr="00AC23CE">
        <w:t>S</w:t>
      </w:r>
      <w:r w:rsidR="000E2E7F" w:rsidRPr="00AC23CE">
        <w:t>trategies</w:t>
      </w:r>
      <w:r w:rsidRPr="00AC23CE">
        <w:t xml:space="preserve"> to be utilized</w:t>
      </w:r>
    </w:p>
    <w:p w14:paraId="2BABCF88" w14:textId="77777777" w:rsidR="005523C7" w:rsidRPr="00AC23CE" w:rsidRDefault="005523C7" w:rsidP="005D7B6A">
      <w:pPr>
        <w:pStyle w:val="ListParagraph"/>
        <w:numPr>
          <w:ilvl w:val="0"/>
          <w:numId w:val="13"/>
        </w:numPr>
        <w:spacing w:before="0" w:after="0"/>
      </w:pPr>
      <w:r w:rsidRPr="00AC23CE">
        <w:t>R</w:t>
      </w:r>
      <w:r w:rsidR="000E2E7F" w:rsidRPr="00AC23CE">
        <w:t>esponsible agencies or staff</w:t>
      </w:r>
    </w:p>
    <w:p w14:paraId="7C38AED9" w14:textId="77777777" w:rsidR="005523C7" w:rsidRPr="00AC23CE" w:rsidRDefault="005523C7" w:rsidP="005D7B6A">
      <w:pPr>
        <w:pStyle w:val="ListParagraph"/>
        <w:numPr>
          <w:ilvl w:val="0"/>
          <w:numId w:val="13"/>
        </w:numPr>
        <w:spacing w:before="0" w:after="0"/>
      </w:pPr>
      <w:r w:rsidRPr="00AC23CE">
        <w:t>M</w:t>
      </w:r>
      <w:r w:rsidR="000E2E7F" w:rsidRPr="00AC23CE">
        <w:t xml:space="preserve">easures of progress, and </w:t>
      </w:r>
    </w:p>
    <w:p w14:paraId="591921E2" w14:textId="1EFA99B8" w:rsidR="00614083" w:rsidRPr="00AC23CE" w:rsidRDefault="005523C7" w:rsidP="005D7B6A">
      <w:pPr>
        <w:pStyle w:val="ListParagraph"/>
        <w:numPr>
          <w:ilvl w:val="0"/>
          <w:numId w:val="13"/>
        </w:numPr>
        <w:spacing w:before="0" w:after="0"/>
      </w:pPr>
      <w:r w:rsidRPr="00AC23CE">
        <w:t>A</w:t>
      </w:r>
      <w:r w:rsidR="009471F9" w:rsidRPr="00AC23CE">
        <w:t xml:space="preserve"> general </w:t>
      </w:r>
      <w:r w:rsidR="000E2E7F" w:rsidRPr="00AC23CE">
        <w:t xml:space="preserve">timeline for </w:t>
      </w:r>
      <w:r w:rsidR="008A4730" w:rsidRPr="00AC23CE">
        <w:t>proposed activities</w:t>
      </w:r>
    </w:p>
    <w:p w14:paraId="16FD95BA" w14:textId="48C5004C" w:rsidR="003F78A0" w:rsidRPr="00AC23CE" w:rsidRDefault="00AC23CE" w:rsidP="00694022">
      <w:pPr>
        <w:pStyle w:val="ListParagraph"/>
        <w:numPr>
          <w:ilvl w:val="0"/>
          <w:numId w:val="5"/>
        </w:numPr>
        <w:spacing w:after="0"/>
      </w:pPr>
      <w:r>
        <w:rPr>
          <w:b/>
        </w:rPr>
        <w:t>Capacity Builder</w:t>
      </w:r>
    </w:p>
    <w:p w14:paraId="1965C38F" w14:textId="1D7F4F48" w:rsidR="003F78A0" w:rsidRPr="00AC23CE" w:rsidRDefault="00BB153B" w:rsidP="00694022">
      <w:pPr>
        <w:pStyle w:val="ListParagraph"/>
        <w:numPr>
          <w:ilvl w:val="1"/>
          <w:numId w:val="2"/>
        </w:numPr>
        <w:spacing w:after="0"/>
        <w:ind w:left="2160"/>
      </w:pPr>
      <w:r w:rsidRPr="00AC23CE">
        <w:t>Describe how the applicant</w:t>
      </w:r>
      <w:r w:rsidRPr="00AC23CE">
        <w:rPr>
          <w:b/>
        </w:rPr>
        <w:t xml:space="preserve"> </w:t>
      </w:r>
      <w:r w:rsidR="00AC23CE">
        <w:rPr>
          <w:b/>
        </w:rPr>
        <w:t>h</w:t>
      </w:r>
      <w:r w:rsidR="003F78A0" w:rsidRPr="00AC23CE">
        <w:rPr>
          <w:b/>
        </w:rPr>
        <w:t>as assisted</w:t>
      </w:r>
      <w:r w:rsidR="003F78A0" w:rsidRPr="00AC23CE">
        <w:t xml:space="preserve"> LEAs by</w:t>
      </w:r>
      <w:r w:rsidR="001F0A05" w:rsidRPr="00AC23CE">
        <w:t xml:space="preserve"> creating professional trainings to build teacher, school, and district’s staff knowledge about youth tobacco prevention.</w:t>
      </w:r>
    </w:p>
    <w:p w14:paraId="700C0742" w14:textId="520D5F68" w:rsidR="003F78A0" w:rsidRPr="00AC23CE" w:rsidRDefault="00BB153B" w:rsidP="00694022">
      <w:pPr>
        <w:pStyle w:val="ListParagraph"/>
        <w:numPr>
          <w:ilvl w:val="1"/>
          <w:numId w:val="2"/>
        </w:numPr>
        <w:spacing w:after="0"/>
        <w:ind w:left="2160"/>
      </w:pPr>
      <w:r w:rsidRPr="00AC23CE">
        <w:lastRenderedPageBreak/>
        <w:t>Describe how the applicant</w:t>
      </w:r>
      <w:r w:rsidRPr="00AC23CE">
        <w:rPr>
          <w:b/>
        </w:rPr>
        <w:t xml:space="preserve"> </w:t>
      </w:r>
      <w:r w:rsidR="00AC23CE">
        <w:rPr>
          <w:b/>
        </w:rPr>
        <w:t>h</w:t>
      </w:r>
      <w:r w:rsidR="001F0A05" w:rsidRPr="00AC23CE">
        <w:rPr>
          <w:b/>
        </w:rPr>
        <w:t>as supported</w:t>
      </w:r>
      <w:r w:rsidR="001F0A05" w:rsidRPr="00AC23CE">
        <w:t xml:space="preserve"> LEAs in meeting the requirements of</w:t>
      </w:r>
      <w:r w:rsidR="00D95971">
        <w:t xml:space="preserve"> the</w:t>
      </w:r>
      <w:r w:rsidR="001F0A05" w:rsidRPr="00AC23CE">
        <w:t xml:space="preserve"> TUPE</w:t>
      </w:r>
      <w:r w:rsidR="00D95971">
        <w:t xml:space="preserve"> Program</w:t>
      </w:r>
      <w:r w:rsidR="00D74DA2">
        <w:t>.</w:t>
      </w:r>
    </w:p>
    <w:p w14:paraId="0DFF2652" w14:textId="147B1CD2" w:rsidR="001F0A05" w:rsidRPr="00AC23CE" w:rsidRDefault="00BB153B" w:rsidP="00694022">
      <w:pPr>
        <w:pStyle w:val="ListParagraph"/>
        <w:numPr>
          <w:ilvl w:val="1"/>
          <w:numId w:val="2"/>
        </w:numPr>
        <w:spacing w:after="0"/>
        <w:ind w:left="2160"/>
      </w:pPr>
      <w:r w:rsidRPr="00AC23CE">
        <w:t>Describe how the applicant</w:t>
      </w:r>
      <w:r w:rsidRPr="00AC23CE">
        <w:rPr>
          <w:b/>
        </w:rPr>
        <w:t xml:space="preserve"> </w:t>
      </w:r>
      <w:r w:rsidR="00AC23CE">
        <w:rPr>
          <w:b/>
        </w:rPr>
        <w:t>h</w:t>
      </w:r>
      <w:r w:rsidR="001F0A05" w:rsidRPr="00AC23CE">
        <w:rPr>
          <w:b/>
        </w:rPr>
        <w:t>as supported</w:t>
      </w:r>
      <w:r w:rsidR="001F0A05" w:rsidRPr="00AC23CE">
        <w:t xml:space="preserve"> LEAs by demonstrating how to develop, implement, and ev</w:t>
      </w:r>
      <w:r w:rsidR="005948BA">
        <w:t>a</w:t>
      </w:r>
      <w:r w:rsidR="001F0A05" w:rsidRPr="00AC23CE">
        <w:t>luate a health education program</w:t>
      </w:r>
      <w:r w:rsidR="00D74DA2">
        <w:t>.</w:t>
      </w:r>
    </w:p>
    <w:p w14:paraId="319CCFF8" w14:textId="28A5FED5" w:rsidR="00A175F9" w:rsidRPr="00AC23CE" w:rsidRDefault="00BB153B" w:rsidP="00694022">
      <w:pPr>
        <w:pStyle w:val="ListParagraph"/>
        <w:numPr>
          <w:ilvl w:val="1"/>
          <w:numId w:val="2"/>
        </w:numPr>
        <w:spacing w:after="0"/>
        <w:ind w:left="2160"/>
      </w:pPr>
      <w:r w:rsidRPr="00AC23CE">
        <w:t>Describe how the applicant</w:t>
      </w:r>
      <w:r w:rsidRPr="00AC23CE">
        <w:rPr>
          <w:b/>
        </w:rPr>
        <w:t xml:space="preserve"> </w:t>
      </w:r>
      <w:r w:rsidR="00AC23CE">
        <w:rPr>
          <w:b/>
        </w:rPr>
        <w:t>w</w:t>
      </w:r>
      <w:r w:rsidR="00A175F9" w:rsidRPr="00AC23CE">
        <w:rPr>
          <w:b/>
        </w:rPr>
        <w:t xml:space="preserve">ill assess </w:t>
      </w:r>
      <w:r w:rsidR="00A175F9" w:rsidRPr="00AC23CE">
        <w:t>LEA</w:t>
      </w:r>
      <w:r w:rsidR="002C1310">
        <w:t>’</w:t>
      </w:r>
      <w:r w:rsidR="00A175F9" w:rsidRPr="00AC23CE">
        <w:t xml:space="preserve">s needs and provide additional trainings using a </w:t>
      </w:r>
      <w:r w:rsidR="005948BA" w:rsidRPr="00AC23CE">
        <w:t>continuous</w:t>
      </w:r>
      <w:r w:rsidR="00A175F9" w:rsidRPr="00AC23CE">
        <w:t xml:space="preserve"> improvement framework.</w:t>
      </w:r>
    </w:p>
    <w:p w14:paraId="76F047E0" w14:textId="1595428D" w:rsidR="001F0A05" w:rsidRPr="00AC23CE" w:rsidRDefault="00BB153B" w:rsidP="00694022">
      <w:pPr>
        <w:pStyle w:val="ListParagraph"/>
        <w:numPr>
          <w:ilvl w:val="1"/>
          <w:numId w:val="2"/>
        </w:numPr>
        <w:spacing w:after="0"/>
        <w:ind w:left="2160"/>
      </w:pPr>
      <w:r w:rsidRPr="00AC23CE">
        <w:t>Describe how the applicant</w:t>
      </w:r>
      <w:r w:rsidRPr="00AC23CE">
        <w:rPr>
          <w:b/>
        </w:rPr>
        <w:t xml:space="preserve"> </w:t>
      </w:r>
      <w:r w:rsidR="00AC23CE">
        <w:rPr>
          <w:b/>
        </w:rPr>
        <w:t>w</w:t>
      </w:r>
      <w:r w:rsidR="001F0A05" w:rsidRPr="00AC23CE">
        <w:rPr>
          <w:b/>
        </w:rPr>
        <w:t>ill partner</w:t>
      </w:r>
      <w:r w:rsidR="001F0A05" w:rsidRPr="00AC23CE">
        <w:t xml:space="preserve"> with CDE’s contractors to offer extensive youth tobacco prevention and intervention activities to strengthen local capacity.</w:t>
      </w:r>
    </w:p>
    <w:p w14:paraId="187F65AA" w14:textId="18899ECC" w:rsidR="003F78A0" w:rsidRPr="00AC23CE" w:rsidRDefault="00BB153B" w:rsidP="00694022">
      <w:pPr>
        <w:pStyle w:val="ListParagraph"/>
        <w:numPr>
          <w:ilvl w:val="2"/>
          <w:numId w:val="2"/>
        </w:numPr>
        <w:spacing w:after="0" w:line="231" w:lineRule="atLeast"/>
        <w:ind w:left="2160"/>
      </w:pPr>
      <w:r w:rsidRPr="00AC23CE">
        <w:t>Describe how the applicant</w:t>
      </w:r>
      <w:r w:rsidRPr="00AC23CE">
        <w:rPr>
          <w:b/>
        </w:rPr>
        <w:t xml:space="preserve"> </w:t>
      </w:r>
      <w:r w:rsidR="00AC23CE">
        <w:rPr>
          <w:b/>
        </w:rPr>
        <w:t>w</w:t>
      </w:r>
      <w:r w:rsidR="003F78A0" w:rsidRPr="00AC23CE">
        <w:rPr>
          <w:b/>
        </w:rPr>
        <w:t>ill serve</w:t>
      </w:r>
      <w:r w:rsidR="003F78A0" w:rsidRPr="00AC23CE">
        <w:t xml:space="preserve"> as a TUPE Expert Lead Agency.</w:t>
      </w:r>
    </w:p>
    <w:p w14:paraId="35CABAFC" w14:textId="41BFA71F" w:rsidR="000E2E7F" w:rsidRPr="00AC23CE" w:rsidRDefault="00C01384" w:rsidP="00694022">
      <w:pPr>
        <w:pStyle w:val="ListParagraph"/>
        <w:numPr>
          <w:ilvl w:val="0"/>
          <w:numId w:val="5"/>
        </w:numPr>
        <w:spacing w:after="0"/>
      </w:pPr>
      <w:r w:rsidRPr="00AC23CE">
        <w:rPr>
          <w:b/>
        </w:rPr>
        <w:t xml:space="preserve">Resource </w:t>
      </w:r>
      <w:r w:rsidR="000E2E7F" w:rsidRPr="00AC23CE">
        <w:rPr>
          <w:b/>
        </w:rPr>
        <w:t>Connector</w:t>
      </w:r>
    </w:p>
    <w:p w14:paraId="0B6C93F7" w14:textId="252B7269" w:rsidR="003760CB" w:rsidRPr="00AC23CE" w:rsidRDefault="00BB153B" w:rsidP="00694022">
      <w:pPr>
        <w:pStyle w:val="ListParagraph"/>
        <w:numPr>
          <w:ilvl w:val="1"/>
          <w:numId w:val="2"/>
        </w:numPr>
        <w:spacing w:after="0"/>
        <w:ind w:left="2160"/>
      </w:pPr>
      <w:r w:rsidRPr="00AC23CE">
        <w:t>Describe how the applicant</w:t>
      </w:r>
      <w:r w:rsidRPr="00AC23CE">
        <w:rPr>
          <w:b/>
        </w:rPr>
        <w:t xml:space="preserve"> </w:t>
      </w:r>
      <w:r w:rsidR="00AC23CE">
        <w:rPr>
          <w:b/>
        </w:rPr>
        <w:t>h</w:t>
      </w:r>
      <w:r w:rsidR="000E2E7F" w:rsidRPr="00AC23CE">
        <w:rPr>
          <w:b/>
        </w:rPr>
        <w:t>as</w:t>
      </w:r>
      <w:r w:rsidR="00525CF8" w:rsidRPr="00AC23CE">
        <w:rPr>
          <w:b/>
        </w:rPr>
        <w:t xml:space="preserve"> d</w:t>
      </w:r>
      <w:r w:rsidR="00B00268" w:rsidRPr="00AC23CE">
        <w:rPr>
          <w:b/>
        </w:rPr>
        <w:t>evelop</w:t>
      </w:r>
      <w:r w:rsidR="002803DE" w:rsidRPr="00AC23CE">
        <w:rPr>
          <w:b/>
        </w:rPr>
        <w:t>ed</w:t>
      </w:r>
      <w:r w:rsidR="00B00268" w:rsidRPr="00AC23CE">
        <w:t xml:space="preserve"> and disseminate</w:t>
      </w:r>
      <w:r w:rsidR="002803DE" w:rsidRPr="00AC23CE">
        <w:t>d</w:t>
      </w:r>
      <w:r w:rsidR="003760CB" w:rsidRPr="00AC23CE">
        <w:t xml:space="preserve"> b</w:t>
      </w:r>
      <w:r w:rsidR="00B00268" w:rsidRPr="00AC23CE">
        <w:t xml:space="preserve">est practices to </w:t>
      </w:r>
      <w:r w:rsidR="003760CB" w:rsidRPr="00AC23CE">
        <w:t>reduce the initiation and use of tobacco products.</w:t>
      </w:r>
    </w:p>
    <w:p w14:paraId="7574FB9C" w14:textId="6420CDEA" w:rsidR="001F0A05" w:rsidRPr="00AC23CE" w:rsidRDefault="00BB153B" w:rsidP="00694022">
      <w:pPr>
        <w:pStyle w:val="ListParagraph"/>
        <w:numPr>
          <w:ilvl w:val="1"/>
          <w:numId w:val="2"/>
        </w:numPr>
        <w:spacing w:after="0"/>
        <w:ind w:left="2160"/>
      </w:pPr>
      <w:r w:rsidRPr="00AC23CE">
        <w:t>Describe how the applicant</w:t>
      </w:r>
      <w:r w:rsidRPr="00AC23CE">
        <w:rPr>
          <w:b/>
        </w:rPr>
        <w:t xml:space="preserve"> </w:t>
      </w:r>
      <w:r w:rsidR="00AC23CE">
        <w:rPr>
          <w:b/>
        </w:rPr>
        <w:t>w</w:t>
      </w:r>
      <w:r w:rsidR="001F0A05" w:rsidRPr="00AC23CE">
        <w:rPr>
          <w:b/>
        </w:rPr>
        <w:t>ill create</w:t>
      </w:r>
      <w:r w:rsidR="001F0A05" w:rsidRPr="00AC23CE">
        <w:t xml:space="preserve"> opportunities for LEAs to share local materials and </w:t>
      </w:r>
      <w:r w:rsidR="005948BA" w:rsidRPr="00AC23CE">
        <w:t>exchange</w:t>
      </w:r>
      <w:r w:rsidR="001F0A05" w:rsidRPr="00AC23CE">
        <w:t xml:space="preserve"> information with others</w:t>
      </w:r>
      <w:r w:rsidR="00F45A1D">
        <w:t>,</w:t>
      </w:r>
      <w:r w:rsidR="001F0A05" w:rsidRPr="00AC23CE">
        <w:t xml:space="preserve"> thereby strengthening partnerships.</w:t>
      </w:r>
    </w:p>
    <w:p w14:paraId="116FB93F" w14:textId="4D77A6B8" w:rsidR="002803DE" w:rsidRPr="00AC23CE" w:rsidRDefault="00BB153B" w:rsidP="00694022">
      <w:pPr>
        <w:pStyle w:val="ListParagraph"/>
        <w:numPr>
          <w:ilvl w:val="1"/>
          <w:numId w:val="2"/>
        </w:numPr>
        <w:spacing w:after="0"/>
        <w:ind w:left="2160"/>
      </w:pPr>
      <w:r w:rsidRPr="00AC23CE">
        <w:t>Describe how the applicant</w:t>
      </w:r>
      <w:r w:rsidRPr="00AC23CE">
        <w:rPr>
          <w:b/>
        </w:rPr>
        <w:t xml:space="preserve"> </w:t>
      </w:r>
      <w:r w:rsidR="00AC23CE">
        <w:rPr>
          <w:b/>
        </w:rPr>
        <w:t>w</w:t>
      </w:r>
      <w:r w:rsidR="000E2E7F" w:rsidRPr="00AC23CE">
        <w:rPr>
          <w:b/>
        </w:rPr>
        <w:t xml:space="preserve">ill </w:t>
      </w:r>
      <w:r w:rsidR="00525CF8" w:rsidRPr="00AC23CE">
        <w:rPr>
          <w:b/>
        </w:rPr>
        <w:t>c</w:t>
      </w:r>
      <w:r w:rsidR="00AC0812" w:rsidRPr="00AC23CE">
        <w:rPr>
          <w:b/>
        </w:rPr>
        <w:t>onnect</w:t>
      </w:r>
      <w:r w:rsidR="00AC0812" w:rsidRPr="00AC23CE">
        <w:t xml:space="preserve"> </w:t>
      </w:r>
      <w:r w:rsidR="003760CB" w:rsidRPr="00AC23CE">
        <w:t>LEA</w:t>
      </w:r>
      <w:r w:rsidR="00AC0812" w:rsidRPr="00AC23CE">
        <w:t>s to</w:t>
      </w:r>
      <w:r w:rsidR="000B3CF4" w:rsidRPr="00AC23CE">
        <w:t xml:space="preserve"> </w:t>
      </w:r>
      <w:r w:rsidR="003760CB" w:rsidRPr="00AC23CE">
        <w:t>LLAs and other tobacco control partners</w:t>
      </w:r>
      <w:r w:rsidR="002803DE" w:rsidRPr="00AC23CE">
        <w:t>.</w:t>
      </w:r>
    </w:p>
    <w:p w14:paraId="55BF7501" w14:textId="23320592" w:rsidR="005523C7" w:rsidRPr="00AC23CE" w:rsidRDefault="004021FF" w:rsidP="00694022">
      <w:pPr>
        <w:pStyle w:val="ListParagraph"/>
        <w:numPr>
          <w:ilvl w:val="0"/>
          <w:numId w:val="5"/>
        </w:numPr>
        <w:spacing w:after="0"/>
      </w:pPr>
      <w:r>
        <w:rPr>
          <w:b/>
        </w:rPr>
        <w:t>Facilitator</w:t>
      </w:r>
    </w:p>
    <w:p w14:paraId="2CF893A3" w14:textId="7D99A382" w:rsidR="005523C7" w:rsidRPr="00AC23CE" w:rsidRDefault="00BB153B" w:rsidP="00694022">
      <w:pPr>
        <w:numPr>
          <w:ilvl w:val="1"/>
          <w:numId w:val="2"/>
        </w:numPr>
        <w:spacing w:after="0" w:line="231" w:lineRule="atLeast"/>
        <w:ind w:left="2160"/>
      </w:pPr>
      <w:r w:rsidRPr="00AC23CE">
        <w:t>Describe how the applicant</w:t>
      </w:r>
      <w:r w:rsidRPr="00AC23CE">
        <w:rPr>
          <w:b/>
        </w:rPr>
        <w:t xml:space="preserve"> </w:t>
      </w:r>
      <w:r w:rsidR="00AC23CE">
        <w:rPr>
          <w:b/>
        </w:rPr>
        <w:t>h</w:t>
      </w:r>
      <w:r w:rsidR="005523C7" w:rsidRPr="00AC23CE">
        <w:rPr>
          <w:b/>
        </w:rPr>
        <w:t>as facilitated</w:t>
      </w:r>
      <w:r w:rsidR="005523C7" w:rsidRPr="00AC23CE">
        <w:t xml:space="preserve"> and disseminated the implementation of training materials that outline the needs, challenges, and barriers of students around the use of tobacco products.</w:t>
      </w:r>
    </w:p>
    <w:p w14:paraId="574499BF" w14:textId="64F27B5D" w:rsidR="005523C7" w:rsidRPr="00AC23CE" w:rsidRDefault="00BB153B" w:rsidP="00694022">
      <w:pPr>
        <w:numPr>
          <w:ilvl w:val="1"/>
          <w:numId w:val="2"/>
        </w:numPr>
        <w:spacing w:after="0" w:line="231" w:lineRule="atLeast"/>
        <w:ind w:left="2160"/>
      </w:pPr>
      <w:r w:rsidRPr="00AC23CE">
        <w:t>Describe how the applicant</w:t>
      </w:r>
      <w:r w:rsidRPr="00AC23CE">
        <w:rPr>
          <w:b/>
        </w:rPr>
        <w:t xml:space="preserve"> </w:t>
      </w:r>
      <w:r w:rsidR="00AC23CE">
        <w:rPr>
          <w:b/>
        </w:rPr>
        <w:t>h</w:t>
      </w:r>
      <w:r w:rsidR="005523C7" w:rsidRPr="00AC23CE">
        <w:rPr>
          <w:b/>
        </w:rPr>
        <w:t>as delivered</w:t>
      </w:r>
      <w:r w:rsidR="005523C7" w:rsidRPr="00AC23CE">
        <w:t xml:space="preserve"> ongoing workshops and coaching</w:t>
      </w:r>
      <w:r w:rsidR="004021FF">
        <w:t xml:space="preserve"> via the w</w:t>
      </w:r>
      <w:r w:rsidR="00CC2ABD" w:rsidRPr="00AC23CE">
        <w:t>eb</w:t>
      </w:r>
      <w:r w:rsidR="005523C7" w:rsidRPr="00AC23CE">
        <w:t>.</w:t>
      </w:r>
    </w:p>
    <w:p w14:paraId="1EC071E6" w14:textId="51ABA43B" w:rsidR="00A175F9" w:rsidRPr="00AC23CE" w:rsidRDefault="00BB153B" w:rsidP="00694022">
      <w:pPr>
        <w:numPr>
          <w:ilvl w:val="1"/>
          <w:numId w:val="2"/>
        </w:numPr>
        <w:spacing w:after="0" w:line="231" w:lineRule="atLeast"/>
        <w:ind w:left="2160"/>
      </w:pPr>
      <w:r w:rsidRPr="00AC23CE">
        <w:t>Describe how the applicant</w:t>
      </w:r>
      <w:r w:rsidRPr="00AC23CE">
        <w:rPr>
          <w:b/>
        </w:rPr>
        <w:t xml:space="preserve"> </w:t>
      </w:r>
      <w:r w:rsidR="00AC23CE">
        <w:rPr>
          <w:b/>
        </w:rPr>
        <w:t>w</w:t>
      </w:r>
      <w:r w:rsidR="00A175F9" w:rsidRPr="00AC23CE">
        <w:rPr>
          <w:b/>
        </w:rPr>
        <w:t>ill facilitate and disseminate</w:t>
      </w:r>
      <w:r w:rsidR="00A175F9" w:rsidRPr="00AC23CE">
        <w:t xml:space="preserve"> the implementation of training materials that </w:t>
      </w:r>
      <w:r w:rsidR="005948BA" w:rsidRPr="00AC23CE">
        <w:t>outline</w:t>
      </w:r>
      <w:r w:rsidR="00A175F9" w:rsidRPr="00AC23CE">
        <w:t xml:space="preserve"> the needs, challenges, and barriers of students around the </w:t>
      </w:r>
      <w:r w:rsidR="005948BA" w:rsidRPr="00AC23CE">
        <w:t>use</w:t>
      </w:r>
      <w:r w:rsidR="00A175F9" w:rsidRPr="00AC23CE">
        <w:t xml:space="preserve"> of tobacco products</w:t>
      </w:r>
      <w:r w:rsidR="00EE633C">
        <w:t>.</w:t>
      </w:r>
    </w:p>
    <w:p w14:paraId="48F1BED5" w14:textId="4CE36058" w:rsidR="000479AF" w:rsidRDefault="00BB153B" w:rsidP="002A4386">
      <w:pPr>
        <w:numPr>
          <w:ilvl w:val="1"/>
          <w:numId w:val="2"/>
        </w:numPr>
        <w:spacing w:after="0" w:line="231" w:lineRule="atLeast"/>
        <w:ind w:left="2160"/>
      </w:pPr>
      <w:r w:rsidRPr="00AC23CE">
        <w:t>Describe how the applicant</w:t>
      </w:r>
      <w:r w:rsidRPr="003B54BE">
        <w:rPr>
          <w:b/>
        </w:rPr>
        <w:t xml:space="preserve"> </w:t>
      </w:r>
      <w:r w:rsidR="00AC23CE" w:rsidRPr="003B54BE">
        <w:rPr>
          <w:b/>
        </w:rPr>
        <w:t>w</w:t>
      </w:r>
      <w:r w:rsidR="00A175F9" w:rsidRPr="003B54BE">
        <w:rPr>
          <w:b/>
        </w:rPr>
        <w:t>ill deliver</w:t>
      </w:r>
      <w:r w:rsidR="00A175F9" w:rsidRPr="00AC23CE">
        <w:t xml:space="preserve"> ongoing </w:t>
      </w:r>
      <w:r w:rsidR="005948BA" w:rsidRPr="00AC23CE">
        <w:t>workshops</w:t>
      </w:r>
      <w:r w:rsidR="00A175F9" w:rsidRPr="00AC23CE">
        <w:t xml:space="preserve"> and coaching via the </w:t>
      </w:r>
      <w:r w:rsidR="00116EAD">
        <w:t>w</w:t>
      </w:r>
      <w:r w:rsidR="00A175F9" w:rsidRPr="00AC23CE">
        <w:t>eb.</w:t>
      </w:r>
      <w:bookmarkEnd w:id="40"/>
      <w:bookmarkEnd w:id="41"/>
      <w:bookmarkEnd w:id="96"/>
      <w:bookmarkEnd w:id="97"/>
    </w:p>
    <w:p w14:paraId="47E69852" w14:textId="7D0E8265" w:rsidR="00116EAD" w:rsidRDefault="000479AF" w:rsidP="00E15CE6">
      <w:pPr>
        <w:pStyle w:val="Heading3"/>
        <w:spacing w:before="480" w:after="0"/>
      </w:pPr>
      <w:bookmarkStart w:id="109" w:name="_Toc8915815"/>
      <w:r>
        <w:lastRenderedPageBreak/>
        <w:t>Application Checklist</w:t>
      </w:r>
      <w:bookmarkEnd w:id="109"/>
    </w:p>
    <w:p w14:paraId="18EB9098" w14:textId="32D74CAE" w:rsidR="00116EAD" w:rsidRPr="00496DAC" w:rsidRDefault="00116EAD" w:rsidP="00AC735A">
      <w:pPr>
        <w:ind w:left="720"/>
        <w:rPr>
          <w:bCs/>
          <w:color w:val="auto"/>
          <w:shd w:val="clear" w:color="auto" w:fill="auto"/>
        </w:rPr>
      </w:pPr>
      <w:r w:rsidRPr="00624EC2">
        <w:rPr>
          <w:color w:val="auto"/>
          <w:szCs w:val="20"/>
          <w:shd w:val="clear" w:color="auto" w:fill="auto"/>
        </w:rPr>
        <w:t xml:space="preserve">Applicants must submit a completed </w:t>
      </w:r>
      <w:r>
        <w:rPr>
          <w:color w:val="auto"/>
          <w:szCs w:val="20"/>
          <w:shd w:val="clear" w:color="auto" w:fill="auto"/>
        </w:rPr>
        <w:t xml:space="preserve">TUPE </w:t>
      </w:r>
      <w:r w:rsidR="00EE633C">
        <w:rPr>
          <w:color w:val="auto"/>
          <w:szCs w:val="20"/>
          <w:shd w:val="clear" w:color="auto" w:fill="auto"/>
        </w:rPr>
        <w:t>CBP</w:t>
      </w:r>
      <w:r>
        <w:rPr>
          <w:color w:val="auto"/>
          <w:szCs w:val="20"/>
          <w:shd w:val="clear" w:color="auto" w:fill="auto"/>
        </w:rPr>
        <w:t xml:space="preserve"> application</w:t>
      </w:r>
      <w:r w:rsidRPr="00624EC2">
        <w:rPr>
          <w:color w:val="auto"/>
          <w:szCs w:val="20"/>
          <w:shd w:val="clear" w:color="auto" w:fill="auto"/>
        </w:rPr>
        <w:t xml:space="preserve"> package to the CDE no later than </w:t>
      </w:r>
      <w:r w:rsidR="00A228FF">
        <w:rPr>
          <w:b/>
          <w:color w:val="auto"/>
          <w:szCs w:val="20"/>
          <w:shd w:val="clear" w:color="auto" w:fill="auto"/>
        </w:rPr>
        <w:t>August 30</w:t>
      </w:r>
      <w:r w:rsidRPr="00AC735A">
        <w:rPr>
          <w:b/>
          <w:color w:val="auto"/>
          <w:szCs w:val="20"/>
          <w:shd w:val="clear" w:color="auto" w:fill="auto"/>
        </w:rPr>
        <w:t>, 2019</w:t>
      </w:r>
      <w:r w:rsidRPr="00624EC2">
        <w:rPr>
          <w:b/>
          <w:color w:val="auto"/>
          <w:szCs w:val="20"/>
          <w:shd w:val="clear" w:color="auto" w:fill="auto"/>
        </w:rPr>
        <w:t>, at 4 p.m.,</w:t>
      </w:r>
      <w:r w:rsidRPr="00624EC2">
        <w:rPr>
          <w:b/>
          <w:color w:val="auto"/>
          <w:szCs w:val="20"/>
          <w:shd w:val="clear" w:color="auto" w:fill="auto"/>
          <w:lang w:eastAsia="x-none"/>
        </w:rPr>
        <w:t xml:space="preserve"> or the application will be disqualified.</w:t>
      </w:r>
      <w:r w:rsidRPr="00624EC2">
        <w:rPr>
          <w:color w:val="auto"/>
          <w:szCs w:val="20"/>
          <w:shd w:val="clear" w:color="auto" w:fill="auto"/>
          <w:lang w:eastAsia="x-none"/>
        </w:rPr>
        <w:t xml:space="preserve"> </w:t>
      </w:r>
      <w:r w:rsidRPr="00624EC2">
        <w:rPr>
          <w:bCs/>
          <w:color w:val="auto"/>
          <w:shd w:val="clear" w:color="auto" w:fill="auto"/>
        </w:rPr>
        <w:t>The various application elements must be assembled in the order listed below. Each of the following items must be submitted for the application to be considered complete. All forms referenced in this RFA may be found on the TUPE</w:t>
      </w:r>
      <w:r w:rsidRPr="00624EC2">
        <w:rPr>
          <w:rFonts w:ascii="Times New Roman" w:hAnsi="Times New Roman"/>
          <w:bCs/>
          <w:color w:val="auto"/>
          <w:szCs w:val="20"/>
          <w:shd w:val="clear" w:color="auto" w:fill="auto"/>
        </w:rPr>
        <w:t xml:space="preserve"> </w:t>
      </w:r>
      <w:r w:rsidRPr="00624EC2">
        <w:rPr>
          <w:bCs/>
          <w:color w:val="auto"/>
          <w:shd w:val="clear" w:color="auto" w:fill="auto"/>
        </w:rPr>
        <w:t xml:space="preserve">Funding web page at </w:t>
      </w:r>
      <w:hyperlink r:id="rId28" w:tooltip="California Department of Education Tobacco-Use Prevention Education Funding Web Page Link" w:history="1">
        <w:r w:rsidRPr="00624EC2">
          <w:rPr>
            <w:rFonts w:cs="Times New Roman"/>
            <w:bCs/>
            <w:color w:val="0000FF"/>
            <w:u w:val="single"/>
            <w:shd w:val="clear" w:color="auto" w:fill="auto"/>
          </w:rPr>
          <w:t>https://www.cde.ca.gov/ls/he/at/tupefunding.asp</w:t>
        </w:r>
      </w:hyperlink>
      <w:r w:rsidRPr="00624EC2">
        <w:rPr>
          <w:bCs/>
          <w:color w:val="auto"/>
          <w:shd w:val="clear" w:color="auto" w:fill="auto"/>
        </w:rPr>
        <w:t>.</w:t>
      </w:r>
    </w:p>
    <w:p w14:paraId="2016C78D" w14:textId="08A58FA6" w:rsidR="00116EAD" w:rsidRPr="007635C9" w:rsidRDefault="00116EAD" w:rsidP="007635C9">
      <w:pPr>
        <w:pStyle w:val="ListParagraph"/>
        <w:numPr>
          <w:ilvl w:val="0"/>
          <w:numId w:val="49"/>
        </w:numPr>
        <w:spacing w:before="0" w:after="0"/>
        <w:rPr>
          <w:b/>
          <w:color w:val="auto"/>
          <w:szCs w:val="20"/>
          <w:shd w:val="clear" w:color="auto" w:fill="auto"/>
        </w:rPr>
      </w:pPr>
      <w:r w:rsidRPr="007635C9">
        <w:rPr>
          <w:b/>
          <w:color w:val="auto"/>
          <w:szCs w:val="20"/>
          <w:shd w:val="clear" w:color="auto" w:fill="auto"/>
        </w:rPr>
        <w:t>Intent to Submit an Application (Attachment A)</w:t>
      </w:r>
      <w:r w:rsidRPr="007635C9">
        <w:rPr>
          <w:color w:val="auto"/>
          <w:szCs w:val="20"/>
          <w:shd w:val="clear" w:color="auto" w:fill="auto"/>
        </w:rPr>
        <w:t>—</w:t>
      </w:r>
      <w:r w:rsidRPr="007635C9">
        <w:rPr>
          <w:bCs/>
          <w:color w:val="auto"/>
          <w:shd w:val="clear" w:color="auto" w:fill="auto"/>
        </w:rPr>
        <w:t>The abstract must include the applicant agency name, the project coordinator nam</w:t>
      </w:r>
      <w:r w:rsidR="00B06D5E" w:rsidRPr="007635C9">
        <w:rPr>
          <w:bCs/>
          <w:color w:val="auto"/>
          <w:shd w:val="clear" w:color="auto" w:fill="auto"/>
        </w:rPr>
        <w:t>e, and contact information. B</w:t>
      </w:r>
      <w:r w:rsidRPr="007635C9">
        <w:rPr>
          <w:bCs/>
          <w:color w:val="auto"/>
          <w:shd w:val="clear" w:color="auto" w:fill="auto"/>
        </w:rPr>
        <w:t xml:space="preserve">riefly describe how the proposed program will address the capacity building needs of TUPE programs around the state. </w:t>
      </w:r>
      <w:r w:rsidRPr="007635C9">
        <w:rPr>
          <w:b/>
          <w:bCs/>
          <w:color w:val="auto"/>
          <w:shd w:val="clear" w:color="auto" w:fill="auto"/>
        </w:rPr>
        <w:t>D</w:t>
      </w:r>
      <w:r w:rsidRPr="007635C9">
        <w:rPr>
          <w:b/>
          <w:color w:val="auto"/>
          <w:szCs w:val="20"/>
          <w:shd w:val="clear" w:color="auto" w:fill="auto"/>
        </w:rPr>
        <w:t xml:space="preserve">ue </w:t>
      </w:r>
      <w:r w:rsidR="00A228FF">
        <w:rPr>
          <w:b/>
          <w:color w:val="auto"/>
          <w:szCs w:val="20"/>
          <w:shd w:val="clear" w:color="auto" w:fill="auto"/>
        </w:rPr>
        <w:t>August 6</w:t>
      </w:r>
      <w:r w:rsidRPr="007635C9">
        <w:rPr>
          <w:b/>
          <w:color w:val="auto"/>
          <w:szCs w:val="20"/>
          <w:shd w:val="clear" w:color="auto" w:fill="auto"/>
        </w:rPr>
        <w:t>, 2019</w:t>
      </w:r>
      <w:r w:rsidR="00B06D5E" w:rsidRPr="007635C9">
        <w:rPr>
          <w:b/>
          <w:color w:val="auto"/>
          <w:szCs w:val="20"/>
          <w:shd w:val="clear" w:color="auto" w:fill="auto"/>
        </w:rPr>
        <w:t>.</w:t>
      </w:r>
    </w:p>
    <w:p w14:paraId="24F225C5" w14:textId="1E480E6F" w:rsidR="00116EAD" w:rsidRPr="005502A8" w:rsidRDefault="00116EAD" w:rsidP="00116EAD">
      <w:pPr>
        <w:pStyle w:val="ListParagraph"/>
        <w:numPr>
          <w:ilvl w:val="0"/>
          <w:numId w:val="34"/>
        </w:numPr>
        <w:spacing w:after="0"/>
        <w:rPr>
          <w:bCs/>
          <w:color w:val="auto"/>
          <w:shd w:val="clear" w:color="auto" w:fill="auto"/>
        </w:rPr>
      </w:pPr>
      <w:r w:rsidRPr="005502A8">
        <w:rPr>
          <w:b/>
          <w:bCs/>
          <w:color w:val="auto"/>
          <w:shd w:val="clear" w:color="auto" w:fill="auto"/>
        </w:rPr>
        <w:t>Application Cover Page (Attachment B)</w:t>
      </w:r>
      <w:r w:rsidRPr="005502A8">
        <w:rPr>
          <w:bCs/>
          <w:color w:val="auto"/>
          <w:shd w:val="clear" w:color="auto" w:fill="auto"/>
        </w:rPr>
        <w:t xml:space="preserve"> with original, wet signature from the Superintendent or Designee </w:t>
      </w:r>
      <w:r w:rsidR="00B06D5E">
        <w:rPr>
          <w:bCs/>
          <w:color w:val="auto"/>
          <w:shd w:val="clear" w:color="auto" w:fill="auto"/>
        </w:rPr>
        <w:t>in blue ink.</w:t>
      </w:r>
    </w:p>
    <w:p w14:paraId="789FBD38" w14:textId="063540A0" w:rsidR="00116EAD" w:rsidRPr="005502A8" w:rsidRDefault="00116EAD" w:rsidP="00116EAD">
      <w:pPr>
        <w:pStyle w:val="ListParagraph"/>
        <w:numPr>
          <w:ilvl w:val="0"/>
          <w:numId w:val="34"/>
        </w:numPr>
        <w:spacing w:after="0"/>
        <w:rPr>
          <w:bCs/>
          <w:color w:val="auto"/>
          <w:shd w:val="clear" w:color="auto" w:fill="auto"/>
        </w:rPr>
      </w:pPr>
      <w:r w:rsidRPr="005502A8">
        <w:rPr>
          <w:b/>
          <w:bCs/>
          <w:iCs/>
          <w:color w:val="auto"/>
          <w:shd w:val="clear" w:color="auto" w:fill="auto"/>
        </w:rPr>
        <w:t>Authorized Designee Form (Attachment C)</w:t>
      </w:r>
      <w:r w:rsidRPr="005502A8">
        <w:rPr>
          <w:bCs/>
          <w:iCs/>
          <w:color w:val="auto"/>
          <w:shd w:val="clear" w:color="auto" w:fill="auto"/>
        </w:rPr>
        <w:t xml:space="preserve"> and a copy of a </w:t>
      </w:r>
      <w:r w:rsidRPr="005502A8">
        <w:rPr>
          <w:b/>
          <w:bCs/>
          <w:iCs/>
          <w:color w:val="auto"/>
          <w:shd w:val="clear" w:color="auto" w:fill="auto"/>
        </w:rPr>
        <w:t>recent governing board resolution or minutes</w:t>
      </w:r>
      <w:r w:rsidRPr="00B06D5E">
        <w:rPr>
          <w:b/>
          <w:bCs/>
          <w:iCs/>
          <w:color w:val="auto"/>
          <w:shd w:val="clear" w:color="auto" w:fill="auto"/>
        </w:rPr>
        <w:t>,</w:t>
      </w:r>
      <w:r w:rsidRPr="005502A8">
        <w:rPr>
          <w:bCs/>
          <w:iCs/>
          <w:color w:val="auto"/>
          <w:shd w:val="clear" w:color="auto" w:fill="auto"/>
        </w:rPr>
        <w:t xml:space="preserve"> specifically authorizing the Designee to accept and sign </w:t>
      </w:r>
      <w:r w:rsidRPr="005502A8">
        <w:rPr>
          <w:bCs/>
          <w:color w:val="auto"/>
          <w:shd w:val="clear" w:color="auto" w:fill="auto"/>
        </w:rPr>
        <w:t>as a proxy for financial statements and legally binding documents (applicable only if a Designee is signing in the absence of the Superintendent)</w:t>
      </w:r>
      <w:r w:rsidR="00067634">
        <w:rPr>
          <w:bCs/>
          <w:color w:val="auto"/>
          <w:shd w:val="clear" w:color="auto" w:fill="auto"/>
        </w:rPr>
        <w:t>.</w:t>
      </w:r>
    </w:p>
    <w:p w14:paraId="232B1890" w14:textId="7E9B65C6" w:rsidR="00116EAD" w:rsidRPr="005502A8" w:rsidRDefault="00116EAD" w:rsidP="00116EAD">
      <w:pPr>
        <w:pStyle w:val="ListParagraph"/>
        <w:numPr>
          <w:ilvl w:val="0"/>
          <w:numId w:val="34"/>
        </w:numPr>
        <w:spacing w:after="0"/>
        <w:rPr>
          <w:bCs/>
          <w:color w:val="auto"/>
          <w:shd w:val="clear" w:color="auto" w:fill="auto"/>
        </w:rPr>
      </w:pPr>
      <w:r w:rsidRPr="005502A8">
        <w:rPr>
          <w:b/>
          <w:bCs/>
          <w:color w:val="auto"/>
          <w:shd w:val="clear" w:color="auto" w:fill="auto"/>
        </w:rPr>
        <w:t xml:space="preserve">Application Narrative </w:t>
      </w:r>
      <w:r w:rsidR="006A2903">
        <w:rPr>
          <w:bCs/>
          <w:color w:val="auto"/>
          <w:shd w:val="clear" w:color="auto" w:fill="auto"/>
        </w:rPr>
        <w:t>(maximum of six</w:t>
      </w:r>
      <w:r w:rsidRPr="005502A8">
        <w:rPr>
          <w:bCs/>
          <w:color w:val="auto"/>
          <w:shd w:val="clear" w:color="auto" w:fill="auto"/>
        </w:rPr>
        <w:t xml:space="preserve"> pages)</w:t>
      </w:r>
    </w:p>
    <w:p w14:paraId="475A12AC" w14:textId="77777777" w:rsidR="00116EAD" w:rsidRDefault="00116EAD" w:rsidP="00116EAD">
      <w:pPr>
        <w:pStyle w:val="ListParagraph"/>
        <w:numPr>
          <w:ilvl w:val="0"/>
          <w:numId w:val="34"/>
        </w:numPr>
        <w:spacing w:after="0"/>
        <w:rPr>
          <w:b/>
          <w:bCs/>
          <w:color w:val="auto"/>
          <w:shd w:val="clear" w:color="auto" w:fill="auto"/>
        </w:rPr>
      </w:pPr>
      <w:r w:rsidRPr="005502A8">
        <w:rPr>
          <w:b/>
          <w:bCs/>
          <w:color w:val="auto"/>
          <w:shd w:val="clear" w:color="auto" w:fill="auto"/>
        </w:rPr>
        <w:t>Budget Summary (Attachment D) and Budget Justification (Attachment E)</w:t>
      </w:r>
    </w:p>
    <w:p w14:paraId="3C205EFC" w14:textId="5BC10919" w:rsidR="008B6429" w:rsidRPr="00721B4F" w:rsidRDefault="00721B4F" w:rsidP="00116EAD">
      <w:pPr>
        <w:pStyle w:val="ListParagraph"/>
        <w:numPr>
          <w:ilvl w:val="0"/>
          <w:numId w:val="34"/>
        </w:numPr>
        <w:spacing w:after="0"/>
        <w:rPr>
          <w:b/>
          <w:bCs/>
          <w:color w:val="auto"/>
          <w:shd w:val="clear" w:color="auto" w:fill="auto"/>
        </w:rPr>
      </w:pPr>
      <w:r w:rsidRPr="00721B4F">
        <w:rPr>
          <w:b/>
          <w:bCs/>
          <w:color w:val="auto"/>
          <w:shd w:val="clear" w:color="auto" w:fill="auto"/>
        </w:rPr>
        <w:t xml:space="preserve">Grant Certified Assurances </w:t>
      </w:r>
      <w:r w:rsidR="006D47B4" w:rsidRPr="00721B4F">
        <w:rPr>
          <w:b/>
          <w:bCs/>
          <w:color w:val="auto"/>
          <w:shd w:val="clear" w:color="auto" w:fill="auto"/>
        </w:rPr>
        <w:t>(Attachment F)</w:t>
      </w:r>
    </w:p>
    <w:p w14:paraId="3C772052" w14:textId="77777777" w:rsidR="008B6429" w:rsidRPr="006D47B4" w:rsidRDefault="008B6429" w:rsidP="006D47B4">
      <w:pPr>
        <w:spacing w:after="0"/>
        <w:ind w:left="1080"/>
        <w:rPr>
          <w:b/>
          <w:bCs/>
          <w:color w:val="auto"/>
          <w:highlight w:val="yellow"/>
          <w:shd w:val="clear" w:color="auto" w:fill="auto"/>
        </w:rPr>
      </w:pPr>
    </w:p>
    <w:p w14:paraId="5F40AA25" w14:textId="263300AD" w:rsidR="00142749" w:rsidRPr="0084294F" w:rsidRDefault="00142749" w:rsidP="0084294F">
      <w:pPr>
        <w:ind w:left="1080"/>
        <w:rPr>
          <w:b/>
          <w:color w:val="auto"/>
          <w:shd w:val="clear" w:color="auto" w:fill="auto"/>
        </w:rPr>
        <w:sectPr w:rsidR="00142749" w:rsidRPr="0084294F" w:rsidSect="00972A63">
          <w:footerReference w:type="default" r:id="rId29"/>
          <w:pgSz w:w="12240" w:h="15840"/>
          <w:pgMar w:top="1440" w:right="1440" w:bottom="1440" w:left="1440" w:header="720" w:footer="720" w:gutter="0"/>
          <w:cols w:space="720"/>
          <w:docGrid w:linePitch="360"/>
        </w:sectPr>
      </w:pPr>
    </w:p>
    <w:p w14:paraId="51BEEADD" w14:textId="1906B93F" w:rsidR="00142749" w:rsidRPr="00142749" w:rsidRDefault="00142749" w:rsidP="00142749">
      <w:pPr>
        <w:spacing w:after="0"/>
        <w:jc w:val="right"/>
      </w:pPr>
      <w:r w:rsidRPr="00142749">
        <w:lastRenderedPageBreak/>
        <w:t>Appendix 1</w:t>
      </w:r>
    </w:p>
    <w:p w14:paraId="5A9E4D9D" w14:textId="1C956E53" w:rsidR="00142749" w:rsidRPr="00142749" w:rsidRDefault="00142749" w:rsidP="0071592E">
      <w:pPr>
        <w:spacing w:before="0" w:after="480"/>
        <w:jc w:val="right"/>
      </w:pPr>
      <w:r w:rsidRPr="00142749">
        <w:t>Page 1 of 5</w:t>
      </w:r>
    </w:p>
    <w:p w14:paraId="16FA8607" w14:textId="77777777" w:rsidR="0033794A" w:rsidRPr="0033794A" w:rsidRDefault="0033794A" w:rsidP="0033794A">
      <w:pPr>
        <w:keepNext/>
        <w:spacing w:before="0" w:after="480"/>
        <w:jc w:val="center"/>
        <w:outlineLvl w:val="2"/>
        <w:rPr>
          <w:b/>
          <w:color w:val="auto"/>
          <w:sz w:val="28"/>
          <w:szCs w:val="28"/>
          <w:shd w:val="clear" w:color="auto" w:fill="auto"/>
        </w:rPr>
      </w:pPr>
      <w:bookmarkStart w:id="110" w:name="_Toc6831558"/>
      <w:bookmarkStart w:id="111" w:name="_Toc8915816"/>
      <w:bookmarkStart w:id="112" w:name="_GoBack"/>
      <w:bookmarkEnd w:id="112"/>
      <w:r w:rsidRPr="0033794A">
        <w:rPr>
          <w:b/>
          <w:color w:val="auto"/>
          <w:sz w:val="28"/>
          <w:szCs w:val="28"/>
          <w:shd w:val="clear" w:color="auto" w:fill="auto"/>
        </w:rPr>
        <w:t>Appendix 1: Scoring Form and Rubric</w:t>
      </w:r>
      <w:bookmarkEnd w:id="110"/>
      <w:bookmarkEnd w:id="111"/>
    </w:p>
    <w:tbl>
      <w:tblPr>
        <w:tblStyle w:val="TableGrid4"/>
        <w:tblW w:w="7720" w:type="dxa"/>
        <w:jc w:val="center"/>
        <w:tblLook w:val="04A0" w:firstRow="1" w:lastRow="0" w:firstColumn="1" w:lastColumn="0" w:noHBand="0" w:noVBand="1"/>
        <w:tblDescription w:val="Rubric category"/>
      </w:tblPr>
      <w:tblGrid>
        <w:gridCol w:w="4720"/>
        <w:gridCol w:w="1500"/>
        <w:gridCol w:w="1500"/>
      </w:tblGrid>
      <w:tr w:rsidR="0063426B" w:rsidRPr="00142749" w14:paraId="1E9D2C8D" w14:textId="77777777" w:rsidTr="00DA726E">
        <w:trPr>
          <w:cantSplit/>
          <w:trHeight w:val="645"/>
          <w:tblHeader/>
          <w:jc w:val="center"/>
        </w:trPr>
        <w:tc>
          <w:tcPr>
            <w:tcW w:w="4720" w:type="dxa"/>
            <w:hideMark/>
          </w:tcPr>
          <w:p w14:paraId="138B6A04" w14:textId="77777777" w:rsidR="0063426B" w:rsidRPr="00142749" w:rsidRDefault="0063426B" w:rsidP="00142749">
            <w:pPr>
              <w:spacing w:before="0"/>
              <w:jc w:val="center"/>
              <w:rPr>
                <w:b/>
                <w:bCs/>
                <w:shd w:val="clear" w:color="auto" w:fill="auto"/>
              </w:rPr>
            </w:pPr>
            <w:r w:rsidRPr="00142749">
              <w:rPr>
                <w:b/>
                <w:bCs/>
                <w:shd w:val="clear" w:color="auto" w:fill="auto"/>
              </w:rPr>
              <w:t>Rubric Category</w:t>
            </w:r>
          </w:p>
        </w:tc>
        <w:tc>
          <w:tcPr>
            <w:tcW w:w="1500" w:type="dxa"/>
          </w:tcPr>
          <w:p w14:paraId="666EE2EF" w14:textId="143873C3" w:rsidR="0063426B" w:rsidRPr="00142749" w:rsidRDefault="0063426B" w:rsidP="00142749">
            <w:pPr>
              <w:spacing w:before="0"/>
              <w:jc w:val="center"/>
              <w:rPr>
                <w:b/>
                <w:bCs/>
                <w:shd w:val="clear" w:color="auto" w:fill="auto"/>
              </w:rPr>
            </w:pPr>
            <w:r w:rsidRPr="00142749">
              <w:rPr>
                <w:b/>
                <w:bCs/>
                <w:shd w:val="clear" w:color="auto" w:fill="auto"/>
              </w:rPr>
              <w:t xml:space="preserve">Score </w:t>
            </w:r>
          </w:p>
        </w:tc>
        <w:tc>
          <w:tcPr>
            <w:tcW w:w="1500" w:type="dxa"/>
            <w:hideMark/>
          </w:tcPr>
          <w:p w14:paraId="4704CF9A" w14:textId="77777777" w:rsidR="0063426B" w:rsidRPr="00142749" w:rsidRDefault="0063426B" w:rsidP="00142749">
            <w:pPr>
              <w:spacing w:before="0"/>
              <w:jc w:val="center"/>
              <w:rPr>
                <w:b/>
                <w:bCs/>
                <w:shd w:val="clear" w:color="auto" w:fill="auto"/>
              </w:rPr>
            </w:pPr>
            <w:r w:rsidRPr="00142749">
              <w:rPr>
                <w:b/>
                <w:bCs/>
                <w:shd w:val="clear" w:color="auto" w:fill="auto"/>
              </w:rPr>
              <w:t>Possible Points</w:t>
            </w:r>
          </w:p>
        </w:tc>
      </w:tr>
      <w:tr w:rsidR="0063426B" w:rsidRPr="00142749" w14:paraId="3D1106BA" w14:textId="77777777" w:rsidTr="00DA726E">
        <w:trPr>
          <w:cantSplit/>
          <w:trHeight w:val="615"/>
          <w:jc w:val="center"/>
        </w:trPr>
        <w:tc>
          <w:tcPr>
            <w:tcW w:w="4720" w:type="dxa"/>
            <w:vAlign w:val="center"/>
          </w:tcPr>
          <w:p w14:paraId="0EC2DC64" w14:textId="77777777" w:rsidR="0063426B" w:rsidRPr="00142749" w:rsidRDefault="0063426B" w:rsidP="00142749">
            <w:pPr>
              <w:spacing w:before="0"/>
              <w:rPr>
                <w:bCs/>
                <w:shd w:val="clear" w:color="auto" w:fill="auto"/>
              </w:rPr>
            </w:pPr>
            <w:r w:rsidRPr="00142749">
              <w:rPr>
                <w:bCs/>
                <w:shd w:val="clear" w:color="auto" w:fill="auto"/>
              </w:rPr>
              <w:t>Capacity Builder</w:t>
            </w:r>
          </w:p>
        </w:tc>
        <w:tc>
          <w:tcPr>
            <w:tcW w:w="1500" w:type="dxa"/>
            <w:vAlign w:val="center"/>
          </w:tcPr>
          <w:p w14:paraId="648DA086" w14:textId="0E3B8917" w:rsidR="0063426B" w:rsidRPr="00142749" w:rsidRDefault="0063426B" w:rsidP="00142749">
            <w:pPr>
              <w:spacing w:before="0"/>
              <w:jc w:val="center"/>
              <w:rPr>
                <w:bCs/>
                <w:shd w:val="clear" w:color="auto" w:fill="auto"/>
              </w:rPr>
            </w:pPr>
          </w:p>
        </w:tc>
        <w:tc>
          <w:tcPr>
            <w:tcW w:w="1500" w:type="dxa"/>
            <w:vAlign w:val="center"/>
          </w:tcPr>
          <w:p w14:paraId="2854175D" w14:textId="77777777" w:rsidR="0063426B" w:rsidRPr="00142749" w:rsidRDefault="0063426B" w:rsidP="00142749">
            <w:pPr>
              <w:spacing w:before="0"/>
              <w:jc w:val="center"/>
              <w:rPr>
                <w:bCs/>
                <w:shd w:val="clear" w:color="auto" w:fill="auto"/>
              </w:rPr>
            </w:pPr>
            <w:r w:rsidRPr="00142749">
              <w:rPr>
                <w:bCs/>
                <w:shd w:val="clear" w:color="auto" w:fill="auto"/>
              </w:rPr>
              <w:t>40</w:t>
            </w:r>
          </w:p>
        </w:tc>
      </w:tr>
      <w:tr w:rsidR="0063426B" w:rsidRPr="00142749" w14:paraId="705FE917" w14:textId="77777777" w:rsidTr="00DA726E">
        <w:trPr>
          <w:cantSplit/>
          <w:trHeight w:val="615"/>
          <w:jc w:val="center"/>
        </w:trPr>
        <w:tc>
          <w:tcPr>
            <w:tcW w:w="4720" w:type="dxa"/>
            <w:vAlign w:val="center"/>
          </w:tcPr>
          <w:p w14:paraId="513BF366" w14:textId="77777777" w:rsidR="0063426B" w:rsidRPr="00142749" w:rsidRDefault="0063426B" w:rsidP="00142749">
            <w:pPr>
              <w:spacing w:before="0"/>
              <w:rPr>
                <w:bCs/>
                <w:shd w:val="clear" w:color="auto" w:fill="auto"/>
              </w:rPr>
            </w:pPr>
            <w:r w:rsidRPr="00142749">
              <w:rPr>
                <w:bCs/>
                <w:shd w:val="clear" w:color="auto" w:fill="auto"/>
              </w:rPr>
              <w:t>Resource Connector</w:t>
            </w:r>
          </w:p>
        </w:tc>
        <w:tc>
          <w:tcPr>
            <w:tcW w:w="1500" w:type="dxa"/>
            <w:vAlign w:val="center"/>
          </w:tcPr>
          <w:p w14:paraId="03F56421" w14:textId="2E8E11FD" w:rsidR="0063426B" w:rsidRPr="00142749" w:rsidRDefault="0063426B" w:rsidP="00142749">
            <w:pPr>
              <w:spacing w:before="0"/>
              <w:jc w:val="center"/>
              <w:rPr>
                <w:bCs/>
                <w:shd w:val="clear" w:color="auto" w:fill="auto"/>
              </w:rPr>
            </w:pPr>
          </w:p>
        </w:tc>
        <w:tc>
          <w:tcPr>
            <w:tcW w:w="1500" w:type="dxa"/>
            <w:vAlign w:val="center"/>
          </w:tcPr>
          <w:p w14:paraId="780EF1D1" w14:textId="77777777" w:rsidR="0063426B" w:rsidRPr="00142749" w:rsidRDefault="0063426B" w:rsidP="00142749">
            <w:pPr>
              <w:spacing w:before="0"/>
              <w:jc w:val="center"/>
              <w:rPr>
                <w:bCs/>
                <w:shd w:val="clear" w:color="auto" w:fill="auto"/>
              </w:rPr>
            </w:pPr>
            <w:r w:rsidRPr="00142749">
              <w:rPr>
                <w:bCs/>
                <w:shd w:val="clear" w:color="auto" w:fill="auto"/>
              </w:rPr>
              <w:t>24</w:t>
            </w:r>
          </w:p>
        </w:tc>
      </w:tr>
      <w:tr w:rsidR="0063426B" w:rsidRPr="00142749" w14:paraId="5DD60D9B" w14:textId="77777777" w:rsidTr="00DA726E">
        <w:trPr>
          <w:cantSplit/>
          <w:trHeight w:val="315"/>
          <w:jc w:val="center"/>
        </w:trPr>
        <w:tc>
          <w:tcPr>
            <w:tcW w:w="4720" w:type="dxa"/>
            <w:vAlign w:val="center"/>
          </w:tcPr>
          <w:p w14:paraId="2A7E1576" w14:textId="77777777" w:rsidR="0063426B" w:rsidRPr="00142749" w:rsidRDefault="0063426B" w:rsidP="00142749">
            <w:pPr>
              <w:spacing w:before="0"/>
              <w:rPr>
                <w:bCs/>
                <w:shd w:val="clear" w:color="auto" w:fill="auto"/>
              </w:rPr>
            </w:pPr>
            <w:r w:rsidRPr="00142749">
              <w:rPr>
                <w:bCs/>
                <w:shd w:val="clear" w:color="auto" w:fill="auto"/>
              </w:rPr>
              <w:t>Facilitator</w:t>
            </w:r>
          </w:p>
        </w:tc>
        <w:tc>
          <w:tcPr>
            <w:tcW w:w="1500" w:type="dxa"/>
            <w:vAlign w:val="center"/>
          </w:tcPr>
          <w:p w14:paraId="420A1E51" w14:textId="2570DE3E" w:rsidR="0063426B" w:rsidRPr="00142749" w:rsidRDefault="0063426B" w:rsidP="00142749">
            <w:pPr>
              <w:spacing w:before="0"/>
              <w:jc w:val="center"/>
              <w:rPr>
                <w:bCs/>
                <w:shd w:val="clear" w:color="auto" w:fill="auto"/>
              </w:rPr>
            </w:pPr>
          </w:p>
        </w:tc>
        <w:tc>
          <w:tcPr>
            <w:tcW w:w="1500" w:type="dxa"/>
            <w:vAlign w:val="center"/>
          </w:tcPr>
          <w:p w14:paraId="1939EA16" w14:textId="530BE1A7" w:rsidR="0063426B" w:rsidRPr="00142749" w:rsidRDefault="00EE1D2F" w:rsidP="00142749">
            <w:pPr>
              <w:spacing w:before="0"/>
              <w:jc w:val="center"/>
              <w:rPr>
                <w:bCs/>
                <w:shd w:val="clear" w:color="auto" w:fill="auto"/>
              </w:rPr>
            </w:pPr>
            <w:r>
              <w:rPr>
                <w:bCs/>
                <w:shd w:val="clear" w:color="auto" w:fill="auto"/>
              </w:rPr>
              <w:t>20</w:t>
            </w:r>
          </w:p>
        </w:tc>
      </w:tr>
      <w:tr w:rsidR="0063426B" w:rsidRPr="00142749" w14:paraId="336DF351" w14:textId="77777777" w:rsidTr="00DA726E">
        <w:trPr>
          <w:cantSplit/>
          <w:trHeight w:val="315"/>
          <w:jc w:val="center"/>
        </w:trPr>
        <w:tc>
          <w:tcPr>
            <w:tcW w:w="4720" w:type="dxa"/>
            <w:vAlign w:val="center"/>
          </w:tcPr>
          <w:p w14:paraId="77D4D550" w14:textId="77777777" w:rsidR="0063426B" w:rsidRPr="00142749" w:rsidRDefault="0063426B" w:rsidP="00142749">
            <w:pPr>
              <w:spacing w:before="0"/>
              <w:rPr>
                <w:bCs/>
                <w:color w:val="auto"/>
                <w:shd w:val="clear" w:color="auto" w:fill="auto"/>
              </w:rPr>
            </w:pPr>
            <w:r w:rsidRPr="00142749">
              <w:rPr>
                <w:bCs/>
                <w:color w:val="auto"/>
                <w:shd w:val="clear" w:color="auto" w:fill="auto"/>
              </w:rPr>
              <w:t>Project Budget Justification</w:t>
            </w:r>
          </w:p>
        </w:tc>
        <w:tc>
          <w:tcPr>
            <w:tcW w:w="1500" w:type="dxa"/>
            <w:vAlign w:val="center"/>
          </w:tcPr>
          <w:p w14:paraId="3B084E61" w14:textId="13562DC0" w:rsidR="0063426B" w:rsidRPr="00142749" w:rsidRDefault="0063426B" w:rsidP="00142749">
            <w:pPr>
              <w:spacing w:before="0"/>
              <w:jc w:val="center"/>
              <w:rPr>
                <w:bCs/>
                <w:shd w:val="clear" w:color="auto" w:fill="auto"/>
              </w:rPr>
            </w:pPr>
          </w:p>
        </w:tc>
        <w:tc>
          <w:tcPr>
            <w:tcW w:w="1500" w:type="dxa"/>
            <w:vAlign w:val="center"/>
          </w:tcPr>
          <w:p w14:paraId="48B3C3DE" w14:textId="1A5389C2" w:rsidR="0063426B" w:rsidRPr="00142749" w:rsidRDefault="00EE1D2F" w:rsidP="00142749">
            <w:pPr>
              <w:spacing w:before="0"/>
              <w:jc w:val="center"/>
              <w:rPr>
                <w:bCs/>
                <w:shd w:val="clear" w:color="auto" w:fill="auto"/>
              </w:rPr>
            </w:pPr>
            <w:r>
              <w:rPr>
                <w:bCs/>
                <w:shd w:val="clear" w:color="auto" w:fill="auto"/>
              </w:rPr>
              <w:t>1</w:t>
            </w:r>
            <w:r w:rsidR="003F6C2D">
              <w:rPr>
                <w:bCs/>
                <w:shd w:val="clear" w:color="auto" w:fill="auto"/>
              </w:rPr>
              <w:t>6</w:t>
            </w:r>
          </w:p>
        </w:tc>
      </w:tr>
      <w:tr w:rsidR="0063426B" w:rsidRPr="00142749" w14:paraId="40C69F0D" w14:textId="77777777" w:rsidTr="00DA726E">
        <w:trPr>
          <w:cantSplit/>
          <w:trHeight w:val="315"/>
          <w:jc w:val="center"/>
        </w:trPr>
        <w:tc>
          <w:tcPr>
            <w:tcW w:w="4720" w:type="dxa"/>
            <w:vAlign w:val="center"/>
          </w:tcPr>
          <w:p w14:paraId="1C1C31D6" w14:textId="77777777" w:rsidR="0063426B" w:rsidRPr="00142749" w:rsidRDefault="0063426B" w:rsidP="00142749">
            <w:pPr>
              <w:spacing w:before="0"/>
              <w:rPr>
                <w:b/>
                <w:bCs/>
                <w:color w:val="auto"/>
                <w:shd w:val="clear" w:color="auto" w:fill="auto"/>
              </w:rPr>
            </w:pPr>
            <w:r w:rsidRPr="00142749">
              <w:rPr>
                <w:b/>
                <w:bCs/>
                <w:color w:val="auto"/>
                <w:shd w:val="clear" w:color="auto" w:fill="auto"/>
              </w:rPr>
              <w:t>TOTAL</w:t>
            </w:r>
          </w:p>
        </w:tc>
        <w:tc>
          <w:tcPr>
            <w:tcW w:w="1500" w:type="dxa"/>
            <w:vAlign w:val="center"/>
          </w:tcPr>
          <w:p w14:paraId="00B09631" w14:textId="02AB44FD" w:rsidR="0063426B" w:rsidRPr="00142749" w:rsidRDefault="0063426B" w:rsidP="00142749">
            <w:pPr>
              <w:spacing w:before="0"/>
              <w:jc w:val="center"/>
              <w:rPr>
                <w:bCs/>
                <w:shd w:val="clear" w:color="auto" w:fill="auto"/>
              </w:rPr>
            </w:pPr>
          </w:p>
        </w:tc>
        <w:tc>
          <w:tcPr>
            <w:tcW w:w="1500" w:type="dxa"/>
            <w:vAlign w:val="center"/>
          </w:tcPr>
          <w:p w14:paraId="117E992A" w14:textId="77777777" w:rsidR="0063426B" w:rsidRPr="00142749" w:rsidRDefault="0063426B" w:rsidP="00142749">
            <w:pPr>
              <w:spacing w:before="0"/>
              <w:jc w:val="center"/>
              <w:rPr>
                <w:bCs/>
                <w:shd w:val="clear" w:color="auto" w:fill="auto"/>
              </w:rPr>
            </w:pPr>
            <w:r w:rsidRPr="00142749">
              <w:rPr>
                <w:bCs/>
                <w:shd w:val="clear" w:color="auto" w:fill="auto"/>
              </w:rPr>
              <w:t>100</w:t>
            </w:r>
          </w:p>
        </w:tc>
      </w:tr>
    </w:tbl>
    <w:p w14:paraId="1ED07CF2" w14:textId="77777777" w:rsidR="00142749" w:rsidRPr="00142749" w:rsidRDefault="00142749" w:rsidP="00142749">
      <w:pPr>
        <w:spacing w:before="480"/>
        <w:rPr>
          <w:bCs/>
          <w:color w:val="auto"/>
          <w:shd w:val="clear" w:color="auto" w:fill="auto"/>
        </w:rPr>
      </w:pPr>
      <w:r w:rsidRPr="00142749">
        <w:rPr>
          <w:bCs/>
          <w:color w:val="auto"/>
          <w:shd w:val="clear" w:color="auto" w:fill="auto"/>
        </w:rPr>
        <w:t xml:space="preserve">Each of the above categories contains questions or instructions that are assigned a point value. The point scale is divided into five columns labeled </w:t>
      </w:r>
      <w:r w:rsidRPr="00142749">
        <w:rPr>
          <w:b/>
          <w:bCs/>
          <w:color w:val="auto"/>
          <w:shd w:val="clear" w:color="auto" w:fill="auto"/>
        </w:rPr>
        <w:t>Outstanding, Complete, Sufficient, Developing, and Weak.</w:t>
      </w:r>
    </w:p>
    <w:p w14:paraId="3F560929" w14:textId="77777777" w:rsidR="00142749" w:rsidRPr="00142749" w:rsidRDefault="00142749" w:rsidP="00142749">
      <w:pPr>
        <w:spacing w:before="0"/>
        <w:rPr>
          <w:bCs/>
          <w:color w:val="auto"/>
          <w:shd w:val="clear" w:color="auto" w:fill="auto"/>
        </w:rPr>
      </w:pPr>
      <w:r w:rsidRPr="00142749">
        <w:rPr>
          <w:bCs/>
          <w:color w:val="auto"/>
          <w:shd w:val="clear" w:color="auto" w:fill="auto"/>
        </w:rPr>
        <w:t>The applicant’s response to each question is evaluated on the following criteria:</w:t>
      </w:r>
    </w:p>
    <w:p w14:paraId="62AA3B0A" w14:textId="77777777" w:rsidR="00142749" w:rsidRPr="00142749" w:rsidRDefault="00142749" w:rsidP="006F3DE8">
      <w:pPr>
        <w:numPr>
          <w:ilvl w:val="0"/>
          <w:numId w:val="39"/>
        </w:numPr>
        <w:spacing w:before="0"/>
        <w:rPr>
          <w:bCs/>
          <w:color w:val="auto"/>
          <w:shd w:val="clear" w:color="auto" w:fill="auto"/>
        </w:rPr>
      </w:pPr>
      <w:r w:rsidRPr="00142749">
        <w:rPr>
          <w:b/>
          <w:bCs/>
          <w:color w:val="auto"/>
          <w:shd w:val="clear" w:color="auto" w:fill="auto"/>
        </w:rPr>
        <w:t xml:space="preserve">Outstanding: </w:t>
      </w:r>
      <w:r w:rsidRPr="00142749">
        <w:rPr>
          <w:bCs/>
          <w:color w:val="auto"/>
          <w:shd w:val="clear" w:color="auto" w:fill="auto"/>
        </w:rPr>
        <w:t>The response is very clear, extremely detailed and relevant, and presents a compelling argument supporting the proposal and the intent of the program.</w:t>
      </w:r>
    </w:p>
    <w:p w14:paraId="37A7E3F9" w14:textId="77777777" w:rsidR="00142749" w:rsidRPr="00142749" w:rsidRDefault="00142749" w:rsidP="006F3DE8">
      <w:pPr>
        <w:numPr>
          <w:ilvl w:val="0"/>
          <w:numId w:val="39"/>
        </w:numPr>
        <w:spacing w:before="0"/>
        <w:rPr>
          <w:bCs/>
          <w:color w:val="auto"/>
          <w:shd w:val="clear" w:color="auto" w:fill="auto"/>
        </w:rPr>
      </w:pPr>
      <w:r w:rsidRPr="00142749">
        <w:rPr>
          <w:b/>
          <w:bCs/>
          <w:color w:val="auto"/>
          <w:shd w:val="clear" w:color="auto" w:fill="auto"/>
        </w:rPr>
        <w:t xml:space="preserve">Complete: </w:t>
      </w:r>
      <w:r w:rsidRPr="00142749">
        <w:rPr>
          <w:bCs/>
          <w:color w:val="auto"/>
          <w:shd w:val="clear" w:color="auto" w:fill="auto"/>
        </w:rPr>
        <w:t>The response is clear and detailed and presents a persuasive argument supporting the proposal and the intent of the program.</w:t>
      </w:r>
    </w:p>
    <w:p w14:paraId="3EE18C2B" w14:textId="77777777" w:rsidR="00142749" w:rsidRPr="00142749" w:rsidRDefault="00142749" w:rsidP="006F3DE8">
      <w:pPr>
        <w:numPr>
          <w:ilvl w:val="0"/>
          <w:numId w:val="39"/>
        </w:numPr>
        <w:spacing w:before="0"/>
        <w:rPr>
          <w:bCs/>
          <w:color w:val="auto"/>
          <w:shd w:val="clear" w:color="auto" w:fill="auto"/>
        </w:rPr>
      </w:pPr>
      <w:r w:rsidRPr="00142749">
        <w:rPr>
          <w:b/>
          <w:bCs/>
          <w:color w:val="auto"/>
          <w:shd w:val="clear" w:color="auto" w:fill="auto"/>
        </w:rPr>
        <w:t>Sufficient:</w:t>
      </w:r>
      <w:r w:rsidRPr="00142749">
        <w:rPr>
          <w:bCs/>
          <w:color w:val="auto"/>
          <w:shd w:val="clear" w:color="auto" w:fill="auto"/>
        </w:rPr>
        <w:t xml:space="preserve"> The response addresses the question(s) adequately, provides support for the proposal, and supports the intent of the program.</w:t>
      </w:r>
    </w:p>
    <w:p w14:paraId="6DCB16C0" w14:textId="77777777" w:rsidR="00142749" w:rsidRPr="00142749" w:rsidRDefault="00142749" w:rsidP="006F3DE8">
      <w:pPr>
        <w:numPr>
          <w:ilvl w:val="0"/>
          <w:numId w:val="39"/>
        </w:numPr>
        <w:spacing w:before="0"/>
        <w:rPr>
          <w:bCs/>
          <w:i/>
          <w:color w:val="auto"/>
          <w:shd w:val="clear" w:color="auto" w:fill="auto"/>
        </w:rPr>
      </w:pPr>
      <w:r w:rsidRPr="00142749">
        <w:rPr>
          <w:b/>
          <w:bCs/>
          <w:color w:val="auto"/>
          <w:shd w:val="clear" w:color="auto" w:fill="auto"/>
        </w:rPr>
        <w:t>Developing:</w:t>
      </w:r>
      <w:r w:rsidRPr="00142749">
        <w:rPr>
          <w:bCs/>
          <w:color w:val="auto"/>
          <w:shd w:val="clear" w:color="auto" w:fill="auto"/>
        </w:rPr>
        <w:t xml:space="preserve"> The response partially addresses the questions, provides limited support for the proposal, or partially supports the intent of the program.</w:t>
      </w:r>
    </w:p>
    <w:p w14:paraId="2334A861" w14:textId="6FA01561" w:rsidR="00142749" w:rsidRPr="00142749" w:rsidRDefault="00142749" w:rsidP="006F3DE8">
      <w:pPr>
        <w:numPr>
          <w:ilvl w:val="0"/>
          <w:numId w:val="39"/>
        </w:numPr>
        <w:spacing w:before="0"/>
        <w:rPr>
          <w:bCs/>
          <w:color w:val="auto"/>
          <w:shd w:val="clear" w:color="auto" w:fill="auto"/>
        </w:rPr>
      </w:pPr>
      <w:r w:rsidRPr="00142749">
        <w:rPr>
          <w:b/>
          <w:bCs/>
          <w:color w:val="auto"/>
          <w:shd w:val="clear" w:color="auto" w:fill="auto"/>
        </w:rPr>
        <w:t>Weak:</w:t>
      </w:r>
      <w:r w:rsidRPr="00142749">
        <w:rPr>
          <w:bCs/>
          <w:color w:val="auto"/>
          <w:shd w:val="clear" w:color="auto" w:fill="auto"/>
        </w:rPr>
        <w:t xml:space="preserve"> The response does not address the question(s) or a response was not provided. Information presented does not provide any understanding of the applicant’s intent, provides limited information requested</w:t>
      </w:r>
      <w:r w:rsidR="00ED0316">
        <w:rPr>
          <w:bCs/>
          <w:color w:val="auto"/>
          <w:shd w:val="clear" w:color="auto" w:fill="auto"/>
        </w:rPr>
        <w:t xml:space="preserve"> by the RFA</w:t>
      </w:r>
      <w:r w:rsidRPr="00142749">
        <w:rPr>
          <w:bCs/>
          <w:color w:val="auto"/>
          <w:shd w:val="clear" w:color="auto" w:fill="auto"/>
        </w:rPr>
        <w:t>, or does not support the intent of the program.</w:t>
      </w:r>
    </w:p>
    <w:p w14:paraId="362C68FB" w14:textId="77777777" w:rsidR="00142749" w:rsidRDefault="00142749" w:rsidP="00142749">
      <w:pPr>
        <w:spacing w:before="0" w:after="0"/>
        <w:rPr>
          <w:bCs/>
          <w:color w:val="auto"/>
          <w:shd w:val="clear" w:color="auto" w:fill="auto"/>
        </w:rPr>
      </w:pPr>
      <w:r w:rsidRPr="00142749">
        <w:rPr>
          <w:bCs/>
          <w:color w:val="auto"/>
          <w:shd w:val="clear" w:color="auto" w:fill="auto"/>
        </w:rPr>
        <w:br w:type="page"/>
      </w:r>
    </w:p>
    <w:p w14:paraId="4DE974B0" w14:textId="77777777" w:rsidR="0033794A" w:rsidRPr="00142749" w:rsidRDefault="0033794A" w:rsidP="0033794A">
      <w:pPr>
        <w:spacing w:after="0"/>
        <w:jc w:val="right"/>
      </w:pPr>
      <w:r w:rsidRPr="00142749">
        <w:lastRenderedPageBreak/>
        <w:t>Appendix 1</w:t>
      </w:r>
    </w:p>
    <w:p w14:paraId="102E6DAA" w14:textId="7240C9F0" w:rsidR="0033794A" w:rsidRPr="00142749" w:rsidRDefault="0033794A" w:rsidP="0071592E">
      <w:pPr>
        <w:spacing w:before="0" w:after="480"/>
        <w:jc w:val="right"/>
      </w:pPr>
      <w:r w:rsidRPr="00142749">
        <w:t xml:space="preserve">Page </w:t>
      </w:r>
      <w:r>
        <w:t>2</w:t>
      </w:r>
      <w:r w:rsidRPr="00142749">
        <w:t xml:space="preserve"> of 5</w:t>
      </w:r>
    </w:p>
    <w:tbl>
      <w:tblPr>
        <w:tblStyle w:val="TableGrid1"/>
        <w:tblW w:w="10890" w:type="dxa"/>
        <w:tblInd w:w="-815" w:type="dxa"/>
        <w:tblLook w:val="04A0" w:firstRow="1" w:lastRow="0" w:firstColumn="1" w:lastColumn="0" w:noHBand="0" w:noVBand="1"/>
        <w:tblDescription w:val="The table shows the scoring table for the Capacity Builder. The four cathegories are: Outstanding, Complete, Sufficient, Developing and Week    "/>
      </w:tblPr>
      <w:tblGrid>
        <w:gridCol w:w="3500"/>
        <w:gridCol w:w="1630"/>
        <w:gridCol w:w="1530"/>
        <w:gridCol w:w="1350"/>
        <w:gridCol w:w="1530"/>
        <w:gridCol w:w="1350"/>
      </w:tblGrid>
      <w:tr w:rsidR="00142749" w:rsidRPr="000E5142" w14:paraId="796A29DD" w14:textId="77777777" w:rsidTr="00DA726E">
        <w:trPr>
          <w:cantSplit/>
          <w:trHeight w:val="665"/>
          <w:tblHeader/>
        </w:trPr>
        <w:tc>
          <w:tcPr>
            <w:tcW w:w="3500" w:type="dxa"/>
            <w:shd w:val="clear" w:color="auto" w:fill="F2F2F2" w:themeFill="background1" w:themeFillShade="F2"/>
          </w:tcPr>
          <w:p w14:paraId="60C4338F"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Capacity Builder</w:t>
            </w:r>
          </w:p>
          <w:p w14:paraId="61FACEA3"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(40 Possible Points)</w:t>
            </w:r>
          </w:p>
        </w:tc>
        <w:tc>
          <w:tcPr>
            <w:tcW w:w="1630" w:type="dxa"/>
            <w:shd w:val="clear" w:color="auto" w:fill="F2F2F2" w:themeFill="background1" w:themeFillShade="F2"/>
          </w:tcPr>
          <w:p w14:paraId="6DD62D50"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Outstanding</w:t>
            </w:r>
          </w:p>
        </w:tc>
        <w:tc>
          <w:tcPr>
            <w:tcW w:w="1530" w:type="dxa"/>
            <w:shd w:val="clear" w:color="auto" w:fill="F2F2F2" w:themeFill="background1" w:themeFillShade="F2"/>
          </w:tcPr>
          <w:p w14:paraId="4C9537B2"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Complete</w:t>
            </w:r>
          </w:p>
        </w:tc>
        <w:tc>
          <w:tcPr>
            <w:tcW w:w="1350" w:type="dxa"/>
            <w:shd w:val="clear" w:color="auto" w:fill="F2F2F2" w:themeFill="background1" w:themeFillShade="F2"/>
          </w:tcPr>
          <w:p w14:paraId="13867538"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Sufficient</w:t>
            </w:r>
          </w:p>
        </w:tc>
        <w:tc>
          <w:tcPr>
            <w:tcW w:w="1530" w:type="dxa"/>
            <w:shd w:val="clear" w:color="auto" w:fill="F2F2F2" w:themeFill="background1" w:themeFillShade="F2"/>
          </w:tcPr>
          <w:p w14:paraId="284B98BF"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Developing</w:t>
            </w:r>
          </w:p>
        </w:tc>
        <w:tc>
          <w:tcPr>
            <w:tcW w:w="1350" w:type="dxa"/>
            <w:shd w:val="clear" w:color="auto" w:fill="F2F2F2" w:themeFill="background1" w:themeFillShade="F2"/>
          </w:tcPr>
          <w:p w14:paraId="772FA216"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Weak</w:t>
            </w:r>
          </w:p>
        </w:tc>
      </w:tr>
      <w:tr w:rsidR="00142749" w:rsidRPr="000E5142" w14:paraId="5975F103" w14:textId="77777777" w:rsidTr="00DA726E">
        <w:trPr>
          <w:cantSplit/>
        </w:trPr>
        <w:tc>
          <w:tcPr>
            <w:tcW w:w="3500" w:type="dxa"/>
          </w:tcPr>
          <w:p w14:paraId="78D4F77F" w14:textId="77777777" w:rsidR="00142749" w:rsidRPr="000E5142" w:rsidRDefault="00142749" w:rsidP="00142749">
            <w:pPr>
              <w:numPr>
                <w:ilvl w:val="0"/>
                <w:numId w:val="40"/>
              </w:numPr>
              <w:spacing w:before="0" w:after="0"/>
              <w:ind w:left="342"/>
              <w:contextualSpacing/>
              <w:rPr>
                <w:bCs/>
                <w:color w:val="auto"/>
                <w:shd w:val="clear" w:color="auto" w:fill="auto"/>
              </w:rPr>
            </w:pPr>
            <w:r w:rsidRPr="000E5142">
              <w:rPr>
                <w:bCs/>
                <w:color w:val="auto"/>
                <w:shd w:val="clear" w:color="auto" w:fill="auto"/>
              </w:rPr>
              <w:t>Describes how the applicant has assisted LEAs by creating professional trainings to build teacher, school, and district’s staff knowledge about youth tobacco prevention.</w:t>
            </w:r>
          </w:p>
        </w:tc>
        <w:tc>
          <w:tcPr>
            <w:tcW w:w="1630" w:type="dxa"/>
            <w:vAlign w:val="center"/>
          </w:tcPr>
          <w:p w14:paraId="1D27B8DA"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8</w:t>
            </w:r>
          </w:p>
        </w:tc>
        <w:tc>
          <w:tcPr>
            <w:tcW w:w="1530" w:type="dxa"/>
            <w:vAlign w:val="center"/>
          </w:tcPr>
          <w:p w14:paraId="17EB4476"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6</w:t>
            </w:r>
          </w:p>
        </w:tc>
        <w:tc>
          <w:tcPr>
            <w:tcW w:w="1350" w:type="dxa"/>
            <w:vAlign w:val="center"/>
          </w:tcPr>
          <w:p w14:paraId="37AE1E5C"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4</w:t>
            </w:r>
          </w:p>
        </w:tc>
        <w:tc>
          <w:tcPr>
            <w:tcW w:w="1530" w:type="dxa"/>
            <w:vAlign w:val="center"/>
          </w:tcPr>
          <w:p w14:paraId="2DCF91CE"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2</w:t>
            </w:r>
          </w:p>
        </w:tc>
        <w:tc>
          <w:tcPr>
            <w:tcW w:w="1350" w:type="dxa"/>
            <w:vAlign w:val="center"/>
          </w:tcPr>
          <w:p w14:paraId="0F195246"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0</w:t>
            </w:r>
          </w:p>
        </w:tc>
      </w:tr>
      <w:tr w:rsidR="00142749" w:rsidRPr="000E5142" w14:paraId="00F630AB" w14:textId="77777777" w:rsidTr="00DA726E">
        <w:trPr>
          <w:cantSplit/>
        </w:trPr>
        <w:tc>
          <w:tcPr>
            <w:tcW w:w="3500" w:type="dxa"/>
          </w:tcPr>
          <w:p w14:paraId="1CABF907" w14:textId="77777777" w:rsidR="00142749" w:rsidRPr="000E5142" w:rsidRDefault="00142749" w:rsidP="00142749">
            <w:pPr>
              <w:numPr>
                <w:ilvl w:val="0"/>
                <w:numId w:val="40"/>
              </w:numPr>
              <w:spacing w:before="0" w:after="0"/>
              <w:ind w:left="342"/>
              <w:contextualSpacing/>
              <w:rPr>
                <w:bCs/>
                <w:color w:val="auto"/>
                <w:shd w:val="clear" w:color="auto" w:fill="auto"/>
              </w:rPr>
            </w:pPr>
            <w:r w:rsidRPr="000E5142">
              <w:rPr>
                <w:bCs/>
                <w:color w:val="auto"/>
                <w:shd w:val="clear" w:color="auto" w:fill="auto"/>
              </w:rPr>
              <w:t>Describes how the applicant has supported LEAs in meeting the requirements of the TUPE Program.</w:t>
            </w:r>
          </w:p>
        </w:tc>
        <w:tc>
          <w:tcPr>
            <w:tcW w:w="1630" w:type="dxa"/>
            <w:vAlign w:val="center"/>
          </w:tcPr>
          <w:p w14:paraId="0C7D3B77"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8</w:t>
            </w:r>
          </w:p>
        </w:tc>
        <w:tc>
          <w:tcPr>
            <w:tcW w:w="1530" w:type="dxa"/>
            <w:vAlign w:val="center"/>
          </w:tcPr>
          <w:p w14:paraId="3B5F075E"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6</w:t>
            </w:r>
          </w:p>
        </w:tc>
        <w:tc>
          <w:tcPr>
            <w:tcW w:w="1350" w:type="dxa"/>
            <w:vAlign w:val="center"/>
          </w:tcPr>
          <w:p w14:paraId="47AA7166"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4</w:t>
            </w:r>
          </w:p>
        </w:tc>
        <w:tc>
          <w:tcPr>
            <w:tcW w:w="1530" w:type="dxa"/>
            <w:vAlign w:val="center"/>
          </w:tcPr>
          <w:p w14:paraId="70CD1E22"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2</w:t>
            </w:r>
          </w:p>
        </w:tc>
        <w:tc>
          <w:tcPr>
            <w:tcW w:w="1350" w:type="dxa"/>
            <w:vAlign w:val="center"/>
          </w:tcPr>
          <w:p w14:paraId="0809F484"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0</w:t>
            </w:r>
          </w:p>
        </w:tc>
      </w:tr>
      <w:tr w:rsidR="00142749" w:rsidRPr="000E5142" w14:paraId="2D97C624" w14:textId="77777777" w:rsidTr="00DA726E">
        <w:trPr>
          <w:cantSplit/>
        </w:trPr>
        <w:tc>
          <w:tcPr>
            <w:tcW w:w="3500" w:type="dxa"/>
          </w:tcPr>
          <w:p w14:paraId="7FB5B2E2" w14:textId="77777777" w:rsidR="00142749" w:rsidRPr="000E5142" w:rsidRDefault="00142749" w:rsidP="00142749">
            <w:pPr>
              <w:numPr>
                <w:ilvl w:val="0"/>
                <w:numId w:val="40"/>
              </w:numPr>
              <w:spacing w:before="0" w:after="0"/>
              <w:ind w:left="342"/>
              <w:contextualSpacing/>
              <w:rPr>
                <w:bCs/>
                <w:color w:val="auto"/>
                <w:shd w:val="clear" w:color="auto" w:fill="auto"/>
              </w:rPr>
            </w:pPr>
            <w:r w:rsidRPr="000E5142">
              <w:rPr>
                <w:bCs/>
                <w:color w:val="auto"/>
                <w:shd w:val="clear" w:color="auto" w:fill="auto"/>
              </w:rPr>
              <w:t>Describes how the applicant has supported LEAs by demonstrating how to develop, implement, and evaluate a health education program.</w:t>
            </w:r>
          </w:p>
        </w:tc>
        <w:tc>
          <w:tcPr>
            <w:tcW w:w="1630" w:type="dxa"/>
            <w:vAlign w:val="center"/>
          </w:tcPr>
          <w:p w14:paraId="789C9317"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8</w:t>
            </w:r>
          </w:p>
        </w:tc>
        <w:tc>
          <w:tcPr>
            <w:tcW w:w="1530" w:type="dxa"/>
            <w:vAlign w:val="center"/>
          </w:tcPr>
          <w:p w14:paraId="29C3E300"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6</w:t>
            </w:r>
          </w:p>
        </w:tc>
        <w:tc>
          <w:tcPr>
            <w:tcW w:w="1350" w:type="dxa"/>
            <w:vAlign w:val="center"/>
          </w:tcPr>
          <w:p w14:paraId="5AE84466"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4</w:t>
            </w:r>
          </w:p>
        </w:tc>
        <w:tc>
          <w:tcPr>
            <w:tcW w:w="1530" w:type="dxa"/>
            <w:vAlign w:val="center"/>
          </w:tcPr>
          <w:p w14:paraId="1B94EF3F"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2</w:t>
            </w:r>
          </w:p>
        </w:tc>
        <w:tc>
          <w:tcPr>
            <w:tcW w:w="1350" w:type="dxa"/>
            <w:vAlign w:val="center"/>
          </w:tcPr>
          <w:p w14:paraId="3BAB16D5"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0</w:t>
            </w:r>
          </w:p>
        </w:tc>
      </w:tr>
      <w:tr w:rsidR="00142749" w:rsidRPr="000E5142" w14:paraId="7004D0FF" w14:textId="77777777" w:rsidTr="00DA726E">
        <w:trPr>
          <w:cantSplit/>
        </w:trPr>
        <w:tc>
          <w:tcPr>
            <w:tcW w:w="3500" w:type="dxa"/>
          </w:tcPr>
          <w:p w14:paraId="329927F9" w14:textId="1EC05E66" w:rsidR="00142749" w:rsidRPr="000E5142" w:rsidRDefault="00142749" w:rsidP="00142749">
            <w:pPr>
              <w:numPr>
                <w:ilvl w:val="0"/>
                <w:numId w:val="40"/>
              </w:numPr>
              <w:spacing w:before="0" w:after="0"/>
              <w:ind w:left="342"/>
              <w:contextualSpacing/>
              <w:rPr>
                <w:bCs/>
                <w:color w:val="auto"/>
                <w:shd w:val="clear" w:color="auto" w:fill="auto"/>
              </w:rPr>
            </w:pPr>
            <w:r w:rsidRPr="000E5142">
              <w:rPr>
                <w:bCs/>
                <w:color w:val="auto"/>
                <w:shd w:val="clear" w:color="auto" w:fill="auto"/>
              </w:rPr>
              <w:t>Describes how the applicant will assess LEA</w:t>
            </w:r>
            <w:r w:rsidR="0094439C">
              <w:rPr>
                <w:bCs/>
                <w:color w:val="auto"/>
                <w:shd w:val="clear" w:color="auto" w:fill="auto"/>
              </w:rPr>
              <w:t>’</w:t>
            </w:r>
            <w:r w:rsidRPr="000E5142">
              <w:rPr>
                <w:bCs/>
                <w:color w:val="auto"/>
                <w:shd w:val="clear" w:color="auto" w:fill="auto"/>
              </w:rPr>
              <w:t>s needs and provide additional trainings using a continuous improvement framework.</w:t>
            </w:r>
          </w:p>
        </w:tc>
        <w:tc>
          <w:tcPr>
            <w:tcW w:w="1630" w:type="dxa"/>
            <w:vAlign w:val="center"/>
          </w:tcPr>
          <w:p w14:paraId="389F4D94"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4</w:t>
            </w:r>
          </w:p>
        </w:tc>
        <w:tc>
          <w:tcPr>
            <w:tcW w:w="1530" w:type="dxa"/>
            <w:vAlign w:val="center"/>
          </w:tcPr>
          <w:p w14:paraId="5270039A"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3</w:t>
            </w:r>
          </w:p>
        </w:tc>
        <w:tc>
          <w:tcPr>
            <w:tcW w:w="1350" w:type="dxa"/>
            <w:vAlign w:val="center"/>
          </w:tcPr>
          <w:p w14:paraId="2E4706CF"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2</w:t>
            </w:r>
          </w:p>
        </w:tc>
        <w:tc>
          <w:tcPr>
            <w:tcW w:w="1530" w:type="dxa"/>
            <w:vAlign w:val="center"/>
          </w:tcPr>
          <w:p w14:paraId="75DD0132"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1</w:t>
            </w:r>
          </w:p>
        </w:tc>
        <w:tc>
          <w:tcPr>
            <w:tcW w:w="1350" w:type="dxa"/>
            <w:vAlign w:val="center"/>
          </w:tcPr>
          <w:p w14:paraId="3A83DEBD"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0</w:t>
            </w:r>
          </w:p>
        </w:tc>
      </w:tr>
      <w:tr w:rsidR="00142749" w:rsidRPr="000E5142" w14:paraId="7ADDF541" w14:textId="77777777" w:rsidTr="00DA726E">
        <w:trPr>
          <w:cantSplit/>
        </w:trPr>
        <w:tc>
          <w:tcPr>
            <w:tcW w:w="3500" w:type="dxa"/>
          </w:tcPr>
          <w:p w14:paraId="03D2CCC3" w14:textId="7357A950" w:rsidR="00142749" w:rsidRPr="000E5142" w:rsidRDefault="00142749" w:rsidP="00142749">
            <w:pPr>
              <w:numPr>
                <w:ilvl w:val="0"/>
                <w:numId w:val="40"/>
              </w:numPr>
              <w:spacing w:before="0" w:after="0"/>
              <w:ind w:left="342"/>
              <w:contextualSpacing/>
              <w:rPr>
                <w:bCs/>
                <w:color w:val="auto"/>
                <w:shd w:val="clear" w:color="auto" w:fill="auto"/>
              </w:rPr>
            </w:pPr>
            <w:r w:rsidRPr="000E5142">
              <w:rPr>
                <w:bCs/>
                <w:color w:val="auto"/>
                <w:shd w:val="clear" w:color="auto" w:fill="auto"/>
              </w:rPr>
              <w:t xml:space="preserve">Describes how the applicant will partner with </w:t>
            </w:r>
            <w:r w:rsidR="00263E8D">
              <w:rPr>
                <w:bCs/>
                <w:color w:val="auto"/>
                <w:shd w:val="clear" w:color="auto" w:fill="auto"/>
              </w:rPr>
              <w:t xml:space="preserve">the </w:t>
            </w:r>
            <w:r w:rsidRPr="000E5142">
              <w:rPr>
                <w:bCs/>
                <w:color w:val="auto"/>
                <w:shd w:val="clear" w:color="auto" w:fill="auto"/>
              </w:rPr>
              <w:t>CDE’s contractors to offer extensive youth tobacco prevention and intervention activities to strengthen local capacity.</w:t>
            </w:r>
          </w:p>
        </w:tc>
        <w:tc>
          <w:tcPr>
            <w:tcW w:w="1630" w:type="dxa"/>
            <w:vAlign w:val="center"/>
          </w:tcPr>
          <w:p w14:paraId="49060DB6"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8</w:t>
            </w:r>
          </w:p>
        </w:tc>
        <w:tc>
          <w:tcPr>
            <w:tcW w:w="1530" w:type="dxa"/>
            <w:vAlign w:val="center"/>
          </w:tcPr>
          <w:p w14:paraId="0848D3CA"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6</w:t>
            </w:r>
          </w:p>
        </w:tc>
        <w:tc>
          <w:tcPr>
            <w:tcW w:w="1350" w:type="dxa"/>
            <w:vAlign w:val="center"/>
          </w:tcPr>
          <w:p w14:paraId="6CF1A999"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4</w:t>
            </w:r>
          </w:p>
        </w:tc>
        <w:tc>
          <w:tcPr>
            <w:tcW w:w="1530" w:type="dxa"/>
            <w:vAlign w:val="center"/>
          </w:tcPr>
          <w:p w14:paraId="0E043BC9"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2</w:t>
            </w:r>
          </w:p>
        </w:tc>
        <w:tc>
          <w:tcPr>
            <w:tcW w:w="1350" w:type="dxa"/>
            <w:vAlign w:val="center"/>
          </w:tcPr>
          <w:p w14:paraId="53764265"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0</w:t>
            </w:r>
          </w:p>
        </w:tc>
      </w:tr>
      <w:tr w:rsidR="00142749" w:rsidRPr="000E5142" w14:paraId="33DB8FD1" w14:textId="77777777" w:rsidTr="00DA726E">
        <w:trPr>
          <w:cantSplit/>
        </w:trPr>
        <w:tc>
          <w:tcPr>
            <w:tcW w:w="3500" w:type="dxa"/>
          </w:tcPr>
          <w:p w14:paraId="3016B347" w14:textId="77777777" w:rsidR="00142749" w:rsidRPr="000E5142" w:rsidRDefault="00142749" w:rsidP="00142749">
            <w:pPr>
              <w:numPr>
                <w:ilvl w:val="0"/>
                <w:numId w:val="40"/>
              </w:numPr>
              <w:spacing w:before="0" w:after="0"/>
              <w:ind w:left="342"/>
              <w:contextualSpacing/>
              <w:rPr>
                <w:bCs/>
                <w:color w:val="auto"/>
                <w:shd w:val="clear" w:color="auto" w:fill="auto"/>
              </w:rPr>
            </w:pPr>
            <w:r w:rsidRPr="000E5142">
              <w:rPr>
                <w:bCs/>
                <w:color w:val="auto"/>
                <w:shd w:val="clear" w:color="auto" w:fill="auto"/>
              </w:rPr>
              <w:t>Describes how the applicant will serve as a TUPE Expert Lead Agency.</w:t>
            </w:r>
          </w:p>
        </w:tc>
        <w:tc>
          <w:tcPr>
            <w:tcW w:w="1630" w:type="dxa"/>
            <w:vAlign w:val="center"/>
          </w:tcPr>
          <w:p w14:paraId="71E87D96"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4</w:t>
            </w:r>
          </w:p>
        </w:tc>
        <w:tc>
          <w:tcPr>
            <w:tcW w:w="1530" w:type="dxa"/>
            <w:vAlign w:val="center"/>
          </w:tcPr>
          <w:p w14:paraId="7F26D8AD"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3</w:t>
            </w:r>
          </w:p>
        </w:tc>
        <w:tc>
          <w:tcPr>
            <w:tcW w:w="1350" w:type="dxa"/>
            <w:vAlign w:val="center"/>
          </w:tcPr>
          <w:p w14:paraId="1053685A"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2</w:t>
            </w:r>
          </w:p>
        </w:tc>
        <w:tc>
          <w:tcPr>
            <w:tcW w:w="1530" w:type="dxa"/>
            <w:vAlign w:val="center"/>
          </w:tcPr>
          <w:p w14:paraId="6AD6EFC7"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1</w:t>
            </w:r>
          </w:p>
        </w:tc>
        <w:tc>
          <w:tcPr>
            <w:tcW w:w="1350" w:type="dxa"/>
            <w:vAlign w:val="center"/>
          </w:tcPr>
          <w:p w14:paraId="52B99024" w14:textId="77777777" w:rsidR="00142749" w:rsidRPr="000E5142" w:rsidRDefault="00142749" w:rsidP="00142749">
            <w:pPr>
              <w:spacing w:before="0" w:after="0"/>
              <w:jc w:val="center"/>
              <w:rPr>
                <w:b/>
                <w:bCs/>
                <w:color w:val="auto"/>
                <w:shd w:val="clear" w:color="auto" w:fill="auto"/>
              </w:rPr>
            </w:pPr>
            <w:r w:rsidRPr="000E5142">
              <w:rPr>
                <w:b/>
                <w:bCs/>
                <w:color w:val="auto"/>
                <w:shd w:val="clear" w:color="auto" w:fill="auto"/>
              </w:rPr>
              <w:t>0</w:t>
            </w:r>
          </w:p>
        </w:tc>
      </w:tr>
      <w:tr w:rsidR="00142749" w:rsidRPr="000E5142" w14:paraId="794F4680" w14:textId="77777777" w:rsidTr="00DA726E">
        <w:trPr>
          <w:cantSplit/>
          <w:trHeight w:val="720"/>
        </w:trPr>
        <w:tc>
          <w:tcPr>
            <w:tcW w:w="3500" w:type="dxa"/>
            <w:vAlign w:val="center"/>
          </w:tcPr>
          <w:p w14:paraId="09291D7F" w14:textId="77777777" w:rsidR="00142749" w:rsidRPr="000E5142" w:rsidRDefault="00142749" w:rsidP="00142749">
            <w:pPr>
              <w:spacing w:before="0" w:after="0"/>
              <w:rPr>
                <w:b/>
                <w:bCs/>
                <w:color w:val="auto"/>
                <w:shd w:val="clear" w:color="auto" w:fill="auto"/>
              </w:rPr>
            </w:pPr>
            <w:r w:rsidRPr="000E5142">
              <w:rPr>
                <w:b/>
                <w:bCs/>
                <w:color w:val="auto"/>
                <w:shd w:val="clear" w:color="auto" w:fill="auto"/>
              </w:rPr>
              <w:t>TOTAL</w:t>
            </w:r>
          </w:p>
        </w:tc>
        <w:tc>
          <w:tcPr>
            <w:tcW w:w="1630" w:type="dxa"/>
            <w:vAlign w:val="center"/>
          </w:tcPr>
          <w:p w14:paraId="095D3914" w14:textId="6F9A5BF2" w:rsidR="00142749" w:rsidRPr="000E5142" w:rsidRDefault="00142749" w:rsidP="00142749">
            <w:pPr>
              <w:spacing w:before="0" w:after="0"/>
              <w:jc w:val="center"/>
              <w:rPr>
                <w:b/>
                <w:bCs/>
                <w:color w:val="auto"/>
                <w:shd w:val="clear" w:color="auto" w:fill="auto"/>
              </w:rPr>
            </w:pPr>
          </w:p>
        </w:tc>
        <w:tc>
          <w:tcPr>
            <w:tcW w:w="1530" w:type="dxa"/>
            <w:vAlign w:val="center"/>
          </w:tcPr>
          <w:p w14:paraId="5863609F" w14:textId="2C08FB38" w:rsidR="00142749" w:rsidRPr="000E5142" w:rsidRDefault="00142749" w:rsidP="00142749">
            <w:pPr>
              <w:spacing w:before="0" w:after="0"/>
              <w:jc w:val="center"/>
              <w:rPr>
                <w:b/>
                <w:bCs/>
                <w:color w:val="auto"/>
                <w:shd w:val="clear" w:color="auto" w:fill="auto"/>
              </w:rPr>
            </w:pPr>
          </w:p>
        </w:tc>
        <w:tc>
          <w:tcPr>
            <w:tcW w:w="1350" w:type="dxa"/>
            <w:vAlign w:val="center"/>
          </w:tcPr>
          <w:p w14:paraId="777EA1FA" w14:textId="148ACDE1" w:rsidR="00142749" w:rsidRPr="000E5142" w:rsidRDefault="00142749" w:rsidP="00623C60">
            <w:pPr>
              <w:spacing w:before="0" w:after="0"/>
              <w:jc w:val="center"/>
              <w:rPr>
                <w:b/>
                <w:bCs/>
                <w:color w:val="auto"/>
                <w:shd w:val="clear" w:color="auto" w:fill="auto"/>
              </w:rPr>
            </w:pPr>
          </w:p>
        </w:tc>
        <w:tc>
          <w:tcPr>
            <w:tcW w:w="1530" w:type="dxa"/>
            <w:vAlign w:val="center"/>
          </w:tcPr>
          <w:p w14:paraId="5018FB71" w14:textId="0C46D5F5" w:rsidR="00142749" w:rsidRPr="000E5142" w:rsidRDefault="00142749" w:rsidP="00142749">
            <w:pPr>
              <w:spacing w:before="0" w:after="0"/>
              <w:jc w:val="center"/>
              <w:rPr>
                <w:b/>
                <w:bCs/>
                <w:color w:val="auto"/>
                <w:shd w:val="clear" w:color="auto" w:fill="auto"/>
              </w:rPr>
            </w:pPr>
          </w:p>
        </w:tc>
        <w:tc>
          <w:tcPr>
            <w:tcW w:w="1350" w:type="dxa"/>
            <w:vAlign w:val="center"/>
          </w:tcPr>
          <w:p w14:paraId="6972EF32" w14:textId="7F662282" w:rsidR="00142749" w:rsidRPr="000E5142" w:rsidRDefault="00142749" w:rsidP="00142749">
            <w:pPr>
              <w:spacing w:before="0" w:after="0"/>
              <w:jc w:val="center"/>
              <w:rPr>
                <w:b/>
                <w:bCs/>
                <w:color w:val="auto"/>
                <w:shd w:val="clear" w:color="auto" w:fill="auto"/>
              </w:rPr>
            </w:pPr>
          </w:p>
        </w:tc>
      </w:tr>
    </w:tbl>
    <w:p w14:paraId="2CD09EB2" w14:textId="77777777" w:rsidR="00735C80" w:rsidRDefault="00735C80" w:rsidP="0033794A">
      <w:pPr>
        <w:spacing w:after="0"/>
        <w:jc w:val="right"/>
      </w:pPr>
    </w:p>
    <w:p w14:paraId="6B311549" w14:textId="77777777" w:rsidR="00735C80" w:rsidRDefault="00735C80">
      <w:pPr>
        <w:spacing w:before="0" w:after="0"/>
      </w:pPr>
      <w:r>
        <w:br w:type="page"/>
      </w:r>
    </w:p>
    <w:p w14:paraId="3A8FF379" w14:textId="5A64E1A3" w:rsidR="0033794A" w:rsidRPr="00142749" w:rsidRDefault="0033794A" w:rsidP="0033794A">
      <w:pPr>
        <w:spacing w:after="0"/>
        <w:jc w:val="right"/>
      </w:pPr>
      <w:r w:rsidRPr="00142749">
        <w:lastRenderedPageBreak/>
        <w:t>Appendix 1</w:t>
      </w:r>
    </w:p>
    <w:p w14:paraId="468EB4FB" w14:textId="2AD844AC" w:rsidR="00142749" w:rsidRPr="0071592E" w:rsidRDefault="0033794A" w:rsidP="0071592E">
      <w:pPr>
        <w:spacing w:before="0" w:after="480"/>
        <w:jc w:val="right"/>
      </w:pPr>
      <w:r w:rsidRPr="00142749">
        <w:t xml:space="preserve">Page </w:t>
      </w:r>
      <w:r>
        <w:t>3</w:t>
      </w:r>
      <w:r w:rsidRPr="00142749">
        <w:t xml:space="preserve"> of 5</w:t>
      </w:r>
    </w:p>
    <w:tbl>
      <w:tblPr>
        <w:tblStyle w:val="TableGrid1"/>
        <w:tblW w:w="10890" w:type="dxa"/>
        <w:tblInd w:w="-815" w:type="dxa"/>
        <w:tblLook w:val="04A0" w:firstRow="1" w:lastRow="0" w:firstColumn="1" w:lastColumn="0" w:noHBand="0" w:noVBand="1"/>
        <w:tblDescription w:val="The table shows the scoring table for the Resource Connector.  The four cathegories are: Outstanding, Complete, Sufficient, Developing and Week    "/>
      </w:tblPr>
      <w:tblGrid>
        <w:gridCol w:w="3500"/>
        <w:gridCol w:w="1630"/>
        <w:gridCol w:w="1530"/>
        <w:gridCol w:w="1350"/>
        <w:gridCol w:w="1530"/>
        <w:gridCol w:w="1350"/>
      </w:tblGrid>
      <w:tr w:rsidR="00142749" w:rsidRPr="00854131" w14:paraId="6EF9F697" w14:textId="77777777" w:rsidTr="005A392F">
        <w:trPr>
          <w:cantSplit/>
          <w:trHeight w:val="665"/>
          <w:tblHeader/>
        </w:trPr>
        <w:tc>
          <w:tcPr>
            <w:tcW w:w="3500" w:type="dxa"/>
            <w:shd w:val="clear" w:color="auto" w:fill="F2F2F2" w:themeFill="background1" w:themeFillShade="F2"/>
          </w:tcPr>
          <w:p w14:paraId="6BC1DBB2"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Resource Connector</w:t>
            </w:r>
          </w:p>
          <w:p w14:paraId="071625B1"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(24 Possible Points)</w:t>
            </w:r>
          </w:p>
        </w:tc>
        <w:tc>
          <w:tcPr>
            <w:tcW w:w="1630" w:type="dxa"/>
            <w:shd w:val="clear" w:color="auto" w:fill="F2F2F2" w:themeFill="background1" w:themeFillShade="F2"/>
          </w:tcPr>
          <w:p w14:paraId="77B0ABAC"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Outstanding</w:t>
            </w:r>
          </w:p>
        </w:tc>
        <w:tc>
          <w:tcPr>
            <w:tcW w:w="1530" w:type="dxa"/>
            <w:shd w:val="clear" w:color="auto" w:fill="F2F2F2" w:themeFill="background1" w:themeFillShade="F2"/>
          </w:tcPr>
          <w:p w14:paraId="4FB6E46A"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Complete</w:t>
            </w:r>
          </w:p>
        </w:tc>
        <w:tc>
          <w:tcPr>
            <w:tcW w:w="1350" w:type="dxa"/>
            <w:shd w:val="clear" w:color="auto" w:fill="F2F2F2" w:themeFill="background1" w:themeFillShade="F2"/>
          </w:tcPr>
          <w:p w14:paraId="366584F5"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Sufficient</w:t>
            </w:r>
          </w:p>
        </w:tc>
        <w:tc>
          <w:tcPr>
            <w:tcW w:w="1530" w:type="dxa"/>
            <w:shd w:val="clear" w:color="auto" w:fill="F2F2F2" w:themeFill="background1" w:themeFillShade="F2"/>
          </w:tcPr>
          <w:p w14:paraId="6FAA8BA9"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Developing</w:t>
            </w:r>
          </w:p>
        </w:tc>
        <w:tc>
          <w:tcPr>
            <w:tcW w:w="1350" w:type="dxa"/>
            <w:shd w:val="clear" w:color="auto" w:fill="F2F2F2" w:themeFill="background1" w:themeFillShade="F2"/>
          </w:tcPr>
          <w:p w14:paraId="7CBCB85E"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Weak</w:t>
            </w:r>
          </w:p>
        </w:tc>
      </w:tr>
      <w:tr w:rsidR="00142749" w:rsidRPr="00854131" w14:paraId="303B9122" w14:textId="77777777" w:rsidTr="005A392F">
        <w:trPr>
          <w:cantSplit/>
        </w:trPr>
        <w:tc>
          <w:tcPr>
            <w:tcW w:w="3500" w:type="dxa"/>
          </w:tcPr>
          <w:p w14:paraId="0675F638" w14:textId="77777777" w:rsidR="00142749" w:rsidRPr="00854131" w:rsidRDefault="00142749" w:rsidP="00142749">
            <w:pPr>
              <w:numPr>
                <w:ilvl w:val="0"/>
                <w:numId w:val="42"/>
              </w:numPr>
              <w:spacing w:before="0" w:after="0"/>
              <w:ind w:left="342"/>
              <w:contextualSpacing/>
              <w:rPr>
                <w:bCs/>
                <w:color w:val="auto"/>
                <w:shd w:val="clear" w:color="auto" w:fill="auto"/>
              </w:rPr>
            </w:pPr>
            <w:r w:rsidRPr="00854131">
              <w:rPr>
                <w:bCs/>
                <w:color w:val="auto"/>
                <w:shd w:val="clear" w:color="auto" w:fill="auto"/>
              </w:rPr>
              <w:t>Describes how the applicant has developed and disseminated best practices to reduce the initiation and use of tobacco products.</w:t>
            </w:r>
          </w:p>
        </w:tc>
        <w:tc>
          <w:tcPr>
            <w:tcW w:w="1630" w:type="dxa"/>
            <w:vAlign w:val="center"/>
          </w:tcPr>
          <w:p w14:paraId="76738374"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8</w:t>
            </w:r>
          </w:p>
        </w:tc>
        <w:tc>
          <w:tcPr>
            <w:tcW w:w="1530" w:type="dxa"/>
            <w:vAlign w:val="center"/>
          </w:tcPr>
          <w:p w14:paraId="4886F36C"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6</w:t>
            </w:r>
          </w:p>
        </w:tc>
        <w:tc>
          <w:tcPr>
            <w:tcW w:w="1350" w:type="dxa"/>
            <w:vAlign w:val="center"/>
          </w:tcPr>
          <w:p w14:paraId="7C3560DB"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4</w:t>
            </w:r>
          </w:p>
        </w:tc>
        <w:tc>
          <w:tcPr>
            <w:tcW w:w="1530" w:type="dxa"/>
            <w:vAlign w:val="center"/>
          </w:tcPr>
          <w:p w14:paraId="26D19D9B"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2</w:t>
            </w:r>
          </w:p>
        </w:tc>
        <w:tc>
          <w:tcPr>
            <w:tcW w:w="1350" w:type="dxa"/>
            <w:vAlign w:val="center"/>
          </w:tcPr>
          <w:p w14:paraId="52981A73"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0</w:t>
            </w:r>
          </w:p>
        </w:tc>
      </w:tr>
      <w:tr w:rsidR="00142749" w:rsidRPr="00854131" w14:paraId="0772D89B" w14:textId="77777777" w:rsidTr="005A392F">
        <w:trPr>
          <w:cantSplit/>
        </w:trPr>
        <w:tc>
          <w:tcPr>
            <w:tcW w:w="3500" w:type="dxa"/>
          </w:tcPr>
          <w:p w14:paraId="783B99A5" w14:textId="1B225310" w:rsidR="00142749" w:rsidRPr="00854131" w:rsidRDefault="00142749" w:rsidP="00142749">
            <w:pPr>
              <w:numPr>
                <w:ilvl w:val="0"/>
                <w:numId w:val="42"/>
              </w:numPr>
              <w:spacing w:before="0" w:after="0"/>
              <w:ind w:left="342"/>
              <w:contextualSpacing/>
              <w:rPr>
                <w:bCs/>
                <w:color w:val="auto"/>
                <w:shd w:val="clear" w:color="auto" w:fill="auto"/>
              </w:rPr>
            </w:pPr>
            <w:r w:rsidRPr="00854131">
              <w:rPr>
                <w:bCs/>
                <w:color w:val="auto"/>
                <w:shd w:val="clear" w:color="auto" w:fill="auto"/>
              </w:rPr>
              <w:t>Describes how the applicant will create opportunities for LEAs to share local materials and exchange information with others</w:t>
            </w:r>
            <w:r w:rsidR="00501507" w:rsidRPr="00854131">
              <w:rPr>
                <w:bCs/>
                <w:color w:val="auto"/>
                <w:shd w:val="clear" w:color="auto" w:fill="auto"/>
              </w:rPr>
              <w:t>,</w:t>
            </w:r>
            <w:r w:rsidRPr="00854131">
              <w:rPr>
                <w:bCs/>
                <w:color w:val="auto"/>
                <w:shd w:val="clear" w:color="auto" w:fill="auto"/>
              </w:rPr>
              <w:t xml:space="preserve"> thereby strengthening partnerships.</w:t>
            </w:r>
          </w:p>
        </w:tc>
        <w:tc>
          <w:tcPr>
            <w:tcW w:w="1630" w:type="dxa"/>
            <w:vAlign w:val="center"/>
          </w:tcPr>
          <w:p w14:paraId="2182360B"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8</w:t>
            </w:r>
          </w:p>
        </w:tc>
        <w:tc>
          <w:tcPr>
            <w:tcW w:w="1530" w:type="dxa"/>
            <w:vAlign w:val="center"/>
          </w:tcPr>
          <w:p w14:paraId="1B601B71"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6</w:t>
            </w:r>
          </w:p>
        </w:tc>
        <w:tc>
          <w:tcPr>
            <w:tcW w:w="1350" w:type="dxa"/>
            <w:vAlign w:val="center"/>
          </w:tcPr>
          <w:p w14:paraId="5109708D"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4</w:t>
            </w:r>
          </w:p>
        </w:tc>
        <w:tc>
          <w:tcPr>
            <w:tcW w:w="1530" w:type="dxa"/>
            <w:vAlign w:val="center"/>
          </w:tcPr>
          <w:p w14:paraId="722FBB65"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2</w:t>
            </w:r>
          </w:p>
        </w:tc>
        <w:tc>
          <w:tcPr>
            <w:tcW w:w="1350" w:type="dxa"/>
            <w:vAlign w:val="center"/>
          </w:tcPr>
          <w:p w14:paraId="2C34FA4B"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0</w:t>
            </w:r>
          </w:p>
        </w:tc>
      </w:tr>
      <w:tr w:rsidR="00142749" w:rsidRPr="00854131" w14:paraId="7BD83AF1" w14:textId="77777777" w:rsidTr="005A392F">
        <w:trPr>
          <w:cantSplit/>
        </w:trPr>
        <w:tc>
          <w:tcPr>
            <w:tcW w:w="3500" w:type="dxa"/>
          </w:tcPr>
          <w:p w14:paraId="5BEC5F1D" w14:textId="77777777" w:rsidR="00142749" w:rsidRPr="00854131" w:rsidRDefault="00142749" w:rsidP="00142749">
            <w:pPr>
              <w:numPr>
                <w:ilvl w:val="0"/>
                <w:numId w:val="42"/>
              </w:numPr>
              <w:spacing w:before="0" w:after="0"/>
              <w:ind w:left="342"/>
              <w:contextualSpacing/>
              <w:rPr>
                <w:bCs/>
                <w:color w:val="auto"/>
                <w:shd w:val="clear" w:color="auto" w:fill="auto"/>
              </w:rPr>
            </w:pPr>
            <w:r w:rsidRPr="00854131">
              <w:rPr>
                <w:bCs/>
                <w:color w:val="auto"/>
                <w:shd w:val="clear" w:color="auto" w:fill="auto"/>
              </w:rPr>
              <w:t>Describes how the applicant will connect LEAs to LLAs and other tobacco control partners.</w:t>
            </w:r>
          </w:p>
        </w:tc>
        <w:tc>
          <w:tcPr>
            <w:tcW w:w="1630" w:type="dxa"/>
            <w:vAlign w:val="center"/>
          </w:tcPr>
          <w:p w14:paraId="1609CD34"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8</w:t>
            </w:r>
          </w:p>
        </w:tc>
        <w:tc>
          <w:tcPr>
            <w:tcW w:w="1530" w:type="dxa"/>
            <w:vAlign w:val="center"/>
          </w:tcPr>
          <w:p w14:paraId="11120C6D"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6</w:t>
            </w:r>
          </w:p>
        </w:tc>
        <w:tc>
          <w:tcPr>
            <w:tcW w:w="1350" w:type="dxa"/>
            <w:vAlign w:val="center"/>
          </w:tcPr>
          <w:p w14:paraId="7C735E7A"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4</w:t>
            </w:r>
          </w:p>
        </w:tc>
        <w:tc>
          <w:tcPr>
            <w:tcW w:w="1530" w:type="dxa"/>
            <w:vAlign w:val="center"/>
          </w:tcPr>
          <w:p w14:paraId="70FC66F4"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2</w:t>
            </w:r>
          </w:p>
        </w:tc>
        <w:tc>
          <w:tcPr>
            <w:tcW w:w="1350" w:type="dxa"/>
            <w:vAlign w:val="center"/>
          </w:tcPr>
          <w:p w14:paraId="1E068991"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0</w:t>
            </w:r>
          </w:p>
        </w:tc>
      </w:tr>
      <w:tr w:rsidR="00142749" w:rsidRPr="00854131" w14:paraId="0A669851" w14:textId="77777777" w:rsidTr="005A392F">
        <w:trPr>
          <w:cantSplit/>
          <w:trHeight w:val="720"/>
        </w:trPr>
        <w:tc>
          <w:tcPr>
            <w:tcW w:w="3500" w:type="dxa"/>
            <w:vAlign w:val="center"/>
          </w:tcPr>
          <w:p w14:paraId="315A2364" w14:textId="77777777" w:rsidR="00142749" w:rsidRPr="00854131" w:rsidRDefault="00142749" w:rsidP="00142749">
            <w:pPr>
              <w:spacing w:before="0" w:after="0"/>
              <w:rPr>
                <w:bCs/>
                <w:color w:val="auto"/>
                <w:shd w:val="clear" w:color="auto" w:fill="auto"/>
              </w:rPr>
            </w:pPr>
            <w:r w:rsidRPr="00854131">
              <w:rPr>
                <w:b/>
                <w:bCs/>
                <w:color w:val="auto"/>
                <w:shd w:val="clear" w:color="auto" w:fill="auto"/>
              </w:rPr>
              <w:t>TOTAL</w:t>
            </w:r>
          </w:p>
        </w:tc>
        <w:tc>
          <w:tcPr>
            <w:tcW w:w="1630" w:type="dxa"/>
            <w:vAlign w:val="center"/>
          </w:tcPr>
          <w:p w14:paraId="6A0C8646" w14:textId="30937109" w:rsidR="00142749" w:rsidRPr="00854131" w:rsidRDefault="00142749" w:rsidP="00142749">
            <w:pPr>
              <w:spacing w:before="0" w:after="0"/>
              <w:jc w:val="center"/>
              <w:rPr>
                <w:b/>
                <w:bCs/>
                <w:color w:val="auto"/>
                <w:shd w:val="clear" w:color="auto" w:fill="auto"/>
              </w:rPr>
            </w:pPr>
          </w:p>
        </w:tc>
        <w:tc>
          <w:tcPr>
            <w:tcW w:w="1530" w:type="dxa"/>
            <w:vAlign w:val="center"/>
          </w:tcPr>
          <w:p w14:paraId="7D880830" w14:textId="1033DC34" w:rsidR="00142749" w:rsidRPr="00854131" w:rsidRDefault="00142749" w:rsidP="00142749">
            <w:pPr>
              <w:spacing w:before="0" w:after="0"/>
              <w:jc w:val="center"/>
              <w:rPr>
                <w:b/>
                <w:bCs/>
                <w:color w:val="auto"/>
                <w:shd w:val="clear" w:color="auto" w:fill="auto"/>
              </w:rPr>
            </w:pPr>
          </w:p>
        </w:tc>
        <w:tc>
          <w:tcPr>
            <w:tcW w:w="1350" w:type="dxa"/>
            <w:vAlign w:val="center"/>
          </w:tcPr>
          <w:p w14:paraId="66AF14B1" w14:textId="64AB06E1" w:rsidR="00142749" w:rsidRPr="00854131" w:rsidRDefault="00142749" w:rsidP="00142749">
            <w:pPr>
              <w:spacing w:before="0" w:after="0"/>
              <w:jc w:val="center"/>
              <w:rPr>
                <w:b/>
                <w:bCs/>
                <w:color w:val="auto"/>
                <w:shd w:val="clear" w:color="auto" w:fill="auto"/>
              </w:rPr>
            </w:pPr>
          </w:p>
        </w:tc>
        <w:tc>
          <w:tcPr>
            <w:tcW w:w="1530" w:type="dxa"/>
            <w:vAlign w:val="center"/>
          </w:tcPr>
          <w:p w14:paraId="65B9C2DC" w14:textId="467DD6EC" w:rsidR="00142749" w:rsidRPr="00854131" w:rsidRDefault="00142749" w:rsidP="00142749">
            <w:pPr>
              <w:spacing w:before="0" w:after="0"/>
              <w:jc w:val="center"/>
              <w:rPr>
                <w:b/>
                <w:bCs/>
                <w:color w:val="auto"/>
                <w:shd w:val="clear" w:color="auto" w:fill="auto"/>
              </w:rPr>
            </w:pPr>
          </w:p>
        </w:tc>
        <w:tc>
          <w:tcPr>
            <w:tcW w:w="1350" w:type="dxa"/>
            <w:vAlign w:val="center"/>
          </w:tcPr>
          <w:p w14:paraId="227555BA" w14:textId="0FC6537F" w:rsidR="00142749" w:rsidRPr="00854131" w:rsidRDefault="00142749" w:rsidP="00142749">
            <w:pPr>
              <w:spacing w:before="0" w:after="0"/>
              <w:jc w:val="center"/>
              <w:rPr>
                <w:b/>
                <w:bCs/>
                <w:color w:val="auto"/>
                <w:shd w:val="clear" w:color="auto" w:fill="auto"/>
              </w:rPr>
            </w:pPr>
          </w:p>
        </w:tc>
      </w:tr>
    </w:tbl>
    <w:p w14:paraId="1CEE0371" w14:textId="77777777" w:rsidR="00142749" w:rsidRPr="00142749" w:rsidRDefault="00142749" w:rsidP="00142749">
      <w:pPr>
        <w:spacing w:before="0" w:after="480"/>
        <w:jc w:val="right"/>
        <w:rPr>
          <w:bCs/>
          <w:color w:val="auto"/>
          <w:shd w:val="clear" w:color="auto" w:fill="auto"/>
        </w:rPr>
      </w:pPr>
    </w:p>
    <w:p w14:paraId="7206B960" w14:textId="77777777" w:rsidR="00142749" w:rsidRPr="00142749" w:rsidRDefault="00142749" w:rsidP="00142749">
      <w:pPr>
        <w:spacing w:before="0" w:after="0"/>
        <w:rPr>
          <w:bCs/>
          <w:color w:val="auto"/>
          <w:shd w:val="clear" w:color="auto" w:fill="auto"/>
        </w:rPr>
      </w:pPr>
      <w:r w:rsidRPr="00142749">
        <w:rPr>
          <w:bCs/>
          <w:color w:val="auto"/>
          <w:shd w:val="clear" w:color="auto" w:fill="auto"/>
        </w:rPr>
        <w:br w:type="page"/>
      </w:r>
    </w:p>
    <w:p w14:paraId="47220D73" w14:textId="77777777" w:rsidR="0033794A" w:rsidRPr="00142749" w:rsidRDefault="0033794A" w:rsidP="0033794A">
      <w:pPr>
        <w:spacing w:after="0"/>
        <w:jc w:val="right"/>
      </w:pPr>
      <w:r w:rsidRPr="00142749">
        <w:lastRenderedPageBreak/>
        <w:t>Appendix 1</w:t>
      </w:r>
    </w:p>
    <w:p w14:paraId="006AC4CE" w14:textId="54153D40" w:rsidR="0033794A" w:rsidRPr="00142749" w:rsidRDefault="0033794A" w:rsidP="0071592E">
      <w:pPr>
        <w:spacing w:before="0" w:after="480"/>
        <w:jc w:val="right"/>
      </w:pPr>
      <w:r w:rsidRPr="00142749">
        <w:t xml:space="preserve">Page </w:t>
      </w:r>
      <w:r>
        <w:t>4</w:t>
      </w:r>
      <w:r w:rsidRPr="00142749">
        <w:t xml:space="preserve"> of 5</w:t>
      </w:r>
    </w:p>
    <w:tbl>
      <w:tblPr>
        <w:tblStyle w:val="TableGrid1"/>
        <w:tblW w:w="10890" w:type="dxa"/>
        <w:tblInd w:w="-815" w:type="dxa"/>
        <w:tblLook w:val="04A0" w:firstRow="1" w:lastRow="0" w:firstColumn="1" w:lastColumn="0" w:noHBand="0" w:noVBand="1"/>
        <w:tblDescription w:val="The table shows the facilitator scoring . The four cathegories are: Outstanding, Complete, Sufficient, Developing and Week    "/>
      </w:tblPr>
      <w:tblGrid>
        <w:gridCol w:w="3503"/>
        <w:gridCol w:w="1630"/>
        <w:gridCol w:w="1529"/>
        <w:gridCol w:w="1350"/>
        <w:gridCol w:w="1530"/>
        <w:gridCol w:w="1348"/>
      </w:tblGrid>
      <w:tr w:rsidR="00142749" w:rsidRPr="00854131" w14:paraId="3EE47AA5" w14:textId="77777777" w:rsidTr="005A392F">
        <w:trPr>
          <w:cantSplit/>
          <w:trHeight w:val="701"/>
          <w:tblHeader/>
        </w:trPr>
        <w:tc>
          <w:tcPr>
            <w:tcW w:w="3503" w:type="dxa"/>
            <w:shd w:val="clear" w:color="auto" w:fill="F2F2F2" w:themeFill="background1" w:themeFillShade="F2"/>
          </w:tcPr>
          <w:p w14:paraId="06410F18"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Facilitator</w:t>
            </w:r>
          </w:p>
          <w:p w14:paraId="08ECB2D6" w14:textId="7CBAD889" w:rsidR="00142749" w:rsidRPr="00854131" w:rsidRDefault="0000702B" w:rsidP="00142749">
            <w:pPr>
              <w:spacing w:before="0" w:after="0"/>
              <w:jc w:val="center"/>
              <w:rPr>
                <w:bCs/>
                <w:color w:val="auto"/>
                <w:shd w:val="clear" w:color="auto" w:fill="auto"/>
              </w:rPr>
            </w:pPr>
            <w:r>
              <w:rPr>
                <w:b/>
                <w:bCs/>
                <w:color w:val="auto"/>
                <w:shd w:val="clear" w:color="auto" w:fill="auto"/>
              </w:rPr>
              <w:t>(20</w:t>
            </w:r>
            <w:r w:rsidR="00142749" w:rsidRPr="00854131">
              <w:rPr>
                <w:b/>
                <w:bCs/>
                <w:color w:val="auto"/>
                <w:shd w:val="clear" w:color="auto" w:fill="auto"/>
              </w:rPr>
              <w:t xml:space="preserve"> Possible Points)</w:t>
            </w:r>
          </w:p>
        </w:tc>
        <w:tc>
          <w:tcPr>
            <w:tcW w:w="1630" w:type="dxa"/>
            <w:shd w:val="clear" w:color="auto" w:fill="F2F2F2" w:themeFill="background1" w:themeFillShade="F2"/>
          </w:tcPr>
          <w:p w14:paraId="7B95682C"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Outstanding</w:t>
            </w:r>
          </w:p>
        </w:tc>
        <w:tc>
          <w:tcPr>
            <w:tcW w:w="1529" w:type="dxa"/>
            <w:shd w:val="clear" w:color="auto" w:fill="F2F2F2" w:themeFill="background1" w:themeFillShade="F2"/>
          </w:tcPr>
          <w:p w14:paraId="2DCA552C"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Complete</w:t>
            </w:r>
          </w:p>
        </w:tc>
        <w:tc>
          <w:tcPr>
            <w:tcW w:w="1350" w:type="dxa"/>
            <w:shd w:val="clear" w:color="auto" w:fill="F2F2F2" w:themeFill="background1" w:themeFillShade="F2"/>
          </w:tcPr>
          <w:p w14:paraId="4632561F"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Sufficient</w:t>
            </w:r>
          </w:p>
        </w:tc>
        <w:tc>
          <w:tcPr>
            <w:tcW w:w="1530" w:type="dxa"/>
            <w:shd w:val="clear" w:color="auto" w:fill="F2F2F2" w:themeFill="background1" w:themeFillShade="F2"/>
          </w:tcPr>
          <w:p w14:paraId="141EB4A3"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Developing</w:t>
            </w:r>
          </w:p>
        </w:tc>
        <w:tc>
          <w:tcPr>
            <w:tcW w:w="1348" w:type="dxa"/>
            <w:shd w:val="clear" w:color="auto" w:fill="F2F2F2" w:themeFill="background1" w:themeFillShade="F2"/>
          </w:tcPr>
          <w:p w14:paraId="79048EBA"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Weak</w:t>
            </w:r>
          </w:p>
        </w:tc>
      </w:tr>
      <w:tr w:rsidR="00142749" w:rsidRPr="00854131" w14:paraId="2B00D8A7" w14:textId="77777777" w:rsidTr="005A392F">
        <w:trPr>
          <w:cantSplit/>
        </w:trPr>
        <w:tc>
          <w:tcPr>
            <w:tcW w:w="3503" w:type="dxa"/>
          </w:tcPr>
          <w:p w14:paraId="5E41D632" w14:textId="77777777" w:rsidR="00142749" w:rsidRPr="00854131" w:rsidRDefault="00142749" w:rsidP="00142749">
            <w:pPr>
              <w:numPr>
                <w:ilvl w:val="0"/>
                <w:numId w:val="43"/>
              </w:numPr>
              <w:spacing w:before="0" w:after="0"/>
              <w:ind w:left="342"/>
              <w:contextualSpacing/>
              <w:rPr>
                <w:bCs/>
                <w:color w:val="auto"/>
                <w:shd w:val="clear" w:color="auto" w:fill="auto"/>
              </w:rPr>
            </w:pPr>
            <w:r w:rsidRPr="00854131">
              <w:t>Describes how the applicant has facilitated and disseminated the implementation of training materials that outline the needs, challenges, and barriers of students around the use of tobacco products.</w:t>
            </w:r>
          </w:p>
        </w:tc>
        <w:tc>
          <w:tcPr>
            <w:tcW w:w="1630" w:type="dxa"/>
            <w:vAlign w:val="center"/>
          </w:tcPr>
          <w:p w14:paraId="1EC3163B" w14:textId="66C60331" w:rsidR="00142749" w:rsidRPr="00854131" w:rsidRDefault="0000702B" w:rsidP="00142749">
            <w:pPr>
              <w:spacing w:before="0" w:after="0"/>
              <w:jc w:val="center"/>
              <w:rPr>
                <w:b/>
                <w:bCs/>
                <w:color w:val="auto"/>
                <w:shd w:val="clear" w:color="auto" w:fill="auto"/>
              </w:rPr>
            </w:pPr>
            <w:r>
              <w:rPr>
                <w:b/>
                <w:bCs/>
                <w:color w:val="auto"/>
                <w:shd w:val="clear" w:color="auto" w:fill="auto"/>
              </w:rPr>
              <w:t>8</w:t>
            </w:r>
          </w:p>
        </w:tc>
        <w:tc>
          <w:tcPr>
            <w:tcW w:w="1529" w:type="dxa"/>
            <w:vAlign w:val="center"/>
          </w:tcPr>
          <w:p w14:paraId="3D3895A6" w14:textId="1EC6C0B6" w:rsidR="00142749" w:rsidRPr="00854131" w:rsidRDefault="0000702B" w:rsidP="00142749">
            <w:pPr>
              <w:spacing w:before="0" w:after="0"/>
              <w:jc w:val="center"/>
              <w:rPr>
                <w:b/>
                <w:bCs/>
                <w:color w:val="auto"/>
                <w:shd w:val="clear" w:color="auto" w:fill="auto"/>
              </w:rPr>
            </w:pPr>
            <w:r>
              <w:rPr>
                <w:b/>
                <w:bCs/>
                <w:color w:val="auto"/>
                <w:shd w:val="clear" w:color="auto" w:fill="auto"/>
              </w:rPr>
              <w:t>6</w:t>
            </w:r>
          </w:p>
        </w:tc>
        <w:tc>
          <w:tcPr>
            <w:tcW w:w="1350" w:type="dxa"/>
            <w:vAlign w:val="center"/>
          </w:tcPr>
          <w:p w14:paraId="3ED1CE55" w14:textId="54FDDB9B" w:rsidR="00142749" w:rsidRPr="00854131" w:rsidRDefault="0000702B" w:rsidP="00142749">
            <w:pPr>
              <w:spacing w:before="0" w:after="0"/>
              <w:jc w:val="center"/>
              <w:rPr>
                <w:b/>
                <w:bCs/>
                <w:color w:val="auto"/>
                <w:shd w:val="clear" w:color="auto" w:fill="auto"/>
              </w:rPr>
            </w:pPr>
            <w:r>
              <w:rPr>
                <w:b/>
                <w:bCs/>
                <w:color w:val="auto"/>
                <w:shd w:val="clear" w:color="auto" w:fill="auto"/>
              </w:rPr>
              <w:t>4</w:t>
            </w:r>
          </w:p>
        </w:tc>
        <w:tc>
          <w:tcPr>
            <w:tcW w:w="1530" w:type="dxa"/>
            <w:vAlign w:val="center"/>
          </w:tcPr>
          <w:p w14:paraId="11E5623B" w14:textId="62FE4533" w:rsidR="00142749" w:rsidRPr="00854131" w:rsidRDefault="0000702B" w:rsidP="00142749">
            <w:pPr>
              <w:spacing w:before="0" w:after="0"/>
              <w:jc w:val="center"/>
              <w:rPr>
                <w:b/>
                <w:bCs/>
                <w:color w:val="auto"/>
                <w:shd w:val="clear" w:color="auto" w:fill="auto"/>
              </w:rPr>
            </w:pPr>
            <w:r>
              <w:rPr>
                <w:b/>
                <w:bCs/>
                <w:color w:val="auto"/>
                <w:shd w:val="clear" w:color="auto" w:fill="auto"/>
              </w:rPr>
              <w:t>2</w:t>
            </w:r>
          </w:p>
        </w:tc>
        <w:tc>
          <w:tcPr>
            <w:tcW w:w="1348" w:type="dxa"/>
            <w:vAlign w:val="center"/>
          </w:tcPr>
          <w:p w14:paraId="27F6329F"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0</w:t>
            </w:r>
          </w:p>
        </w:tc>
      </w:tr>
      <w:tr w:rsidR="00142749" w:rsidRPr="00854131" w14:paraId="23AC41DB" w14:textId="77777777" w:rsidTr="005A392F">
        <w:trPr>
          <w:cantSplit/>
        </w:trPr>
        <w:tc>
          <w:tcPr>
            <w:tcW w:w="3503" w:type="dxa"/>
          </w:tcPr>
          <w:p w14:paraId="5A843ECE" w14:textId="3B54E7A3" w:rsidR="00142749" w:rsidRPr="00854131" w:rsidRDefault="00142749" w:rsidP="007F5EA1">
            <w:pPr>
              <w:numPr>
                <w:ilvl w:val="0"/>
                <w:numId w:val="43"/>
              </w:numPr>
              <w:spacing w:before="0" w:after="0"/>
              <w:ind w:left="342"/>
              <w:contextualSpacing/>
              <w:rPr>
                <w:bCs/>
                <w:color w:val="auto"/>
                <w:shd w:val="clear" w:color="auto" w:fill="auto"/>
              </w:rPr>
            </w:pPr>
            <w:r w:rsidRPr="00854131">
              <w:rPr>
                <w:bCs/>
                <w:color w:val="auto"/>
                <w:shd w:val="clear" w:color="auto" w:fill="auto"/>
              </w:rPr>
              <w:t xml:space="preserve">Describes how the applicant has delivered ongoing workshops and coaching via the </w:t>
            </w:r>
            <w:r w:rsidR="007F5EA1" w:rsidRPr="00854131">
              <w:rPr>
                <w:bCs/>
                <w:color w:val="auto"/>
                <w:shd w:val="clear" w:color="auto" w:fill="auto"/>
              </w:rPr>
              <w:t>w</w:t>
            </w:r>
            <w:r w:rsidRPr="00854131">
              <w:rPr>
                <w:bCs/>
                <w:color w:val="auto"/>
                <w:shd w:val="clear" w:color="auto" w:fill="auto"/>
              </w:rPr>
              <w:t>eb.</w:t>
            </w:r>
          </w:p>
        </w:tc>
        <w:tc>
          <w:tcPr>
            <w:tcW w:w="1630" w:type="dxa"/>
            <w:vAlign w:val="center"/>
          </w:tcPr>
          <w:p w14:paraId="1E6A5142"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4</w:t>
            </w:r>
          </w:p>
        </w:tc>
        <w:tc>
          <w:tcPr>
            <w:tcW w:w="1529" w:type="dxa"/>
            <w:vAlign w:val="center"/>
          </w:tcPr>
          <w:p w14:paraId="6FBC2472"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3</w:t>
            </w:r>
          </w:p>
        </w:tc>
        <w:tc>
          <w:tcPr>
            <w:tcW w:w="1350" w:type="dxa"/>
            <w:vAlign w:val="center"/>
          </w:tcPr>
          <w:p w14:paraId="1FCF1098"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2</w:t>
            </w:r>
          </w:p>
        </w:tc>
        <w:tc>
          <w:tcPr>
            <w:tcW w:w="1530" w:type="dxa"/>
            <w:vAlign w:val="center"/>
          </w:tcPr>
          <w:p w14:paraId="65BC4F57"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1</w:t>
            </w:r>
          </w:p>
        </w:tc>
        <w:tc>
          <w:tcPr>
            <w:tcW w:w="1348" w:type="dxa"/>
            <w:vAlign w:val="center"/>
          </w:tcPr>
          <w:p w14:paraId="043C9852"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0</w:t>
            </w:r>
          </w:p>
        </w:tc>
      </w:tr>
      <w:tr w:rsidR="00142749" w:rsidRPr="00854131" w14:paraId="33CA0311" w14:textId="77777777" w:rsidTr="005A392F">
        <w:trPr>
          <w:cantSplit/>
        </w:trPr>
        <w:tc>
          <w:tcPr>
            <w:tcW w:w="3503" w:type="dxa"/>
          </w:tcPr>
          <w:p w14:paraId="22672DA6" w14:textId="77777777" w:rsidR="00142749" w:rsidRPr="00854131" w:rsidRDefault="00142749" w:rsidP="00142749">
            <w:pPr>
              <w:numPr>
                <w:ilvl w:val="0"/>
                <w:numId w:val="43"/>
              </w:numPr>
              <w:spacing w:before="0" w:after="0"/>
              <w:ind w:left="342"/>
              <w:contextualSpacing/>
              <w:rPr>
                <w:bCs/>
                <w:color w:val="auto"/>
                <w:shd w:val="clear" w:color="auto" w:fill="auto"/>
              </w:rPr>
            </w:pPr>
            <w:r w:rsidRPr="00854131">
              <w:rPr>
                <w:bCs/>
                <w:color w:val="auto"/>
                <w:shd w:val="clear" w:color="auto" w:fill="auto"/>
              </w:rPr>
              <w:t>Describes how the applicant will facilitate and disseminate the implementation of training materials that outline the needs, challenges, and barriers of students around the use of tobacco products.</w:t>
            </w:r>
          </w:p>
        </w:tc>
        <w:tc>
          <w:tcPr>
            <w:tcW w:w="1630" w:type="dxa"/>
            <w:vAlign w:val="center"/>
          </w:tcPr>
          <w:p w14:paraId="6B4F10E5"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4</w:t>
            </w:r>
          </w:p>
        </w:tc>
        <w:tc>
          <w:tcPr>
            <w:tcW w:w="1529" w:type="dxa"/>
            <w:vAlign w:val="center"/>
          </w:tcPr>
          <w:p w14:paraId="534807FE"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3</w:t>
            </w:r>
          </w:p>
        </w:tc>
        <w:tc>
          <w:tcPr>
            <w:tcW w:w="1350" w:type="dxa"/>
            <w:vAlign w:val="center"/>
          </w:tcPr>
          <w:p w14:paraId="0D677D35"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2</w:t>
            </w:r>
          </w:p>
        </w:tc>
        <w:tc>
          <w:tcPr>
            <w:tcW w:w="1530" w:type="dxa"/>
            <w:vAlign w:val="center"/>
          </w:tcPr>
          <w:p w14:paraId="563B1D3D"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1</w:t>
            </w:r>
          </w:p>
        </w:tc>
        <w:tc>
          <w:tcPr>
            <w:tcW w:w="1348" w:type="dxa"/>
            <w:vAlign w:val="center"/>
          </w:tcPr>
          <w:p w14:paraId="34DD95D6"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0</w:t>
            </w:r>
          </w:p>
        </w:tc>
      </w:tr>
      <w:tr w:rsidR="00142749" w:rsidRPr="00854131" w14:paraId="5E1E6765" w14:textId="77777777" w:rsidTr="005A392F">
        <w:trPr>
          <w:cantSplit/>
        </w:trPr>
        <w:tc>
          <w:tcPr>
            <w:tcW w:w="3503" w:type="dxa"/>
          </w:tcPr>
          <w:p w14:paraId="67E47239" w14:textId="55413A5C" w:rsidR="00142749" w:rsidRPr="00854131" w:rsidRDefault="00142749" w:rsidP="0043252D">
            <w:pPr>
              <w:numPr>
                <w:ilvl w:val="0"/>
                <w:numId w:val="43"/>
              </w:numPr>
              <w:spacing w:before="0" w:after="0"/>
              <w:ind w:left="342"/>
              <w:contextualSpacing/>
              <w:rPr>
                <w:bCs/>
                <w:color w:val="auto"/>
                <w:shd w:val="clear" w:color="auto" w:fill="auto"/>
              </w:rPr>
            </w:pPr>
            <w:r w:rsidRPr="00854131">
              <w:rPr>
                <w:bCs/>
                <w:color w:val="auto"/>
                <w:shd w:val="clear" w:color="auto" w:fill="auto"/>
              </w:rPr>
              <w:t xml:space="preserve">Describes how the applicant will deliver ongoing workshops and coaching via the </w:t>
            </w:r>
            <w:r w:rsidR="0043252D" w:rsidRPr="00854131">
              <w:rPr>
                <w:bCs/>
                <w:color w:val="auto"/>
                <w:shd w:val="clear" w:color="auto" w:fill="auto"/>
              </w:rPr>
              <w:t>w</w:t>
            </w:r>
            <w:r w:rsidRPr="00854131">
              <w:rPr>
                <w:bCs/>
                <w:color w:val="auto"/>
                <w:shd w:val="clear" w:color="auto" w:fill="auto"/>
              </w:rPr>
              <w:t>eb.</w:t>
            </w:r>
          </w:p>
        </w:tc>
        <w:tc>
          <w:tcPr>
            <w:tcW w:w="1630" w:type="dxa"/>
            <w:vAlign w:val="center"/>
          </w:tcPr>
          <w:p w14:paraId="41FEE6C0"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4</w:t>
            </w:r>
          </w:p>
        </w:tc>
        <w:tc>
          <w:tcPr>
            <w:tcW w:w="1529" w:type="dxa"/>
            <w:vAlign w:val="center"/>
          </w:tcPr>
          <w:p w14:paraId="6AE718C2"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3</w:t>
            </w:r>
          </w:p>
        </w:tc>
        <w:tc>
          <w:tcPr>
            <w:tcW w:w="1350" w:type="dxa"/>
            <w:vAlign w:val="center"/>
          </w:tcPr>
          <w:p w14:paraId="3EADAF7B"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2</w:t>
            </w:r>
          </w:p>
        </w:tc>
        <w:tc>
          <w:tcPr>
            <w:tcW w:w="1530" w:type="dxa"/>
            <w:vAlign w:val="center"/>
          </w:tcPr>
          <w:p w14:paraId="2831D5D4"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1</w:t>
            </w:r>
          </w:p>
        </w:tc>
        <w:tc>
          <w:tcPr>
            <w:tcW w:w="1348" w:type="dxa"/>
            <w:vAlign w:val="center"/>
          </w:tcPr>
          <w:p w14:paraId="1AE4FF2F" w14:textId="77777777" w:rsidR="00142749" w:rsidRPr="00854131" w:rsidRDefault="00142749" w:rsidP="00142749">
            <w:pPr>
              <w:spacing w:before="0" w:after="0"/>
              <w:jc w:val="center"/>
              <w:rPr>
                <w:b/>
                <w:bCs/>
                <w:color w:val="auto"/>
                <w:shd w:val="clear" w:color="auto" w:fill="auto"/>
              </w:rPr>
            </w:pPr>
            <w:r w:rsidRPr="00854131">
              <w:rPr>
                <w:b/>
                <w:bCs/>
                <w:color w:val="auto"/>
                <w:shd w:val="clear" w:color="auto" w:fill="auto"/>
              </w:rPr>
              <w:t>0</w:t>
            </w:r>
          </w:p>
        </w:tc>
      </w:tr>
      <w:tr w:rsidR="00142749" w:rsidRPr="00854131" w14:paraId="1B15CADE" w14:textId="77777777" w:rsidTr="005A392F">
        <w:trPr>
          <w:cantSplit/>
          <w:trHeight w:val="720"/>
        </w:trPr>
        <w:tc>
          <w:tcPr>
            <w:tcW w:w="3503" w:type="dxa"/>
            <w:vAlign w:val="center"/>
          </w:tcPr>
          <w:p w14:paraId="4F7165CE" w14:textId="77777777" w:rsidR="00142749" w:rsidRPr="00854131" w:rsidRDefault="00142749" w:rsidP="00142749">
            <w:pPr>
              <w:spacing w:before="0" w:after="0"/>
              <w:ind w:left="-18"/>
              <w:jc w:val="center"/>
              <w:rPr>
                <w:b/>
                <w:bCs/>
                <w:color w:val="auto"/>
                <w:shd w:val="clear" w:color="auto" w:fill="auto"/>
              </w:rPr>
            </w:pPr>
            <w:r w:rsidRPr="00854131">
              <w:rPr>
                <w:b/>
                <w:bCs/>
                <w:color w:val="auto"/>
                <w:shd w:val="clear" w:color="auto" w:fill="auto"/>
              </w:rPr>
              <w:t>TOTAL</w:t>
            </w:r>
          </w:p>
        </w:tc>
        <w:tc>
          <w:tcPr>
            <w:tcW w:w="1630" w:type="dxa"/>
            <w:vAlign w:val="center"/>
          </w:tcPr>
          <w:p w14:paraId="4C5B810D" w14:textId="6D63B8B3" w:rsidR="00142749" w:rsidRPr="00854131" w:rsidRDefault="00142749" w:rsidP="00142749">
            <w:pPr>
              <w:spacing w:before="0" w:after="0"/>
              <w:jc w:val="center"/>
              <w:rPr>
                <w:b/>
                <w:bCs/>
                <w:color w:val="auto"/>
                <w:shd w:val="clear" w:color="auto" w:fill="auto"/>
              </w:rPr>
            </w:pPr>
          </w:p>
        </w:tc>
        <w:tc>
          <w:tcPr>
            <w:tcW w:w="1529" w:type="dxa"/>
            <w:vAlign w:val="center"/>
          </w:tcPr>
          <w:p w14:paraId="6D72BB2B" w14:textId="3124D748" w:rsidR="00142749" w:rsidRPr="00854131" w:rsidRDefault="00142749" w:rsidP="00142749">
            <w:pPr>
              <w:spacing w:before="0" w:after="0"/>
              <w:jc w:val="center"/>
              <w:rPr>
                <w:b/>
                <w:bCs/>
                <w:color w:val="auto"/>
                <w:shd w:val="clear" w:color="auto" w:fill="auto"/>
              </w:rPr>
            </w:pPr>
          </w:p>
        </w:tc>
        <w:tc>
          <w:tcPr>
            <w:tcW w:w="1350" w:type="dxa"/>
            <w:vAlign w:val="center"/>
          </w:tcPr>
          <w:p w14:paraId="65834C97" w14:textId="2D29A17C" w:rsidR="00142749" w:rsidRPr="00854131" w:rsidRDefault="00142749" w:rsidP="00142749">
            <w:pPr>
              <w:spacing w:before="0" w:after="0"/>
              <w:jc w:val="center"/>
              <w:rPr>
                <w:b/>
                <w:bCs/>
                <w:color w:val="auto"/>
                <w:shd w:val="clear" w:color="auto" w:fill="auto"/>
              </w:rPr>
            </w:pPr>
          </w:p>
        </w:tc>
        <w:tc>
          <w:tcPr>
            <w:tcW w:w="1530" w:type="dxa"/>
            <w:vAlign w:val="center"/>
          </w:tcPr>
          <w:p w14:paraId="791E3350" w14:textId="57B746F2" w:rsidR="00142749" w:rsidRPr="00854131" w:rsidRDefault="00142749" w:rsidP="00142749">
            <w:pPr>
              <w:spacing w:before="0" w:after="0"/>
              <w:jc w:val="center"/>
              <w:rPr>
                <w:b/>
                <w:bCs/>
                <w:color w:val="auto"/>
                <w:shd w:val="clear" w:color="auto" w:fill="auto"/>
              </w:rPr>
            </w:pPr>
          </w:p>
        </w:tc>
        <w:tc>
          <w:tcPr>
            <w:tcW w:w="1348" w:type="dxa"/>
            <w:vAlign w:val="center"/>
          </w:tcPr>
          <w:p w14:paraId="16A38AF0" w14:textId="23643E50" w:rsidR="00142749" w:rsidRPr="00854131" w:rsidRDefault="00142749" w:rsidP="00142749">
            <w:pPr>
              <w:spacing w:before="0" w:after="0"/>
              <w:jc w:val="center"/>
              <w:rPr>
                <w:b/>
                <w:bCs/>
                <w:color w:val="auto"/>
                <w:shd w:val="clear" w:color="auto" w:fill="auto"/>
              </w:rPr>
            </w:pPr>
          </w:p>
        </w:tc>
      </w:tr>
    </w:tbl>
    <w:p w14:paraId="2E146A89" w14:textId="77777777" w:rsidR="00142749" w:rsidRPr="00142749" w:rsidRDefault="00142749" w:rsidP="00142749">
      <w:pPr>
        <w:spacing w:before="0" w:after="160" w:line="259" w:lineRule="auto"/>
        <w:rPr>
          <w:rFonts w:eastAsiaTheme="minorHAnsi" w:cstheme="minorBidi"/>
          <w:color w:val="auto"/>
          <w:szCs w:val="22"/>
          <w:shd w:val="clear" w:color="auto" w:fill="auto"/>
        </w:rPr>
      </w:pPr>
    </w:p>
    <w:p w14:paraId="6047D2F9" w14:textId="77777777" w:rsidR="00142749" w:rsidRPr="00142749" w:rsidRDefault="00142749" w:rsidP="00142749">
      <w:pPr>
        <w:spacing w:before="0" w:after="0"/>
        <w:rPr>
          <w:bCs/>
          <w:color w:val="auto"/>
          <w:shd w:val="clear" w:color="auto" w:fill="auto"/>
        </w:rPr>
      </w:pPr>
      <w:r w:rsidRPr="00142749">
        <w:rPr>
          <w:bCs/>
          <w:color w:val="auto"/>
          <w:shd w:val="clear" w:color="auto" w:fill="auto"/>
        </w:rPr>
        <w:br w:type="page"/>
      </w:r>
    </w:p>
    <w:p w14:paraId="4DDBB5A0" w14:textId="77777777" w:rsidR="0033794A" w:rsidRPr="00142749" w:rsidRDefault="0033794A" w:rsidP="0033794A">
      <w:pPr>
        <w:spacing w:after="0"/>
        <w:jc w:val="right"/>
      </w:pPr>
      <w:r w:rsidRPr="00142749">
        <w:lastRenderedPageBreak/>
        <w:t>Appendix 1</w:t>
      </w:r>
    </w:p>
    <w:p w14:paraId="00D3968B" w14:textId="33FE8D83" w:rsidR="0033794A" w:rsidRPr="00142749" w:rsidRDefault="0033794A" w:rsidP="0071592E">
      <w:pPr>
        <w:spacing w:before="0" w:after="480"/>
        <w:jc w:val="right"/>
      </w:pPr>
      <w:r w:rsidRPr="00142749">
        <w:t xml:space="preserve">Page </w:t>
      </w:r>
      <w:r>
        <w:t>5</w:t>
      </w:r>
      <w:r w:rsidRPr="00142749">
        <w:t xml:space="preserve"> of 5</w:t>
      </w:r>
    </w:p>
    <w:tbl>
      <w:tblPr>
        <w:tblStyle w:val="TableGrid1"/>
        <w:tblW w:w="10890" w:type="dxa"/>
        <w:tblInd w:w="-815" w:type="dxa"/>
        <w:tblLook w:val="04A0" w:firstRow="1" w:lastRow="0" w:firstColumn="1" w:lastColumn="0" w:noHBand="0" w:noVBand="1"/>
        <w:tblDescription w:val="he table shows the scoring table for the Project Budget.  The four cathegories are: Outstanding, Complete, Sufficient, Developing and Week    "/>
      </w:tblPr>
      <w:tblGrid>
        <w:gridCol w:w="3503"/>
        <w:gridCol w:w="1630"/>
        <w:gridCol w:w="1529"/>
        <w:gridCol w:w="1350"/>
        <w:gridCol w:w="1530"/>
        <w:gridCol w:w="1348"/>
      </w:tblGrid>
      <w:tr w:rsidR="00142749" w:rsidRPr="00142749" w14:paraId="07169DAE" w14:textId="77777777" w:rsidTr="005A392F">
        <w:trPr>
          <w:cantSplit/>
          <w:trHeight w:val="935"/>
          <w:tblHeader/>
        </w:trPr>
        <w:tc>
          <w:tcPr>
            <w:tcW w:w="3503" w:type="dxa"/>
            <w:shd w:val="clear" w:color="auto" w:fill="F2F2F2" w:themeFill="background1" w:themeFillShade="F2"/>
          </w:tcPr>
          <w:p w14:paraId="3DA49AA2" w14:textId="77777777" w:rsidR="00142749" w:rsidRPr="00C52B68" w:rsidRDefault="00142749" w:rsidP="00142749">
            <w:pPr>
              <w:spacing w:before="0" w:after="0"/>
              <w:jc w:val="center"/>
              <w:rPr>
                <w:b/>
                <w:bCs/>
                <w:color w:val="auto"/>
                <w:shd w:val="clear" w:color="auto" w:fill="auto"/>
              </w:rPr>
            </w:pPr>
            <w:r w:rsidRPr="00C52B68">
              <w:rPr>
                <w:b/>
                <w:bCs/>
                <w:color w:val="auto"/>
                <w:shd w:val="clear" w:color="auto" w:fill="auto"/>
              </w:rPr>
              <w:t>Project Budget Justification</w:t>
            </w:r>
          </w:p>
          <w:p w14:paraId="6ECD00A1" w14:textId="77777777" w:rsidR="00142749" w:rsidRPr="00142749" w:rsidRDefault="00142749" w:rsidP="00142749">
            <w:pPr>
              <w:spacing w:before="0" w:after="0"/>
              <w:jc w:val="center"/>
              <w:rPr>
                <w:b/>
                <w:bCs/>
                <w:color w:val="auto"/>
                <w:shd w:val="clear" w:color="auto" w:fill="auto"/>
              </w:rPr>
            </w:pPr>
            <w:r w:rsidRPr="00C52B68">
              <w:rPr>
                <w:b/>
                <w:bCs/>
                <w:color w:val="auto"/>
                <w:shd w:val="clear" w:color="auto" w:fill="auto"/>
              </w:rPr>
              <w:t>(16 Possible Points)</w:t>
            </w:r>
          </w:p>
        </w:tc>
        <w:tc>
          <w:tcPr>
            <w:tcW w:w="1630" w:type="dxa"/>
            <w:shd w:val="clear" w:color="auto" w:fill="F2F2F2" w:themeFill="background1" w:themeFillShade="F2"/>
          </w:tcPr>
          <w:p w14:paraId="499E2124" w14:textId="77777777" w:rsidR="00142749" w:rsidRPr="00142749" w:rsidRDefault="00142749" w:rsidP="00142749">
            <w:pPr>
              <w:spacing w:before="0" w:after="0"/>
              <w:jc w:val="center"/>
              <w:rPr>
                <w:b/>
                <w:bCs/>
                <w:color w:val="auto"/>
                <w:shd w:val="clear" w:color="auto" w:fill="auto"/>
              </w:rPr>
            </w:pPr>
            <w:r w:rsidRPr="00142749">
              <w:rPr>
                <w:b/>
                <w:bCs/>
                <w:color w:val="auto"/>
                <w:shd w:val="clear" w:color="auto" w:fill="auto"/>
              </w:rPr>
              <w:t>Outstanding</w:t>
            </w:r>
          </w:p>
        </w:tc>
        <w:tc>
          <w:tcPr>
            <w:tcW w:w="1529" w:type="dxa"/>
            <w:shd w:val="clear" w:color="auto" w:fill="F2F2F2" w:themeFill="background1" w:themeFillShade="F2"/>
          </w:tcPr>
          <w:p w14:paraId="526A3745" w14:textId="77777777" w:rsidR="00142749" w:rsidRPr="00142749" w:rsidRDefault="00142749" w:rsidP="00142749">
            <w:pPr>
              <w:spacing w:before="0" w:after="0"/>
              <w:jc w:val="center"/>
              <w:rPr>
                <w:b/>
                <w:bCs/>
                <w:color w:val="auto"/>
                <w:shd w:val="clear" w:color="auto" w:fill="auto"/>
              </w:rPr>
            </w:pPr>
            <w:r w:rsidRPr="00142749">
              <w:rPr>
                <w:b/>
                <w:bCs/>
                <w:color w:val="auto"/>
                <w:shd w:val="clear" w:color="auto" w:fill="auto"/>
              </w:rPr>
              <w:t>Complete</w:t>
            </w:r>
          </w:p>
        </w:tc>
        <w:tc>
          <w:tcPr>
            <w:tcW w:w="1350" w:type="dxa"/>
            <w:shd w:val="clear" w:color="auto" w:fill="F2F2F2" w:themeFill="background1" w:themeFillShade="F2"/>
          </w:tcPr>
          <w:p w14:paraId="4FD7400F" w14:textId="77777777" w:rsidR="00142749" w:rsidRPr="00142749" w:rsidRDefault="00142749" w:rsidP="00142749">
            <w:pPr>
              <w:spacing w:before="0" w:after="0"/>
              <w:jc w:val="center"/>
              <w:rPr>
                <w:b/>
                <w:bCs/>
                <w:color w:val="auto"/>
                <w:shd w:val="clear" w:color="auto" w:fill="auto"/>
              </w:rPr>
            </w:pPr>
            <w:r w:rsidRPr="00142749">
              <w:rPr>
                <w:b/>
                <w:bCs/>
                <w:color w:val="auto"/>
                <w:shd w:val="clear" w:color="auto" w:fill="auto"/>
              </w:rPr>
              <w:t>Sufficient</w:t>
            </w:r>
          </w:p>
        </w:tc>
        <w:tc>
          <w:tcPr>
            <w:tcW w:w="1530" w:type="dxa"/>
            <w:shd w:val="clear" w:color="auto" w:fill="F2F2F2" w:themeFill="background1" w:themeFillShade="F2"/>
          </w:tcPr>
          <w:p w14:paraId="0FC1722B" w14:textId="77777777" w:rsidR="00142749" w:rsidRPr="00142749" w:rsidRDefault="00142749" w:rsidP="00142749">
            <w:pPr>
              <w:spacing w:before="0" w:after="0"/>
              <w:jc w:val="center"/>
              <w:rPr>
                <w:b/>
                <w:bCs/>
                <w:color w:val="auto"/>
                <w:shd w:val="clear" w:color="auto" w:fill="auto"/>
              </w:rPr>
            </w:pPr>
            <w:r w:rsidRPr="00142749">
              <w:rPr>
                <w:b/>
                <w:bCs/>
                <w:color w:val="auto"/>
                <w:shd w:val="clear" w:color="auto" w:fill="auto"/>
              </w:rPr>
              <w:t>Developing</w:t>
            </w:r>
          </w:p>
        </w:tc>
        <w:tc>
          <w:tcPr>
            <w:tcW w:w="1348" w:type="dxa"/>
            <w:shd w:val="clear" w:color="auto" w:fill="F2F2F2" w:themeFill="background1" w:themeFillShade="F2"/>
          </w:tcPr>
          <w:p w14:paraId="0B45929F" w14:textId="77777777" w:rsidR="00142749" w:rsidRPr="00142749" w:rsidRDefault="00142749" w:rsidP="00142749">
            <w:pPr>
              <w:spacing w:before="0" w:after="0"/>
              <w:jc w:val="center"/>
              <w:rPr>
                <w:b/>
                <w:bCs/>
                <w:color w:val="auto"/>
                <w:shd w:val="clear" w:color="auto" w:fill="auto"/>
              </w:rPr>
            </w:pPr>
            <w:r w:rsidRPr="00142749">
              <w:rPr>
                <w:b/>
                <w:bCs/>
                <w:color w:val="auto"/>
                <w:shd w:val="clear" w:color="auto" w:fill="auto"/>
              </w:rPr>
              <w:t>Weak</w:t>
            </w:r>
          </w:p>
        </w:tc>
      </w:tr>
      <w:tr w:rsidR="00142749" w:rsidRPr="00142749" w14:paraId="75460BA4" w14:textId="77777777" w:rsidTr="005A392F">
        <w:trPr>
          <w:cantSplit/>
        </w:trPr>
        <w:tc>
          <w:tcPr>
            <w:tcW w:w="3503" w:type="dxa"/>
          </w:tcPr>
          <w:p w14:paraId="09ABCD5E" w14:textId="46F2E652" w:rsidR="00142749" w:rsidRPr="00142749" w:rsidRDefault="00142749" w:rsidP="00735C80">
            <w:pPr>
              <w:numPr>
                <w:ilvl w:val="0"/>
                <w:numId w:val="41"/>
              </w:numPr>
              <w:spacing w:before="0" w:after="0"/>
              <w:ind w:left="342"/>
              <w:contextualSpacing/>
              <w:rPr>
                <w:bCs/>
                <w:color w:val="auto"/>
                <w:shd w:val="clear" w:color="auto" w:fill="auto"/>
              </w:rPr>
            </w:pPr>
            <w:r w:rsidRPr="00142749">
              <w:rPr>
                <w:bCs/>
                <w:color w:val="auto"/>
                <w:shd w:val="clear" w:color="auto" w:fill="auto"/>
              </w:rPr>
              <w:t>Describes e</w:t>
            </w:r>
            <w:r w:rsidRPr="00142749">
              <w:rPr>
                <w:rFonts w:eastAsiaTheme="minorHAnsi"/>
                <w:bCs/>
                <w:color w:val="auto"/>
                <w:shd w:val="clear" w:color="auto" w:fill="auto"/>
              </w:rPr>
              <w:t>xtent to which all funded personnel (certificated, classified, and contract) are separately described, including detailed time base, specific annual costs</w:t>
            </w:r>
            <w:r w:rsidR="004468CE">
              <w:rPr>
                <w:rFonts w:eastAsiaTheme="minorHAnsi"/>
                <w:bCs/>
                <w:color w:val="auto"/>
                <w:shd w:val="clear" w:color="auto" w:fill="auto"/>
              </w:rPr>
              <w:t>,</w:t>
            </w:r>
            <w:r w:rsidR="00735C80">
              <w:rPr>
                <w:rFonts w:eastAsiaTheme="minorHAnsi"/>
                <w:bCs/>
                <w:color w:val="auto"/>
                <w:shd w:val="clear" w:color="auto" w:fill="auto"/>
              </w:rPr>
              <w:t xml:space="preserve"> and</w:t>
            </w:r>
            <w:r w:rsidRPr="00142749">
              <w:rPr>
                <w:rFonts w:eastAsiaTheme="minorHAnsi"/>
                <w:bCs/>
                <w:color w:val="auto"/>
                <w:shd w:val="clear" w:color="auto" w:fill="auto"/>
              </w:rPr>
              <w:t xml:space="preserve"> duties</w:t>
            </w:r>
            <w:r w:rsidR="00735C80">
              <w:rPr>
                <w:rFonts w:eastAsiaTheme="minorHAnsi"/>
                <w:bCs/>
                <w:color w:val="auto"/>
                <w:shd w:val="clear" w:color="auto" w:fill="auto"/>
              </w:rPr>
              <w:t>.</w:t>
            </w:r>
            <w:r w:rsidRPr="00142749">
              <w:rPr>
                <w:rFonts w:eastAsiaTheme="minorHAnsi"/>
                <w:bCs/>
                <w:color w:val="auto"/>
                <w:shd w:val="clear" w:color="auto" w:fill="auto"/>
              </w:rPr>
              <w:t xml:space="preserve"> </w:t>
            </w:r>
          </w:p>
        </w:tc>
        <w:tc>
          <w:tcPr>
            <w:tcW w:w="1630" w:type="dxa"/>
            <w:vAlign w:val="center"/>
          </w:tcPr>
          <w:p w14:paraId="1EF2489F" w14:textId="5ABB2FE3" w:rsidR="00142749" w:rsidRPr="00142749" w:rsidRDefault="0000702B" w:rsidP="00142749">
            <w:pPr>
              <w:spacing w:before="0" w:after="0"/>
              <w:jc w:val="center"/>
              <w:rPr>
                <w:b/>
                <w:bCs/>
                <w:color w:val="auto"/>
                <w:shd w:val="clear" w:color="auto" w:fill="auto"/>
              </w:rPr>
            </w:pPr>
            <w:r>
              <w:rPr>
                <w:b/>
                <w:bCs/>
                <w:color w:val="auto"/>
                <w:shd w:val="clear" w:color="auto" w:fill="auto"/>
              </w:rPr>
              <w:t>8</w:t>
            </w:r>
          </w:p>
        </w:tc>
        <w:tc>
          <w:tcPr>
            <w:tcW w:w="1529" w:type="dxa"/>
            <w:vAlign w:val="center"/>
          </w:tcPr>
          <w:p w14:paraId="4FD8BB73" w14:textId="7204D2C6" w:rsidR="00142749" w:rsidRPr="00142749" w:rsidRDefault="0000702B" w:rsidP="00142749">
            <w:pPr>
              <w:spacing w:before="0" w:after="0"/>
              <w:jc w:val="center"/>
              <w:rPr>
                <w:b/>
                <w:bCs/>
                <w:color w:val="auto"/>
                <w:shd w:val="clear" w:color="auto" w:fill="auto"/>
              </w:rPr>
            </w:pPr>
            <w:r>
              <w:rPr>
                <w:b/>
                <w:bCs/>
                <w:color w:val="auto"/>
                <w:shd w:val="clear" w:color="auto" w:fill="auto"/>
              </w:rPr>
              <w:t>6</w:t>
            </w:r>
          </w:p>
        </w:tc>
        <w:tc>
          <w:tcPr>
            <w:tcW w:w="1350" w:type="dxa"/>
            <w:vAlign w:val="center"/>
          </w:tcPr>
          <w:p w14:paraId="489C13C0" w14:textId="19A13209" w:rsidR="00142749" w:rsidRPr="00142749" w:rsidRDefault="0000702B" w:rsidP="00142749">
            <w:pPr>
              <w:spacing w:before="0" w:after="0"/>
              <w:jc w:val="center"/>
              <w:rPr>
                <w:b/>
                <w:bCs/>
                <w:color w:val="auto"/>
                <w:shd w:val="clear" w:color="auto" w:fill="auto"/>
              </w:rPr>
            </w:pPr>
            <w:r>
              <w:rPr>
                <w:b/>
                <w:bCs/>
                <w:color w:val="auto"/>
                <w:shd w:val="clear" w:color="auto" w:fill="auto"/>
              </w:rPr>
              <w:t>4</w:t>
            </w:r>
          </w:p>
        </w:tc>
        <w:tc>
          <w:tcPr>
            <w:tcW w:w="1530" w:type="dxa"/>
            <w:vAlign w:val="center"/>
          </w:tcPr>
          <w:p w14:paraId="26AE98F3" w14:textId="2991E682" w:rsidR="00142749" w:rsidRPr="00142749" w:rsidRDefault="0000702B" w:rsidP="00142749">
            <w:pPr>
              <w:spacing w:before="0" w:after="0"/>
              <w:jc w:val="center"/>
              <w:rPr>
                <w:b/>
                <w:bCs/>
                <w:color w:val="auto"/>
                <w:shd w:val="clear" w:color="auto" w:fill="auto"/>
              </w:rPr>
            </w:pPr>
            <w:r>
              <w:rPr>
                <w:b/>
                <w:bCs/>
                <w:color w:val="auto"/>
                <w:shd w:val="clear" w:color="auto" w:fill="auto"/>
              </w:rPr>
              <w:t>2</w:t>
            </w:r>
          </w:p>
        </w:tc>
        <w:tc>
          <w:tcPr>
            <w:tcW w:w="1348" w:type="dxa"/>
            <w:vAlign w:val="center"/>
          </w:tcPr>
          <w:p w14:paraId="132E60D8" w14:textId="77777777" w:rsidR="00142749" w:rsidRPr="00142749" w:rsidRDefault="00142749" w:rsidP="00142749">
            <w:pPr>
              <w:spacing w:before="0" w:after="0"/>
              <w:jc w:val="center"/>
              <w:rPr>
                <w:b/>
                <w:bCs/>
                <w:color w:val="auto"/>
                <w:shd w:val="clear" w:color="auto" w:fill="auto"/>
              </w:rPr>
            </w:pPr>
            <w:r w:rsidRPr="00142749">
              <w:rPr>
                <w:b/>
                <w:bCs/>
                <w:color w:val="auto"/>
                <w:shd w:val="clear" w:color="auto" w:fill="auto"/>
              </w:rPr>
              <w:t>0</w:t>
            </w:r>
          </w:p>
        </w:tc>
      </w:tr>
      <w:tr w:rsidR="00142749" w:rsidRPr="00142749" w14:paraId="120411AF" w14:textId="77777777" w:rsidTr="005A392F">
        <w:trPr>
          <w:cantSplit/>
        </w:trPr>
        <w:tc>
          <w:tcPr>
            <w:tcW w:w="3503" w:type="dxa"/>
          </w:tcPr>
          <w:p w14:paraId="1B39963B" w14:textId="77777777" w:rsidR="00142749" w:rsidRPr="00142749" w:rsidRDefault="00142749" w:rsidP="00142749">
            <w:pPr>
              <w:numPr>
                <w:ilvl w:val="0"/>
                <w:numId w:val="41"/>
              </w:numPr>
              <w:spacing w:before="0" w:after="0"/>
              <w:ind w:left="342"/>
              <w:contextualSpacing/>
              <w:rPr>
                <w:bCs/>
                <w:color w:val="auto"/>
                <w:shd w:val="clear" w:color="auto" w:fill="auto"/>
              </w:rPr>
            </w:pPr>
            <w:r w:rsidRPr="00142749">
              <w:rPr>
                <w:bCs/>
                <w:color w:val="auto"/>
                <w:shd w:val="clear" w:color="auto" w:fill="auto"/>
              </w:rPr>
              <w:t>Describes e</w:t>
            </w:r>
            <w:r w:rsidRPr="00142749">
              <w:rPr>
                <w:rFonts w:eastAsiaTheme="minorHAnsi"/>
                <w:bCs/>
                <w:color w:val="auto"/>
                <w:shd w:val="clear" w:color="auto" w:fill="auto"/>
              </w:rPr>
              <w:t>xtent to which budget items related to an activity are shown in the activities table.</w:t>
            </w:r>
          </w:p>
        </w:tc>
        <w:tc>
          <w:tcPr>
            <w:tcW w:w="1630" w:type="dxa"/>
            <w:vAlign w:val="center"/>
          </w:tcPr>
          <w:p w14:paraId="0B450E75" w14:textId="77777777" w:rsidR="00142749" w:rsidRPr="00142749" w:rsidRDefault="00142749" w:rsidP="00142749">
            <w:pPr>
              <w:spacing w:before="0" w:after="0"/>
              <w:jc w:val="center"/>
              <w:rPr>
                <w:b/>
                <w:bCs/>
                <w:color w:val="auto"/>
                <w:shd w:val="clear" w:color="auto" w:fill="auto"/>
              </w:rPr>
            </w:pPr>
            <w:r w:rsidRPr="00142749">
              <w:rPr>
                <w:b/>
                <w:bCs/>
                <w:color w:val="auto"/>
                <w:shd w:val="clear" w:color="auto" w:fill="auto"/>
              </w:rPr>
              <w:t>4</w:t>
            </w:r>
          </w:p>
        </w:tc>
        <w:tc>
          <w:tcPr>
            <w:tcW w:w="1529" w:type="dxa"/>
            <w:vAlign w:val="center"/>
          </w:tcPr>
          <w:p w14:paraId="73485ABE" w14:textId="77777777" w:rsidR="00142749" w:rsidRPr="00142749" w:rsidRDefault="00142749" w:rsidP="00142749">
            <w:pPr>
              <w:spacing w:before="0" w:after="0"/>
              <w:jc w:val="center"/>
              <w:rPr>
                <w:b/>
                <w:bCs/>
                <w:color w:val="auto"/>
                <w:shd w:val="clear" w:color="auto" w:fill="auto"/>
              </w:rPr>
            </w:pPr>
            <w:r w:rsidRPr="00142749">
              <w:rPr>
                <w:b/>
                <w:bCs/>
                <w:color w:val="auto"/>
                <w:shd w:val="clear" w:color="auto" w:fill="auto"/>
              </w:rPr>
              <w:t>3</w:t>
            </w:r>
          </w:p>
        </w:tc>
        <w:tc>
          <w:tcPr>
            <w:tcW w:w="1350" w:type="dxa"/>
            <w:vAlign w:val="center"/>
          </w:tcPr>
          <w:p w14:paraId="39CE2CBA" w14:textId="77777777" w:rsidR="00142749" w:rsidRPr="00142749" w:rsidRDefault="00142749" w:rsidP="00142749">
            <w:pPr>
              <w:spacing w:before="0" w:after="0"/>
              <w:jc w:val="center"/>
              <w:rPr>
                <w:b/>
                <w:bCs/>
                <w:color w:val="auto"/>
                <w:shd w:val="clear" w:color="auto" w:fill="auto"/>
              </w:rPr>
            </w:pPr>
            <w:r w:rsidRPr="00142749">
              <w:rPr>
                <w:b/>
                <w:bCs/>
                <w:color w:val="auto"/>
                <w:shd w:val="clear" w:color="auto" w:fill="auto"/>
              </w:rPr>
              <w:t>2</w:t>
            </w:r>
          </w:p>
        </w:tc>
        <w:tc>
          <w:tcPr>
            <w:tcW w:w="1530" w:type="dxa"/>
            <w:vAlign w:val="center"/>
          </w:tcPr>
          <w:p w14:paraId="35969F3B" w14:textId="77777777" w:rsidR="00142749" w:rsidRPr="00142749" w:rsidRDefault="00142749" w:rsidP="00142749">
            <w:pPr>
              <w:spacing w:before="0" w:after="0"/>
              <w:jc w:val="center"/>
              <w:rPr>
                <w:b/>
                <w:bCs/>
                <w:color w:val="auto"/>
                <w:shd w:val="clear" w:color="auto" w:fill="auto"/>
              </w:rPr>
            </w:pPr>
            <w:r w:rsidRPr="00142749">
              <w:rPr>
                <w:b/>
                <w:bCs/>
                <w:color w:val="auto"/>
                <w:shd w:val="clear" w:color="auto" w:fill="auto"/>
              </w:rPr>
              <w:t>1</w:t>
            </w:r>
          </w:p>
        </w:tc>
        <w:tc>
          <w:tcPr>
            <w:tcW w:w="1348" w:type="dxa"/>
            <w:vAlign w:val="center"/>
          </w:tcPr>
          <w:p w14:paraId="6E677518" w14:textId="77777777" w:rsidR="00142749" w:rsidRPr="00142749" w:rsidRDefault="00142749" w:rsidP="00142749">
            <w:pPr>
              <w:spacing w:before="0" w:after="0"/>
              <w:jc w:val="center"/>
              <w:rPr>
                <w:b/>
                <w:bCs/>
                <w:color w:val="auto"/>
                <w:shd w:val="clear" w:color="auto" w:fill="auto"/>
              </w:rPr>
            </w:pPr>
            <w:r w:rsidRPr="00142749">
              <w:rPr>
                <w:b/>
                <w:bCs/>
                <w:color w:val="auto"/>
                <w:shd w:val="clear" w:color="auto" w:fill="auto"/>
              </w:rPr>
              <w:t>0</w:t>
            </w:r>
          </w:p>
        </w:tc>
      </w:tr>
      <w:tr w:rsidR="00142749" w:rsidRPr="00142749" w14:paraId="14A17441" w14:textId="77777777" w:rsidTr="005A392F">
        <w:trPr>
          <w:cantSplit/>
        </w:trPr>
        <w:tc>
          <w:tcPr>
            <w:tcW w:w="3503" w:type="dxa"/>
          </w:tcPr>
          <w:p w14:paraId="412712B5" w14:textId="77777777" w:rsidR="00142749" w:rsidRPr="00142749" w:rsidRDefault="00142749" w:rsidP="00142749">
            <w:pPr>
              <w:numPr>
                <w:ilvl w:val="0"/>
                <w:numId w:val="41"/>
              </w:numPr>
              <w:spacing w:before="0" w:after="0"/>
              <w:ind w:left="342"/>
              <w:contextualSpacing/>
              <w:rPr>
                <w:bCs/>
                <w:color w:val="auto"/>
                <w:shd w:val="clear" w:color="auto" w:fill="auto"/>
              </w:rPr>
            </w:pPr>
            <w:r w:rsidRPr="00142749">
              <w:rPr>
                <w:bCs/>
                <w:color w:val="auto"/>
                <w:shd w:val="clear" w:color="auto" w:fill="auto"/>
              </w:rPr>
              <w:t>Describes</w:t>
            </w:r>
            <w:r w:rsidRPr="00142749">
              <w:rPr>
                <w:rFonts w:eastAsiaTheme="minorHAnsi"/>
                <w:bCs/>
                <w:color w:val="auto"/>
                <w:shd w:val="clear" w:color="auto" w:fill="auto"/>
              </w:rPr>
              <w:t xml:space="preserve"> extent to which the proposed budget items are realistic, cost-effective, and justified.</w:t>
            </w:r>
          </w:p>
        </w:tc>
        <w:tc>
          <w:tcPr>
            <w:tcW w:w="1630" w:type="dxa"/>
            <w:vAlign w:val="center"/>
          </w:tcPr>
          <w:p w14:paraId="13058312" w14:textId="77777777" w:rsidR="00142749" w:rsidRPr="00142749" w:rsidRDefault="00142749" w:rsidP="00142749">
            <w:pPr>
              <w:spacing w:before="0" w:after="0"/>
              <w:jc w:val="center"/>
              <w:rPr>
                <w:b/>
                <w:bCs/>
                <w:color w:val="auto"/>
                <w:shd w:val="clear" w:color="auto" w:fill="auto"/>
              </w:rPr>
            </w:pPr>
            <w:r w:rsidRPr="00142749">
              <w:rPr>
                <w:b/>
                <w:bCs/>
                <w:color w:val="auto"/>
                <w:shd w:val="clear" w:color="auto" w:fill="auto"/>
              </w:rPr>
              <w:t>4</w:t>
            </w:r>
          </w:p>
        </w:tc>
        <w:tc>
          <w:tcPr>
            <w:tcW w:w="1529" w:type="dxa"/>
            <w:vAlign w:val="center"/>
          </w:tcPr>
          <w:p w14:paraId="558210CB" w14:textId="77777777" w:rsidR="00142749" w:rsidRPr="00142749" w:rsidRDefault="00142749" w:rsidP="00142749">
            <w:pPr>
              <w:spacing w:before="0" w:after="0"/>
              <w:jc w:val="center"/>
              <w:rPr>
                <w:b/>
                <w:bCs/>
                <w:color w:val="auto"/>
                <w:shd w:val="clear" w:color="auto" w:fill="auto"/>
              </w:rPr>
            </w:pPr>
            <w:r w:rsidRPr="00142749">
              <w:rPr>
                <w:b/>
                <w:bCs/>
                <w:color w:val="auto"/>
                <w:shd w:val="clear" w:color="auto" w:fill="auto"/>
              </w:rPr>
              <w:t>3</w:t>
            </w:r>
          </w:p>
        </w:tc>
        <w:tc>
          <w:tcPr>
            <w:tcW w:w="1350" w:type="dxa"/>
            <w:vAlign w:val="center"/>
          </w:tcPr>
          <w:p w14:paraId="79CB31FB" w14:textId="77777777" w:rsidR="00142749" w:rsidRPr="00142749" w:rsidRDefault="00142749" w:rsidP="00142749">
            <w:pPr>
              <w:spacing w:before="0" w:after="0"/>
              <w:jc w:val="center"/>
              <w:rPr>
                <w:b/>
                <w:bCs/>
                <w:color w:val="auto"/>
                <w:shd w:val="clear" w:color="auto" w:fill="auto"/>
              </w:rPr>
            </w:pPr>
            <w:r w:rsidRPr="00142749">
              <w:rPr>
                <w:b/>
                <w:bCs/>
                <w:color w:val="auto"/>
                <w:shd w:val="clear" w:color="auto" w:fill="auto"/>
              </w:rPr>
              <w:t>2</w:t>
            </w:r>
          </w:p>
        </w:tc>
        <w:tc>
          <w:tcPr>
            <w:tcW w:w="1530" w:type="dxa"/>
            <w:vAlign w:val="center"/>
          </w:tcPr>
          <w:p w14:paraId="03495C27" w14:textId="77777777" w:rsidR="00142749" w:rsidRPr="00142749" w:rsidRDefault="00142749" w:rsidP="00142749">
            <w:pPr>
              <w:spacing w:before="0" w:after="0"/>
              <w:jc w:val="center"/>
              <w:rPr>
                <w:b/>
                <w:bCs/>
                <w:color w:val="auto"/>
                <w:shd w:val="clear" w:color="auto" w:fill="auto"/>
              </w:rPr>
            </w:pPr>
            <w:r w:rsidRPr="00142749">
              <w:rPr>
                <w:b/>
                <w:bCs/>
                <w:color w:val="auto"/>
                <w:shd w:val="clear" w:color="auto" w:fill="auto"/>
              </w:rPr>
              <w:t>1</w:t>
            </w:r>
          </w:p>
        </w:tc>
        <w:tc>
          <w:tcPr>
            <w:tcW w:w="1348" w:type="dxa"/>
            <w:vAlign w:val="center"/>
          </w:tcPr>
          <w:p w14:paraId="30610249" w14:textId="77777777" w:rsidR="00142749" w:rsidRPr="00142749" w:rsidRDefault="00142749" w:rsidP="00142749">
            <w:pPr>
              <w:spacing w:before="0" w:after="0"/>
              <w:jc w:val="center"/>
              <w:rPr>
                <w:b/>
                <w:bCs/>
                <w:color w:val="auto"/>
                <w:shd w:val="clear" w:color="auto" w:fill="auto"/>
              </w:rPr>
            </w:pPr>
            <w:r w:rsidRPr="00142749">
              <w:rPr>
                <w:b/>
                <w:bCs/>
                <w:color w:val="auto"/>
                <w:shd w:val="clear" w:color="auto" w:fill="auto"/>
              </w:rPr>
              <w:t>0</w:t>
            </w:r>
          </w:p>
        </w:tc>
      </w:tr>
      <w:tr w:rsidR="00142749" w:rsidRPr="00142749" w14:paraId="5CC0A1E7" w14:textId="77777777" w:rsidTr="005A392F">
        <w:trPr>
          <w:cantSplit/>
          <w:trHeight w:val="720"/>
        </w:trPr>
        <w:tc>
          <w:tcPr>
            <w:tcW w:w="3503" w:type="dxa"/>
            <w:vAlign w:val="center"/>
          </w:tcPr>
          <w:p w14:paraId="10F5A1E8" w14:textId="77777777" w:rsidR="00142749" w:rsidRPr="00142749" w:rsidRDefault="00142749" w:rsidP="00142749">
            <w:pPr>
              <w:spacing w:before="0" w:after="0"/>
              <w:jc w:val="center"/>
              <w:rPr>
                <w:color w:val="auto"/>
                <w:shd w:val="clear" w:color="auto" w:fill="auto"/>
              </w:rPr>
            </w:pPr>
            <w:r w:rsidRPr="00142749">
              <w:rPr>
                <w:b/>
                <w:bCs/>
                <w:color w:val="auto"/>
                <w:shd w:val="clear" w:color="auto" w:fill="auto"/>
              </w:rPr>
              <w:t>TOTAL</w:t>
            </w:r>
          </w:p>
        </w:tc>
        <w:tc>
          <w:tcPr>
            <w:tcW w:w="1630" w:type="dxa"/>
            <w:vAlign w:val="center"/>
          </w:tcPr>
          <w:p w14:paraId="3A50EEEA" w14:textId="3853B758" w:rsidR="00142749" w:rsidRPr="00142749" w:rsidRDefault="00142749" w:rsidP="00142749">
            <w:pPr>
              <w:spacing w:before="0" w:after="0"/>
              <w:jc w:val="center"/>
              <w:rPr>
                <w:b/>
                <w:bCs/>
                <w:color w:val="auto"/>
                <w:shd w:val="clear" w:color="auto" w:fill="auto"/>
              </w:rPr>
            </w:pPr>
          </w:p>
        </w:tc>
        <w:tc>
          <w:tcPr>
            <w:tcW w:w="1529" w:type="dxa"/>
            <w:vAlign w:val="center"/>
          </w:tcPr>
          <w:p w14:paraId="4DEA523C" w14:textId="07C1FEAC" w:rsidR="00142749" w:rsidRPr="00142749" w:rsidRDefault="00142749" w:rsidP="00142749">
            <w:pPr>
              <w:spacing w:before="0" w:after="0"/>
              <w:jc w:val="center"/>
              <w:rPr>
                <w:b/>
                <w:bCs/>
                <w:color w:val="auto"/>
                <w:shd w:val="clear" w:color="auto" w:fill="auto"/>
              </w:rPr>
            </w:pPr>
          </w:p>
        </w:tc>
        <w:tc>
          <w:tcPr>
            <w:tcW w:w="1350" w:type="dxa"/>
            <w:vAlign w:val="center"/>
          </w:tcPr>
          <w:p w14:paraId="3161AFB9" w14:textId="317F9D4A" w:rsidR="00142749" w:rsidRPr="00142749" w:rsidRDefault="00142749" w:rsidP="00142749">
            <w:pPr>
              <w:spacing w:before="0" w:after="0"/>
              <w:jc w:val="center"/>
              <w:rPr>
                <w:b/>
                <w:bCs/>
                <w:color w:val="auto"/>
                <w:shd w:val="clear" w:color="auto" w:fill="auto"/>
              </w:rPr>
            </w:pPr>
          </w:p>
        </w:tc>
        <w:tc>
          <w:tcPr>
            <w:tcW w:w="1530" w:type="dxa"/>
            <w:vAlign w:val="center"/>
          </w:tcPr>
          <w:p w14:paraId="0B9F2394" w14:textId="294E076D" w:rsidR="00142749" w:rsidRPr="00142749" w:rsidRDefault="00142749" w:rsidP="00142749">
            <w:pPr>
              <w:spacing w:before="0" w:after="0"/>
              <w:jc w:val="center"/>
              <w:rPr>
                <w:b/>
                <w:bCs/>
                <w:color w:val="auto"/>
                <w:shd w:val="clear" w:color="auto" w:fill="auto"/>
              </w:rPr>
            </w:pPr>
          </w:p>
        </w:tc>
        <w:tc>
          <w:tcPr>
            <w:tcW w:w="1348" w:type="dxa"/>
            <w:vAlign w:val="center"/>
          </w:tcPr>
          <w:p w14:paraId="7324904C" w14:textId="25B1992D" w:rsidR="00142749" w:rsidRPr="00142749" w:rsidRDefault="00142749" w:rsidP="00142749">
            <w:pPr>
              <w:spacing w:before="0" w:after="0"/>
              <w:jc w:val="center"/>
              <w:rPr>
                <w:b/>
                <w:bCs/>
                <w:color w:val="auto"/>
                <w:shd w:val="clear" w:color="auto" w:fill="auto"/>
              </w:rPr>
            </w:pPr>
          </w:p>
        </w:tc>
      </w:tr>
    </w:tbl>
    <w:p w14:paraId="658B1976" w14:textId="1AFC61CD" w:rsidR="00116EAD" w:rsidRPr="00142749" w:rsidRDefault="00116EAD" w:rsidP="005A63F2">
      <w:pPr>
        <w:ind w:left="1080"/>
        <w:rPr>
          <w:b/>
          <w:color w:val="auto"/>
          <w:shd w:val="clear" w:color="auto" w:fill="auto"/>
        </w:rPr>
      </w:pPr>
    </w:p>
    <w:sectPr w:rsidR="00116EAD" w:rsidRPr="00142749" w:rsidSect="007F5EA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6A6E7" w14:textId="77777777" w:rsidR="000D6D46" w:rsidRDefault="000D6D46">
      <w:pPr>
        <w:spacing w:before="0" w:after="0"/>
      </w:pPr>
      <w:r>
        <w:separator/>
      </w:r>
    </w:p>
  </w:endnote>
  <w:endnote w:type="continuationSeparator" w:id="0">
    <w:p w14:paraId="7FCD88C0" w14:textId="77777777" w:rsidR="000D6D46" w:rsidRDefault="000D6D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737308"/>
      <w:docPartObj>
        <w:docPartGallery w:val="Page Numbers (Bottom of Page)"/>
        <w:docPartUnique/>
      </w:docPartObj>
    </w:sdtPr>
    <w:sdtEndPr>
      <w:rPr>
        <w:noProof/>
      </w:rPr>
    </w:sdtEndPr>
    <w:sdtContent>
      <w:p w14:paraId="26D42446" w14:textId="0CAFA956" w:rsidR="00AF5DB9" w:rsidRDefault="00AF5DB9" w:rsidP="00FE263E">
        <w:pPr>
          <w:pStyle w:val="Footer"/>
          <w:jc w:val="center"/>
        </w:pPr>
        <w:r>
          <w:fldChar w:fldCharType="begin"/>
        </w:r>
        <w:r>
          <w:instrText xml:space="preserve"> PAGE   \* MERGEFORMAT </w:instrText>
        </w:r>
        <w:r>
          <w:fldChar w:fldCharType="separate"/>
        </w:r>
        <w:r w:rsidR="00CA2D31">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0449" w14:textId="68DD13B8" w:rsidR="00AF5DB9" w:rsidRDefault="00AF5DB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445421"/>
      <w:docPartObj>
        <w:docPartGallery w:val="Page Numbers (Bottom of Page)"/>
        <w:docPartUnique/>
      </w:docPartObj>
    </w:sdtPr>
    <w:sdtEndPr>
      <w:rPr>
        <w:noProof/>
      </w:rPr>
    </w:sdtEndPr>
    <w:sdtContent>
      <w:p w14:paraId="130869A7" w14:textId="109373D5" w:rsidR="00AF5DB9" w:rsidRDefault="00AF5DB9">
        <w:pPr>
          <w:pStyle w:val="Foote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571552"/>
      <w:docPartObj>
        <w:docPartGallery w:val="Page Numbers (Bottom of Page)"/>
        <w:docPartUnique/>
      </w:docPartObj>
    </w:sdtPr>
    <w:sdtEndPr>
      <w:rPr>
        <w:noProof/>
      </w:rPr>
    </w:sdtEndPr>
    <w:sdtContent>
      <w:p w14:paraId="638D40F1" w14:textId="77C44ECD" w:rsidR="00AF5DB9" w:rsidRDefault="00AF5DB9">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4FB496A6" w14:textId="77777777" w:rsidR="00AF5DB9" w:rsidRDefault="00AF5D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227677"/>
      <w:docPartObj>
        <w:docPartGallery w:val="Page Numbers (Bottom of Page)"/>
        <w:docPartUnique/>
      </w:docPartObj>
    </w:sdtPr>
    <w:sdtEndPr>
      <w:rPr>
        <w:noProof/>
      </w:rPr>
    </w:sdtEndPr>
    <w:sdtContent>
      <w:p w14:paraId="6D2114E1" w14:textId="4525E5BE" w:rsidR="00AF5DB9" w:rsidRPr="00972A63" w:rsidRDefault="00AF5DB9" w:rsidP="00573E6E">
        <w:pPr>
          <w:pStyle w:val="Footer"/>
          <w:jc w:val="center"/>
        </w:pPr>
        <w:r>
          <w:fldChar w:fldCharType="begin"/>
        </w:r>
        <w:r>
          <w:instrText xml:space="preserve"> PAGE   \* MERGEFORMAT </w:instrText>
        </w:r>
        <w:r>
          <w:fldChar w:fldCharType="separate"/>
        </w:r>
        <w:r w:rsidR="00CA2D31">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10215" w14:textId="77777777" w:rsidR="000D6D46" w:rsidRDefault="000D6D46">
      <w:pPr>
        <w:spacing w:before="0" w:after="0"/>
      </w:pPr>
      <w:r>
        <w:separator/>
      </w:r>
    </w:p>
  </w:footnote>
  <w:footnote w:type="continuationSeparator" w:id="0">
    <w:p w14:paraId="22EFEC9E" w14:textId="77777777" w:rsidR="000D6D46" w:rsidRDefault="000D6D4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19E3B" w14:textId="4256E692" w:rsidR="00AF5DB9" w:rsidRDefault="00AF5DB9">
    <w:pPr>
      <w:pStyle w:val="Header"/>
    </w:pPr>
    <w:r>
      <w:t>Foster Youth Services Coordinating Program Technical Assistance Provider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1F1A"/>
    <w:multiLevelType w:val="hybridMultilevel"/>
    <w:tmpl w:val="B2DE68EC"/>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05EB463B"/>
    <w:multiLevelType w:val="hybridMultilevel"/>
    <w:tmpl w:val="3264B572"/>
    <w:lvl w:ilvl="0" w:tplc="4840443E">
      <w:start w:val="1"/>
      <w:numFmt w:val="upperLetter"/>
      <w:pStyle w:val="Heading4"/>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8B573B"/>
    <w:multiLevelType w:val="hybridMultilevel"/>
    <w:tmpl w:val="83B4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31A38"/>
    <w:multiLevelType w:val="hybridMultilevel"/>
    <w:tmpl w:val="068A5C14"/>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0EE7736C"/>
    <w:multiLevelType w:val="hybridMultilevel"/>
    <w:tmpl w:val="95FA00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51164E"/>
    <w:multiLevelType w:val="hybridMultilevel"/>
    <w:tmpl w:val="AE545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AB0136"/>
    <w:multiLevelType w:val="hybridMultilevel"/>
    <w:tmpl w:val="346C795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84F39A0"/>
    <w:multiLevelType w:val="hybridMultilevel"/>
    <w:tmpl w:val="87DC733A"/>
    <w:lvl w:ilvl="0" w:tplc="E2F6848E">
      <w:start w:val="1"/>
      <w:numFmt w:val="lowerLetter"/>
      <w:lvlText w:val="%1."/>
      <w:lvlJc w:val="left"/>
      <w:pPr>
        <w:ind w:left="1800" w:hanging="360"/>
      </w:pPr>
      <w:rPr>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B16D61"/>
    <w:multiLevelType w:val="hybridMultilevel"/>
    <w:tmpl w:val="B71EB2CA"/>
    <w:lvl w:ilvl="0" w:tplc="90885624">
      <w:start w:val="1"/>
      <w:numFmt w:val="upperRoman"/>
      <w:pStyle w:val="TOC1"/>
      <w:lvlText w:val="%1."/>
      <w:lvlJc w:val="left"/>
      <w:pPr>
        <w:ind w:left="1350" w:hanging="720"/>
      </w:pPr>
      <w:rPr>
        <w:rFonts w:ascii="Arial" w:eastAsia="Times New Roman" w:hAnsi="Arial" w:cs="Arial" w:hint="default"/>
        <w:b/>
        <w:color w:val="000000" w:themeColor="text1"/>
        <w:sz w:val="24"/>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A4634DD"/>
    <w:multiLevelType w:val="multilevel"/>
    <w:tmpl w:val="246C9AD8"/>
    <w:lvl w:ilvl="0">
      <w:start w:val="1"/>
      <w:numFmt w:val="decimal"/>
      <w:pStyle w:val="ListParagraph"/>
      <w:lvlText w:val="%1."/>
      <w:lvlJc w:val="left"/>
      <w:pPr>
        <w:ind w:left="144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 w15:restartNumberingAfterBreak="0">
    <w:nsid w:val="1BAD6E91"/>
    <w:multiLevelType w:val="hybridMultilevel"/>
    <w:tmpl w:val="0E866716"/>
    <w:lvl w:ilvl="0" w:tplc="32C4EDB2">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26574"/>
    <w:multiLevelType w:val="hybridMultilevel"/>
    <w:tmpl w:val="0FF477A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D00A6F"/>
    <w:multiLevelType w:val="hybridMultilevel"/>
    <w:tmpl w:val="E0FE2D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D4E89"/>
    <w:multiLevelType w:val="hybridMultilevel"/>
    <w:tmpl w:val="30CA1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1817B7"/>
    <w:multiLevelType w:val="hybridMultilevel"/>
    <w:tmpl w:val="12AEE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4830F3"/>
    <w:multiLevelType w:val="hybridMultilevel"/>
    <w:tmpl w:val="50509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97690"/>
    <w:multiLevelType w:val="hybridMultilevel"/>
    <w:tmpl w:val="6D7CAE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154D22"/>
    <w:multiLevelType w:val="hybridMultilevel"/>
    <w:tmpl w:val="CE481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867EAE"/>
    <w:multiLevelType w:val="hybridMultilevel"/>
    <w:tmpl w:val="28001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71328"/>
    <w:multiLevelType w:val="hybridMultilevel"/>
    <w:tmpl w:val="D5B65C5C"/>
    <w:lvl w:ilvl="0" w:tplc="97180C6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D4D46"/>
    <w:multiLevelType w:val="hybridMultilevel"/>
    <w:tmpl w:val="1BDAE822"/>
    <w:lvl w:ilvl="0" w:tplc="E30A7FD2">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DBD35A3"/>
    <w:multiLevelType w:val="hybridMultilevel"/>
    <w:tmpl w:val="DBCA87E8"/>
    <w:lvl w:ilvl="0" w:tplc="1E46E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1610D"/>
    <w:multiLevelType w:val="hybridMultilevel"/>
    <w:tmpl w:val="1A44E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E33444"/>
    <w:multiLevelType w:val="hybridMultilevel"/>
    <w:tmpl w:val="C090E5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99A51F3"/>
    <w:multiLevelType w:val="hybridMultilevel"/>
    <w:tmpl w:val="8D92C1CA"/>
    <w:lvl w:ilvl="0" w:tplc="A524CCE6">
      <w:start w:val="1"/>
      <w:numFmt w:val="upperRoman"/>
      <w:pStyle w:val="Heading3"/>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6463B"/>
    <w:multiLevelType w:val="hybridMultilevel"/>
    <w:tmpl w:val="1820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CA3657"/>
    <w:multiLevelType w:val="hybridMultilevel"/>
    <w:tmpl w:val="D498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229AF"/>
    <w:multiLevelType w:val="hybridMultilevel"/>
    <w:tmpl w:val="93E68A9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15:restartNumberingAfterBreak="0">
    <w:nsid w:val="644E60B4"/>
    <w:multiLevelType w:val="hybridMultilevel"/>
    <w:tmpl w:val="B62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C3B2E"/>
    <w:multiLevelType w:val="hybridMultilevel"/>
    <w:tmpl w:val="41E081C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6A7604B8"/>
    <w:multiLevelType w:val="hybridMultilevel"/>
    <w:tmpl w:val="5FACD8C6"/>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6B4C0FDB"/>
    <w:multiLevelType w:val="hybridMultilevel"/>
    <w:tmpl w:val="A392B34E"/>
    <w:lvl w:ilvl="0" w:tplc="1E46E35A">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C316649"/>
    <w:multiLevelType w:val="hybridMultilevel"/>
    <w:tmpl w:val="20247E9A"/>
    <w:lvl w:ilvl="0" w:tplc="8EB08C0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03B44B7"/>
    <w:multiLevelType w:val="hybridMultilevel"/>
    <w:tmpl w:val="66B809FC"/>
    <w:lvl w:ilvl="0" w:tplc="7306308C">
      <w:start w:val="1"/>
      <w:numFmt w:val="decimal"/>
      <w:lvlText w:val="%1."/>
      <w:lvlJc w:val="left"/>
      <w:pPr>
        <w:ind w:left="720" w:hanging="360"/>
      </w:pPr>
      <w:rPr>
        <w:rFonts w:ascii="Arial" w:eastAsiaTheme="minorHAnsi" w:hAnsi="Arial"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5928D9"/>
    <w:multiLevelType w:val="hybridMultilevel"/>
    <w:tmpl w:val="B34A93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AFC758B"/>
    <w:multiLevelType w:val="multilevel"/>
    <w:tmpl w:val="0409001D"/>
    <w:styleLink w:val="Style1"/>
    <w:lvl w:ilvl="0">
      <w:start w:val="1"/>
      <w:numFmt w:val="upperRoman"/>
      <w:lvlText w:val="%1)"/>
      <w:lvlJc w:val="left"/>
      <w:pPr>
        <w:tabs>
          <w:tab w:val="num" w:pos="360"/>
        </w:tabs>
        <w:ind w:left="360" w:hanging="360"/>
      </w:pPr>
      <w:rPr>
        <w:rFonts w:ascii="Arial" w:hAnsi="Arial" w:cs="Times New Roman"/>
        <w:sz w:val="24"/>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BEA01EC"/>
    <w:multiLevelType w:val="hybridMultilevel"/>
    <w:tmpl w:val="E2E038EC"/>
    <w:lvl w:ilvl="0" w:tplc="04090019">
      <w:start w:val="1"/>
      <w:numFmt w:val="lowerLetter"/>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7D1B54AA"/>
    <w:multiLevelType w:val="hybridMultilevel"/>
    <w:tmpl w:val="7398EFCA"/>
    <w:lvl w:ilvl="0" w:tplc="B30C749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F090E"/>
    <w:multiLevelType w:val="hybridMultilevel"/>
    <w:tmpl w:val="42D44420"/>
    <w:lvl w:ilvl="0" w:tplc="AC9679F4">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D67F1"/>
    <w:multiLevelType w:val="hybridMultilevel"/>
    <w:tmpl w:val="871E1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5"/>
  </w:num>
  <w:num w:numId="8">
    <w:abstractNumId w:val="28"/>
  </w:num>
  <w:num w:numId="9">
    <w:abstractNumId w:val="36"/>
  </w:num>
  <w:num w:numId="10">
    <w:abstractNumId w:val="18"/>
  </w:num>
  <w:num w:numId="11">
    <w:abstractNumId w:val="34"/>
  </w:num>
  <w:num w:numId="12">
    <w:abstractNumId w:val="25"/>
  </w:num>
  <w:num w:numId="13">
    <w:abstractNumId w:val="4"/>
  </w:num>
  <w:num w:numId="14">
    <w:abstractNumId w:val="7"/>
  </w:num>
  <w:num w:numId="15">
    <w:abstractNumId w:val="33"/>
  </w:num>
  <w:num w:numId="16">
    <w:abstractNumId w:val="31"/>
  </w:num>
  <w:num w:numId="17">
    <w:abstractNumId w:val="23"/>
  </w:num>
  <w:num w:numId="18">
    <w:abstractNumId w:val="21"/>
  </w:num>
  <w:num w:numId="19">
    <w:abstractNumId w:val="19"/>
  </w:num>
  <w:num w:numId="20">
    <w:abstractNumId w:val="10"/>
  </w:num>
  <w:num w:numId="21">
    <w:abstractNumId w:val="38"/>
  </w:num>
  <w:num w:numId="22">
    <w:abstractNumId w:val="24"/>
  </w:num>
  <w:num w:numId="23">
    <w:abstractNumId w:val="17"/>
  </w:num>
  <w:num w:numId="24">
    <w:abstractNumId w:val="22"/>
  </w:num>
  <w:num w:numId="25">
    <w:abstractNumId w:val="13"/>
  </w:num>
  <w:num w:numId="26">
    <w:abstractNumId w:val="5"/>
  </w:num>
  <w:num w:numId="27">
    <w:abstractNumId w:val="1"/>
  </w:num>
  <w:num w:numId="28">
    <w:abstractNumId w:val="24"/>
    <w:lvlOverride w:ilvl="0">
      <w:startOverride w:val="3"/>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39"/>
  </w:num>
  <w:num w:numId="35">
    <w:abstractNumId w:val="1"/>
    <w:lvlOverride w:ilvl="0">
      <w:startOverride w:val="2"/>
    </w:lvlOverride>
  </w:num>
  <w:num w:numId="36">
    <w:abstractNumId w:val="1"/>
    <w:lvlOverride w:ilvl="0">
      <w:startOverride w:val="1"/>
    </w:lvlOverride>
  </w:num>
  <w:num w:numId="37">
    <w:abstractNumId w:val="29"/>
  </w:num>
  <w:num w:numId="38">
    <w:abstractNumId w:val="16"/>
  </w:num>
  <w:num w:numId="39">
    <w:abstractNumId w:val="2"/>
  </w:num>
  <w:num w:numId="40">
    <w:abstractNumId w:val="12"/>
  </w:num>
  <w:num w:numId="41">
    <w:abstractNumId w:val="37"/>
  </w:num>
  <w:num w:numId="42">
    <w:abstractNumId w:val="3"/>
  </w:num>
  <w:num w:numId="43">
    <w:abstractNumId w:val="0"/>
  </w:num>
  <w:num w:numId="44">
    <w:abstractNumId w:val="26"/>
  </w:num>
  <w:num w:numId="45">
    <w:abstractNumId w:val="32"/>
  </w:num>
  <w:num w:numId="46">
    <w:abstractNumId w:val="15"/>
  </w:num>
  <w:num w:numId="47">
    <w:abstractNumId w:val="20"/>
  </w:num>
  <w:num w:numId="48">
    <w:abstractNumId w:val="6"/>
  </w:num>
  <w:num w:numId="49">
    <w:abstractNumId w:val="14"/>
  </w:num>
  <w:num w:numId="50">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7F"/>
    <w:rsid w:val="00001EA9"/>
    <w:rsid w:val="00003751"/>
    <w:rsid w:val="00006BE0"/>
    <w:rsid w:val="0000702B"/>
    <w:rsid w:val="00011FB5"/>
    <w:rsid w:val="00013ADB"/>
    <w:rsid w:val="00014AE6"/>
    <w:rsid w:val="0001538F"/>
    <w:rsid w:val="00015B4A"/>
    <w:rsid w:val="00016D20"/>
    <w:rsid w:val="0002160D"/>
    <w:rsid w:val="000232F8"/>
    <w:rsid w:val="00036B2B"/>
    <w:rsid w:val="00036E59"/>
    <w:rsid w:val="00040B87"/>
    <w:rsid w:val="00040C16"/>
    <w:rsid w:val="00042E80"/>
    <w:rsid w:val="00043468"/>
    <w:rsid w:val="000479AF"/>
    <w:rsid w:val="000510B6"/>
    <w:rsid w:val="00053550"/>
    <w:rsid w:val="00054647"/>
    <w:rsid w:val="00054DAC"/>
    <w:rsid w:val="0005538F"/>
    <w:rsid w:val="00056F16"/>
    <w:rsid w:val="00061286"/>
    <w:rsid w:val="00063B42"/>
    <w:rsid w:val="00067634"/>
    <w:rsid w:val="0007219E"/>
    <w:rsid w:val="0007252A"/>
    <w:rsid w:val="00073757"/>
    <w:rsid w:val="000759DF"/>
    <w:rsid w:val="00082E29"/>
    <w:rsid w:val="000847BB"/>
    <w:rsid w:val="0008619D"/>
    <w:rsid w:val="00086B9A"/>
    <w:rsid w:val="00087D7C"/>
    <w:rsid w:val="00091117"/>
    <w:rsid w:val="000912BB"/>
    <w:rsid w:val="000916DC"/>
    <w:rsid w:val="00091872"/>
    <w:rsid w:val="000A32C6"/>
    <w:rsid w:val="000A3342"/>
    <w:rsid w:val="000A537C"/>
    <w:rsid w:val="000B0666"/>
    <w:rsid w:val="000B1527"/>
    <w:rsid w:val="000B3CF4"/>
    <w:rsid w:val="000B5B6D"/>
    <w:rsid w:val="000B77DB"/>
    <w:rsid w:val="000C2617"/>
    <w:rsid w:val="000C42C3"/>
    <w:rsid w:val="000C44B4"/>
    <w:rsid w:val="000C4739"/>
    <w:rsid w:val="000C58FB"/>
    <w:rsid w:val="000C7A85"/>
    <w:rsid w:val="000D0C77"/>
    <w:rsid w:val="000D5322"/>
    <w:rsid w:val="000D6A90"/>
    <w:rsid w:val="000D6D46"/>
    <w:rsid w:val="000D6F7B"/>
    <w:rsid w:val="000D74CD"/>
    <w:rsid w:val="000D79ED"/>
    <w:rsid w:val="000E0F0F"/>
    <w:rsid w:val="000E2E7F"/>
    <w:rsid w:val="000E5142"/>
    <w:rsid w:val="000E5B69"/>
    <w:rsid w:val="000E727C"/>
    <w:rsid w:val="000E76B2"/>
    <w:rsid w:val="000F2090"/>
    <w:rsid w:val="000F2B36"/>
    <w:rsid w:val="000F390E"/>
    <w:rsid w:val="001018A4"/>
    <w:rsid w:val="00102EC5"/>
    <w:rsid w:val="00103009"/>
    <w:rsid w:val="001038D4"/>
    <w:rsid w:val="0010443A"/>
    <w:rsid w:val="001045CC"/>
    <w:rsid w:val="001058C1"/>
    <w:rsid w:val="00107966"/>
    <w:rsid w:val="00107A11"/>
    <w:rsid w:val="001131D7"/>
    <w:rsid w:val="00113601"/>
    <w:rsid w:val="00113CA1"/>
    <w:rsid w:val="001161E8"/>
    <w:rsid w:val="00116EAD"/>
    <w:rsid w:val="001170F6"/>
    <w:rsid w:val="00120624"/>
    <w:rsid w:val="00121DF2"/>
    <w:rsid w:val="00122247"/>
    <w:rsid w:val="001264C7"/>
    <w:rsid w:val="0012758C"/>
    <w:rsid w:val="00127648"/>
    <w:rsid w:val="0013078E"/>
    <w:rsid w:val="0013079F"/>
    <w:rsid w:val="00131A4D"/>
    <w:rsid w:val="0013232D"/>
    <w:rsid w:val="00141FCA"/>
    <w:rsid w:val="00142749"/>
    <w:rsid w:val="001436A0"/>
    <w:rsid w:val="00144D84"/>
    <w:rsid w:val="00146520"/>
    <w:rsid w:val="00150E83"/>
    <w:rsid w:val="0015491A"/>
    <w:rsid w:val="001551BB"/>
    <w:rsid w:val="0015616F"/>
    <w:rsid w:val="0015636F"/>
    <w:rsid w:val="00163559"/>
    <w:rsid w:val="001642C6"/>
    <w:rsid w:val="00170046"/>
    <w:rsid w:val="00171BE3"/>
    <w:rsid w:val="00175211"/>
    <w:rsid w:val="001752A4"/>
    <w:rsid w:val="0017677A"/>
    <w:rsid w:val="00182856"/>
    <w:rsid w:val="001834EA"/>
    <w:rsid w:val="00183904"/>
    <w:rsid w:val="00186303"/>
    <w:rsid w:val="00191793"/>
    <w:rsid w:val="001951B7"/>
    <w:rsid w:val="00195212"/>
    <w:rsid w:val="0019707A"/>
    <w:rsid w:val="0019746F"/>
    <w:rsid w:val="00197932"/>
    <w:rsid w:val="001A059B"/>
    <w:rsid w:val="001A22EB"/>
    <w:rsid w:val="001A3615"/>
    <w:rsid w:val="001A656A"/>
    <w:rsid w:val="001A78FA"/>
    <w:rsid w:val="001B2374"/>
    <w:rsid w:val="001B3CF5"/>
    <w:rsid w:val="001B4A10"/>
    <w:rsid w:val="001C3027"/>
    <w:rsid w:val="001C44DF"/>
    <w:rsid w:val="001C6DD5"/>
    <w:rsid w:val="001D0707"/>
    <w:rsid w:val="001D3C0E"/>
    <w:rsid w:val="001D421B"/>
    <w:rsid w:val="001D4C1B"/>
    <w:rsid w:val="001D76DF"/>
    <w:rsid w:val="001E0422"/>
    <w:rsid w:val="001E2197"/>
    <w:rsid w:val="001E31A3"/>
    <w:rsid w:val="001E33C5"/>
    <w:rsid w:val="001E35A9"/>
    <w:rsid w:val="001E3F9C"/>
    <w:rsid w:val="001E5DDB"/>
    <w:rsid w:val="001E6380"/>
    <w:rsid w:val="001F0A05"/>
    <w:rsid w:val="001F5621"/>
    <w:rsid w:val="00200047"/>
    <w:rsid w:val="0020114C"/>
    <w:rsid w:val="00202B8F"/>
    <w:rsid w:val="00203487"/>
    <w:rsid w:val="00203B83"/>
    <w:rsid w:val="002043EB"/>
    <w:rsid w:val="002143A8"/>
    <w:rsid w:val="00214550"/>
    <w:rsid w:val="002153EC"/>
    <w:rsid w:val="00223C4D"/>
    <w:rsid w:val="00224393"/>
    <w:rsid w:val="00224E24"/>
    <w:rsid w:val="00225F21"/>
    <w:rsid w:val="00226B7A"/>
    <w:rsid w:val="00232894"/>
    <w:rsid w:val="00236AFA"/>
    <w:rsid w:val="0024373A"/>
    <w:rsid w:val="00243BB4"/>
    <w:rsid w:val="00244E6F"/>
    <w:rsid w:val="0024561D"/>
    <w:rsid w:val="00245AD3"/>
    <w:rsid w:val="00245BC4"/>
    <w:rsid w:val="002463F6"/>
    <w:rsid w:val="0024778A"/>
    <w:rsid w:val="002477DA"/>
    <w:rsid w:val="00251786"/>
    <w:rsid w:val="00251B50"/>
    <w:rsid w:val="00251C13"/>
    <w:rsid w:val="00253E3C"/>
    <w:rsid w:val="002540E7"/>
    <w:rsid w:val="00256A91"/>
    <w:rsid w:val="00262003"/>
    <w:rsid w:val="00263E8D"/>
    <w:rsid w:val="00264F62"/>
    <w:rsid w:val="00267C93"/>
    <w:rsid w:val="002711FF"/>
    <w:rsid w:val="002751F2"/>
    <w:rsid w:val="002803DE"/>
    <w:rsid w:val="00280F10"/>
    <w:rsid w:val="00287E82"/>
    <w:rsid w:val="00290FF9"/>
    <w:rsid w:val="00295A69"/>
    <w:rsid w:val="00297B45"/>
    <w:rsid w:val="002A0E89"/>
    <w:rsid w:val="002A1DD1"/>
    <w:rsid w:val="002A1EB8"/>
    <w:rsid w:val="002A27DB"/>
    <w:rsid w:val="002A4386"/>
    <w:rsid w:val="002A55CA"/>
    <w:rsid w:val="002A6830"/>
    <w:rsid w:val="002B047A"/>
    <w:rsid w:val="002B2F66"/>
    <w:rsid w:val="002B39E2"/>
    <w:rsid w:val="002B58A3"/>
    <w:rsid w:val="002C03CA"/>
    <w:rsid w:val="002C1310"/>
    <w:rsid w:val="002C39B5"/>
    <w:rsid w:val="002C4B2A"/>
    <w:rsid w:val="002C7893"/>
    <w:rsid w:val="002C7DB3"/>
    <w:rsid w:val="002D227B"/>
    <w:rsid w:val="002D4276"/>
    <w:rsid w:val="002D5E1C"/>
    <w:rsid w:val="002D7765"/>
    <w:rsid w:val="002E1650"/>
    <w:rsid w:val="002E4D9A"/>
    <w:rsid w:val="002F2E1A"/>
    <w:rsid w:val="002F3D0D"/>
    <w:rsid w:val="002F4A71"/>
    <w:rsid w:val="002F6955"/>
    <w:rsid w:val="0030086E"/>
    <w:rsid w:val="00301272"/>
    <w:rsid w:val="00305EDB"/>
    <w:rsid w:val="00311DAC"/>
    <w:rsid w:val="00312138"/>
    <w:rsid w:val="00313F6B"/>
    <w:rsid w:val="00316343"/>
    <w:rsid w:val="0032289A"/>
    <w:rsid w:val="00323038"/>
    <w:rsid w:val="00324165"/>
    <w:rsid w:val="003269D4"/>
    <w:rsid w:val="003302E5"/>
    <w:rsid w:val="00337222"/>
    <w:rsid w:val="0033794A"/>
    <w:rsid w:val="00340015"/>
    <w:rsid w:val="003433AF"/>
    <w:rsid w:val="003459FC"/>
    <w:rsid w:val="003466D1"/>
    <w:rsid w:val="00347299"/>
    <w:rsid w:val="00353EE8"/>
    <w:rsid w:val="00366C76"/>
    <w:rsid w:val="003725FA"/>
    <w:rsid w:val="003760CB"/>
    <w:rsid w:val="00380116"/>
    <w:rsid w:val="00380311"/>
    <w:rsid w:val="00380729"/>
    <w:rsid w:val="0038129B"/>
    <w:rsid w:val="00381889"/>
    <w:rsid w:val="00382225"/>
    <w:rsid w:val="003824C0"/>
    <w:rsid w:val="0038339B"/>
    <w:rsid w:val="00390B9A"/>
    <w:rsid w:val="003A0CB5"/>
    <w:rsid w:val="003A0CD4"/>
    <w:rsid w:val="003A2BC9"/>
    <w:rsid w:val="003A2D9E"/>
    <w:rsid w:val="003B249F"/>
    <w:rsid w:val="003B30BC"/>
    <w:rsid w:val="003B54BE"/>
    <w:rsid w:val="003B6C8C"/>
    <w:rsid w:val="003C4F1A"/>
    <w:rsid w:val="003C5D2D"/>
    <w:rsid w:val="003C73B8"/>
    <w:rsid w:val="003C7A56"/>
    <w:rsid w:val="003D4FB0"/>
    <w:rsid w:val="003D5917"/>
    <w:rsid w:val="003D5EED"/>
    <w:rsid w:val="003D6B93"/>
    <w:rsid w:val="003D7A6B"/>
    <w:rsid w:val="003D7B81"/>
    <w:rsid w:val="003E187A"/>
    <w:rsid w:val="003E3CAA"/>
    <w:rsid w:val="003E64A4"/>
    <w:rsid w:val="003F0FFC"/>
    <w:rsid w:val="003F2943"/>
    <w:rsid w:val="003F63CE"/>
    <w:rsid w:val="003F6C2D"/>
    <w:rsid w:val="003F78A0"/>
    <w:rsid w:val="00400E20"/>
    <w:rsid w:val="00400F1F"/>
    <w:rsid w:val="004021FF"/>
    <w:rsid w:val="00402A0E"/>
    <w:rsid w:val="00405915"/>
    <w:rsid w:val="0040625C"/>
    <w:rsid w:val="004072DF"/>
    <w:rsid w:val="00410F6D"/>
    <w:rsid w:val="00414868"/>
    <w:rsid w:val="004204E9"/>
    <w:rsid w:val="00421E7D"/>
    <w:rsid w:val="00423AF8"/>
    <w:rsid w:val="00425E4D"/>
    <w:rsid w:val="0042705A"/>
    <w:rsid w:val="00427DCB"/>
    <w:rsid w:val="0043147B"/>
    <w:rsid w:val="0043147F"/>
    <w:rsid w:val="0043252D"/>
    <w:rsid w:val="004337AE"/>
    <w:rsid w:val="00441CF9"/>
    <w:rsid w:val="00442A70"/>
    <w:rsid w:val="00443199"/>
    <w:rsid w:val="0044373E"/>
    <w:rsid w:val="004441FA"/>
    <w:rsid w:val="00444C2E"/>
    <w:rsid w:val="004468CE"/>
    <w:rsid w:val="00450234"/>
    <w:rsid w:val="0045334B"/>
    <w:rsid w:val="00454F64"/>
    <w:rsid w:val="00456BBC"/>
    <w:rsid w:val="00456FEE"/>
    <w:rsid w:val="00457FE0"/>
    <w:rsid w:val="00460370"/>
    <w:rsid w:val="0046038E"/>
    <w:rsid w:val="00461CEA"/>
    <w:rsid w:val="0046666D"/>
    <w:rsid w:val="00466EE9"/>
    <w:rsid w:val="00473131"/>
    <w:rsid w:val="0047456B"/>
    <w:rsid w:val="00474B4B"/>
    <w:rsid w:val="00474EEB"/>
    <w:rsid w:val="00476AEF"/>
    <w:rsid w:val="00477142"/>
    <w:rsid w:val="00480DF1"/>
    <w:rsid w:val="0048486A"/>
    <w:rsid w:val="00486D75"/>
    <w:rsid w:val="004927F0"/>
    <w:rsid w:val="00496DAC"/>
    <w:rsid w:val="0049733E"/>
    <w:rsid w:val="004A3605"/>
    <w:rsid w:val="004A3E53"/>
    <w:rsid w:val="004A7AB1"/>
    <w:rsid w:val="004B11FB"/>
    <w:rsid w:val="004B2899"/>
    <w:rsid w:val="004B2BCF"/>
    <w:rsid w:val="004B3436"/>
    <w:rsid w:val="004B4365"/>
    <w:rsid w:val="004B4780"/>
    <w:rsid w:val="004C1FE6"/>
    <w:rsid w:val="004C2059"/>
    <w:rsid w:val="004C41EE"/>
    <w:rsid w:val="004D41F7"/>
    <w:rsid w:val="004D5462"/>
    <w:rsid w:val="004D6065"/>
    <w:rsid w:val="004D6893"/>
    <w:rsid w:val="004D76F5"/>
    <w:rsid w:val="004D7AA6"/>
    <w:rsid w:val="004E1A56"/>
    <w:rsid w:val="004E349C"/>
    <w:rsid w:val="004E6DD7"/>
    <w:rsid w:val="004F67B6"/>
    <w:rsid w:val="004F6FEB"/>
    <w:rsid w:val="00501507"/>
    <w:rsid w:val="00503F6A"/>
    <w:rsid w:val="00511CAB"/>
    <w:rsid w:val="0051513B"/>
    <w:rsid w:val="005167FB"/>
    <w:rsid w:val="00525CF8"/>
    <w:rsid w:val="005264F8"/>
    <w:rsid w:val="00526B5C"/>
    <w:rsid w:val="005317D1"/>
    <w:rsid w:val="005369BF"/>
    <w:rsid w:val="00536D02"/>
    <w:rsid w:val="00537D53"/>
    <w:rsid w:val="00537DC7"/>
    <w:rsid w:val="00543D4A"/>
    <w:rsid w:val="00544FEA"/>
    <w:rsid w:val="00546565"/>
    <w:rsid w:val="005502A8"/>
    <w:rsid w:val="005523C7"/>
    <w:rsid w:val="005536F1"/>
    <w:rsid w:val="005545A9"/>
    <w:rsid w:val="00554B61"/>
    <w:rsid w:val="00556D7B"/>
    <w:rsid w:val="00561F62"/>
    <w:rsid w:val="0056770A"/>
    <w:rsid w:val="00570E8A"/>
    <w:rsid w:val="0057157D"/>
    <w:rsid w:val="005716C7"/>
    <w:rsid w:val="00572572"/>
    <w:rsid w:val="00572F7B"/>
    <w:rsid w:val="00573E6E"/>
    <w:rsid w:val="005751A3"/>
    <w:rsid w:val="005773D2"/>
    <w:rsid w:val="0058242C"/>
    <w:rsid w:val="00582587"/>
    <w:rsid w:val="00582DD6"/>
    <w:rsid w:val="005830D5"/>
    <w:rsid w:val="00585A7E"/>
    <w:rsid w:val="005861C4"/>
    <w:rsid w:val="005868D5"/>
    <w:rsid w:val="00586900"/>
    <w:rsid w:val="005871A1"/>
    <w:rsid w:val="00591EE1"/>
    <w:rsid w:val="005948BA"/>
    <w:rsid w:val="00596A84"/>
    <w:rsid w:val="005A02D7"/>
    <w:rsid w:val="005A0B52"/>
    <w:rsid w:val="005A10FF"/>
    <w:rsid w:val="005A18A1"/>
    <w:rsid w:val="005A197C"/>
    <w:rsid w:val="005A1FB2"/>
    <w:rsid w:val="005A392F"/>
    <w:rsid w:val="005A63F2"/>
    <w:rsid w:val="005A6964"/>
    <w:rsid w:val="005B07FF"/>
    <w:rsid w:val="005B2E17"/>
    <w:rsid w:val="005B4284"/>
    <w:rsid w:val="005B4309"/>
    <w:rsid w:val="005B4B5A"/>
    <w:rsid w:val="005B5D96"/>
    <w:rsid w:val="005B7380"/>
    <w:rsid w:val="005C0195"/>
    <w:rsid w:val="005C1008"/>
    <w:rsid w:val="005C1163"/>
    <w:rsid w:val="005C5C1A"/>
    <w:rsid w:val="005D08A7"/>
    <w:rsid w:val="005D091E"/>
    <w:rsid w:val="005D5D27"/>
    <w:rsid w:val="005D7B6A"/>
    <w:rsid w:val="005E27C1"/>
    <w:rsid w:val="005E5BE1"/>
    <w:rsid w:val="005E6DE9"/>
    <w:rsid w:val="005E6E31"/>
    <w:rsid w:val="005E7C1D"/>
    <w:rsid w:val="005F0F12"/>
    <w:rsid w:val="005F1A1A"/>
    <w:rsid w:val="005F1A8A"/>
    <w:rsid w:val="005F3711"/>
    <w:rsid w:val="005F55E0"/>
    <w:rsid w:val="005F73C9"/>
    <w:rsid w:val="00600C35"/>
    <w:rsid w:val="006014F0"/>
    <w:rsid w:val="00605E2F"/>
    <w:rsid w:val="00610A31"/>
    <w:rsid w:val="00612CDA"/>
    <w:rsid w:val="00614083"/>
    <w:rsid w:val="006157D0"/>
    <w:rsid w:val="00616038"/>
    <w:rsid w:val="00616592"/>
    <w:rsid w:val="00617756"/>
    <w:rsid w:val="00621EB4"/>
    <w:rsid w:val="0062268A"/>
    <w:rsid w:val="00623C60"/>
    <w:rsid w:val="00624A15"/>
    <w:rsid w:val="00624EC2"/>
    <w:rsid w:val="00625DF3"/>
    <w:rsid w:val="00626500"/>
    <w:rsid w:val="00626E9A"/>
    <w:rsid w:val="00627077"/>
    <w:rsid w:val="00627CCE"/>
    <w:rsid w:val="0063034F"/>
    <w:rsid w:val="00631F3C"/>
    <w:rsid w:val="006322A8"/>
    <w:rsid w:val="00632C1F"/>
    <w:rsid w:val="00633C21"/>
    <w:rsid w:val="0063426B"/>
    <w:rsid w:val="00634EA8"/>
    <w:rsid w:val="0063511B"/>
    <w:rsid w:val="0063546D"/>
    <w:rsid w:val="00637A40"/>
    <w:rsid w:val="00643922"/>
    <w:rsid w:val="0064459C"/>
    <w:rsid w:val="006450E2"/>
    <w:rsid w:val="00646436"/>
    <w:rsid w:val="0064721E"/>
    <w:rsid w:val="00651327"/>
    <w:rsid w:val="0065275A"/>
    <w:rsid w:val="00653DCC"/>
    <w:rsid w:val="00656565"/>
    <w:rsid w:val="0065700E"/>
    <w:rsid w:val="006616E6"/>
    <w:rsid w:val="00663C50"/>
    <w:rsid w:val="00663E11"/>
    <w:rsid w:val="0066419C"/>
    <w:rsid w:val="0066528A"/>
    <w:rsid w:val="00666F5C"/>
    <w:rsid w:val="00667467"/>
    <w:rsid w:val="006707C1"/>
    <w:rsid w:val="00671EFE"/>
    <w:rsid w:val="006742CF"/>
    <w:rsid w:val="00674339"/>
    <w:rsid w:val="006761F7"/>
    <w:rsid w:val="006777F4"/>
    <w:rsid w:val="00680CAA"/>
    <w:rsid w:val="00682EE8"/>
    <w:rsid w:val="00682FC7"/>
    <w:rsid w:val="00685818"/>
    <w:rsid w:val="00686CC3"/>
    <w:rsid w:val="00690CD7"/>
    <w:rsid w:val="0069146B"/>
    <w:rsid w:val="00691966"/>
    <w:rsid w:val="0069328B"/>
    <w:rsid w:val="0069380F"/>
    <w:rsid w:val="00694022"/>
    <w:rsid w:val="0069563B"/>
    <w:rsid w:val="00697797"/>
    <w:rsid w:val="006A06A9"/>
    <w:rsid w:val="006A2903"/>
    <w:rsid w:val="006B0584"/>
    <w:rsid w:val="006B2F5A"/>
    <w:rsid w:val="006B3CE3"/>
    <w:rsid w:val="006B6046"/>
    <w:rsid w:val="006C12A6"/>
    <w:rsid w:val="006C1313"/>
    <w:rsid w:val="006C1FF6"/>
    <w:rsid w:val="006C25DE"/>
    <w:rsid w:val="006C2D68"/>
    <w:rsid w:val="006C41FB"/>
    <w:rsid w:val="006C5C0C"/>
    <w:rsid w:val="006D1034"/>
    <w:rsid w:val="006D47B4"/>
    <w:rsid w:val="006E33B4"/>
    <w:rsid w:val="006E3BED"/>
    <w:rsid w:val="006E43E9"/>
    <w:rsid w:val="006E6BC5"/>
    <w:rsid w:val="006F2D2E"/>
    <w:rsid w:val="006F3DE8"/>
    <w:rsid w:val="006F44CB"/>
    <w:rsid w:val="006F6380"/>
    <w:rsid w:val="006F7C58"/>
    <w:rsid w:val="00705931"/>
    <w:rsid w:val="00710CB4"/>
    <w:rsid w:val="0071592E"/>
    <w:rsid w:val="00716238"/>
    <w:rsid w:val="00716CE0"/>
    <w:rsid w:val="00717D29"/>
    <w:rsid w:val="00721B4F"/>
    <w:rsid w:val="0072789A"/>
    <w:rsid w:val="0073077F"/>
    <w:rsid w:val="007312F4"/>
    <w:rsid w:val="00732B8D"/>
    <w:rsid w:val="00734922"/>
    <w:rsid w:val="007351A6"/>
    <w:rsid w:val="00735C80"/>
    <w:rsid w:val="00736014"/>
    <w:rsid w:val="007407CA"/>
    <w:rsid w:val="00741CE7"/>
    <w:rsid w:val="00742AD8"/>
    <w:rsid w:val="00750D0B"/>
    <w:rsid w:val="00750D4E"/>
    <w:rsid w:val="007525FE"/>
    <w:rsid w:val="0075419B"/>
    <w:rsid w:val="00760F9D"/>
    <w:rsid w:val="007635C9"/>
    <w:rsid w:val="007710FF"/>
    <w:rsid w:val="00771139"/>
    <w:rsid w:val="007722C9"/>
    <w:rsid w:val="00772690"/>
    <w:rsid w:val="0077639A"/>
    <w:rsid w:val="007822F5"/>
    <w:rsid w:val="00782662"/>
    <w:rsid w:val="00786655"/>
    <w:rsid w:val="0078701E"/>
    <w:rsid w:val="00793891"/>
    <w:rsid w:val="00793B3D"/>
    <w:rsid w:val="00794827"/>
    <w:rsid w:val="00796D4C"/>
    <w:rsid w:val="007A0613"/>
    <w:rsid w:val="007A073A"/>
    <w:rsid w:val="007A1778"/>
    <w:rsid w:val="007A3894"/>
    <w:rsid w:val="007A3FD0"/>
    <w:rsid w:val="007A4AA1"/>
    <w:rsid w:val="007A705D"/>
    <w:rsid w:val="007A7C44"/>
    <w:rsid w:val="007B04BB"/>
    <w:rsid w:val="007B180B"/>
    <w:rsid w:val="007B2EE9"/>
    <w:rsid w:val="007B3B30"/>
    <w:rsid w:val="007B4337"/>
    <w:rsid w:val="007B747D"/>
    <w:rsid w:val="007C11C1"/>
    <w:rsid w:val="007C172F"/>
    <w:rsid w:val="007C25E0"/>
    <w:rsid w:val="007C2608"/>
    <w:rsid w:val="007D0040"/>
    <w:rsid w:val="007D2159"/>
    <w:rsid w:val="007D2C7C"/>
    <w:rsid w:val="007D77F9"/>
    <w:rsid w:val="007E082E"/>
    <w:rsid w:val="007E44DC"/>
    <w:rsid w:val="007E6707"/>
    <w:rsid w:val="007E7728"/>
    <w:rsid w:val="007F076C"/>
    <w:rsid w:val="007F0EBD"/>
    <w:rsid w:val="007F5EA1"/>
    <w:rsid w:val="007F5FFD"/>
    <w:rsid w:val="007F608A"/>
    <w:rsid w:val="00800F98"/>
    <w:rsid w:val="008036EC"/>
    <w:rsid w:val="00805238"/>
    <w:rsid w:val="00807556"/>
    <w:rsid w:val="00810163"/>
    <w:rsid w:val="00810427"/>
    <w:rsid w:val="00813455"/>
    <w:rsid w:val="00814620"/>
    <w:rsid w:val="00815F44"/>
    <w:rsid w:val="00816CED"/>
    <w:rsid w:val="00817868"/>
    <w:rsid w:val="00822BF4"/>
    <w:rsid w:val="008239C5"/>
    <w:rsid w:val="008255CA"/>
    <w:rsid w:val="00832472"/>
    <w:rsid w:val="00832B3E"/>
    <w:rsid w:val="00836E4A"/>
    <w:rsid w:val="0084294F"/>
    <w:rsid w:val="00846FC1"/>
    <w:rsid w:val="00850D1B"/>
    <w:rsid w:val="00853004"/>
    <w:rsid w:val="0085382B"/>
    <w:rsid w:val="00854131"/>
    <w:rsid w:val="00854615"/>
    <w:rsid w:val="00860DE0"/>
    <w:rsid w:val="00863604"/>
    <w:rsid w:val="00865160"/>
    <w:rsid w:val="00865D6C"/>
    <w:rsid w:val="00866591"/>
    <w:rsid w:val="008666AE"/>
    <w:rsid w:val="00867CDA"/>
    <w:rsid w:val="00867F18"/>
    <w:rsid w:val="00867F68"/>
    <w:rsid w:val="00870EFE"/>
    <w:rsid w:val="00872E1F"/>
    <w:rsid w:val="00873864"/>
    <w:rsid w:val="00873940"/>
    <w:rsid w:val="00873EAB"/>
    <w:rsid w:val="00874412"/>
    <w:rsid w:val="008749F0"/>
    <w:rsid w:val="00875DD8"/>
    <w:rsid w:val="00876268"/>
    <w:rsid w:val="00876445"/>
    <w:rsid w:val="00882456"/>
    <w:rsid w:val="00884700"/>
    <w:rsid w:val="00887F9B"/>
    <w:rsid w:val="00894682"/>
    <w:rsid w:val="008A0602"/>
    <w:rsid w:val="008A36FA"/>
    <w:rsid w:val="008A4730"/>
    <w:rsid w:val="008A4AC6"/>
    <w:rsid w:val="008A6348"/>
    <w:rsid w:val="008B6429"/>
    <w:rsid w:val="008C04AD"/>
    <w:rsid w:val="008C1772"/>
    <w:rsid w:val="008C4B72"/>
    <w:rsid w:val="008C6721"/>
    <w:rsid w:val="008C720A"/>
    <w:rsid w:val="008D4700"/>
    <w:rsid w:val="008D699A"/>
    <w:rsid w:val="008D78ED"/>
    <w:rsid w:val="008D7F10"/>
    <w:rsid w:val="008E06F6"/>
    <w:rsid w:val="008E2F3D"/>
    <w:rsid w:val="008E4429"/>
    <w:rsid w:val="008F233B"/>
    <w:rsid w:val="008F3D56"/>
    <w:rsid w:val="008F3F02"/>
    <w:rsid w:val="008F572C"/>
    <w:rsid w:val="008F7556"/>
    <w:rsid w:val="00900113"/>
    <w:rsid w:val="009037EB"/>
    <w:rsid w:val="00906A29"/>
    <w:rsid w:val="00907569"/>
    <w:rsid w:val="00911865"/>
    <w:rsid w:val="00912954"/>
    <w:rsid w:val="0091487D"/>
    <w:rsid w:val="009148FF"/>
    <w:rsid w:val="00914A90"/>
    <w:rsid w:val="009159D6"/>
    <w:rsid w:val="00915AA0"/>
    <w:rsid w:val="00915CC9"/>
    <w:rsid w:val="00916266"/>
    <w:rsid w:val="00917AF2"/>
    <w:rsid w:val="00920140"/>
    <w:rsid w:val="0092231E"/>
    <w:rsid w:val="00926EA2"/>
    <w:rsid w:val="00931585"/>
    <w:rsid w:val="0093173C"/>
    <w:rsid w:val="009325CD"/>
    <w:rsid w:val="00932947"/>
    <w:rsid w:val="00941EFB"/>
    <w:rsid w:val="0094364D"/>
    <w:rsid w:val="00943D36"/>
    <w:rsid w:val="00944259"/>
    <w:rsid w:val="0094439C"/>
    <w:rsid w:val="00944CE4"/>
    <w:rsid w:val="00945E18"/>
    <w:rsid w:val="009471F9"/>
    <w:rsid w:val="00947EC4"/>
    <w:rsid w:val="00951163"/>
    <w:rsid w:val="00954513"/>
    <w:rsid w:val="00954ACD"/>
    <w:rsid w:val="00955E22"/>
    <w:rsid w:val="00960FD8"/>
    <w:rsid w:val="00962552"/>
    <w:rsid w:val="00963120"/>
    <w:rsid w:val="009633B1"/>
    <w:rsid w:val="009645F3"/>
    <w:rsid w:val="00965D94"/>
    <w:rsid w:val="00972430"/>
    <w:rsid w:val="00972A63"/>
    <w:rsid w:val="00984FC7"/>
    <w:rsid w:val="00991113"/>
    <w:rsid w:val="00993E46"/>
    <w:rsid w:val="00995CB3"/>
    <w:rsid w:val="009965C6"/>
    <w:rsid w:val="009977CB"/>
    <w:rsid w:val="009A2921"/>
    <w:rsid w:val="009A3ADB"/>
    <w:rsid w:val="009A43DE"/>
    <w:rsid w:val="009A5113"/>
    <w:rsid w:val="009A6FE6"/>
    <w:rsid w:val="009B0366"/>
    <w:rsid w:val="009B04E8"/>
    <w:rsid w:val="009B4CC5"/>
    <w:rsid w:val="009C09ED"/>
    <w:rsid w:val="009C342A"/>
    <w:rsid w:val="009C512D"/>
    <w:rsid w:val="009C52A7"/>
    <w:rsid w:val="009D500D"/>
    <w:rsid w:val="009D56DB"/>
    <w:rsid w:val="009D610C"/>
    <w:rsid w:val="009D63CD"/>
    <w:rsid w:val="009D691C"/>
    <w:rsid w:val="009D7954"/>
    <w:rsid w:val="009E1F8E"/>
    <w:rsid w:val="009E400B"/>
    <w:rsid w:val="009E532F"/>
    <w:rsid w:val="009E5958"/>
    <w:rsid w:val="009E7B2F"/>
    <w:rsid w:val="009F1AFE"/>
    <w:rsid w:val="009F39B2"/>
    <w:rsid w:val="009F7413"/>
    <w:rsid w:val="00A0255A"/>
    <w:rsid w:val="00A033E7"/>
    <w:rsid w:val="00A03AF7"/>
    <w:rsid w:val="00A0527F"/>
    <w:rsid w:val="00A0567A"/>
    <w:rsid w:val="00A10A6A"/>
    <w:rsid w:val="00A16412"/>
    <w:rsid w:val="00A17328"/>
    <w:rsid w:val="00A175F9"/>
    <w:rsid w:val="00A17783"/>
    <w:rsid w:val="00A22798"/>
    <w:rsid w:val="00A228FF"/>
    <w:rsid w:val="00A24C28"/>
    <w:rsid w:val="00A31392"/>
    <w:rsid w:val="00A31D46"/>
    <w:rsid w:val="00A330BD"/>
    <w:rsid w:val="00A44299"/>
    <w:rsid w:val="00A44586"/>
    <w:rsid w:val="00A44858"/>
    <w:rsid w:val="00A47494"/>
    <w:rsid w:val="00A5304E"/>
    <w:rsid w:val="00A5602F"/>
    <w:rsid w:val="00A5613A"/>
    <w:rsid w:val="00A563B9"/>
    <w:rsid w:val="00A56A81"/>
    <w:rsid w:val="00A60D9A"/>
    <w:rsid w:val="00A61A34"/>
    <w:rsid w:val="00A637B4"/>
    <w:rsid w:val="00A705C7"/>
    <w:rsid w:val="00A70665"/>
    <w:rsid w:val="00A71FB1"/>
    <w:rsid w:val="00A7409A"/>
    <w:rsid w:val="00A74B05"/>
    <w:rsid w:val="00A76AC4"/>
    <w:rsid w:val="00A77542"/>
    <w:rsid w:val="00A8194E"/>
    <w:rsid w:val="00A836AA"/>
    <w:rsid w:val="00A870DE"/>
    <w:rsid w:val="00A90365"/>
    <w:rsid w:val="00A903BF"/>
    <w:rsid w:val="00A90F3E"/>
    <w:rsid w:val="00A94393"/>
    <w:rsid w:val="00A97250"/>
    <w:rsid w:val="00AA1AFB"/>
    <w:rsid w:val="00AA39E2"/>
    <w:rsid w:val="00AA486A"/>
    <w:rsid w:val="00AA6A84"/>
    <w:rsid w:val="00AA6AAE"/>
    <w:rsid w:val="00AA7121"/>
    <w:rsid w:val="00AB3C39"/>
    <w:rsid w:val="00AB434E"/>
    <w:rsid w:val="00AB6788"/>
    <w:rsid w:val="00AC0812"/>
    <w:rsid w:val="00AC23CE"/>
    <w:rsid w:val="00AC2772"/>
    <w:rsid w:val="00AC2BB0"/>
    <w:rsid w:val="00AC2E3C"/>
    <w:rsid w:val="00AC57D5"/>
    <w:rsid w:val="00AC60FF"/>
    <w:rsid w:val="00AC615F"/>
    <w:rsid w:val="00AC63FA"/>
    <w:rsid w:val="00AC7043"/>
    <w:rsid w:val="00AC735A"/>
    <w:rsid w:val="00AD0FC0"/>
    <w:rsid w:val="00AD33DF"/>
    <w:rsid w:val="00AD5CD4"/>
    <w:rsid w:val="00AD7E53"/>
    <w:rsid w:val="00AE0874"/>
    <w:rsid w:val="00AE11A8"/>
    <w:rsid w:val="00AE1B72"/>
    <w:rsid w:val="00AE5336"/>
    <w:rsid w:val="00AF1FF5"/>
    <w:rsid w:val="00AF2927"/>
    <w:rsid w:val="00AF2E1F"/>
    <w:rsid w:val="00AF5DB9"/>
    <w:rsid w:val="00B00268"/>
    <w:rsid w:val="00B01D5B"/>
    <w:rsid w:val="00B0248A"/>
    <w:rsid w:val="00B06D5E"/>
    <w:rsid w:val="00B0717B"/>
    <w:rsid w:val="00B10638"/>
    <w:rsid w:val="00B11888"/>
    <w:rsid w:val="00B12AE1"/>
    <w:rsid w:val="00B12F26"/>
    <w:rsid w:val="00B13D46"/>
    <w:rsid w:val="00B14410"/>
    <w:rsid w:val="00B20D87"/>
    <w:rsid w:val="00B25387"/>
    <w:rsid w:val="00B3551D"/>
    <w:rsid w:val="00B37D75"/>
    <w:rsid w:val="00B40C35"/>
    <w:rsid w:val="00B41E01"/>
    <w:rsid w:val="00B45701"/>
    <w:rsid w:val="00B46794"/>
    <w:rsid w:val="00B478F3"/>
    <w:rsid w:val="00B56466"/>
    <w:rsid w:val="00B60C3D"/>
    <w:rsid w:val="00B61011"/>
    <w:rsid w:val="00B633C8"/>
    <w:rsid w:val="00B74C34"/>
    <w:rsid w:val="00B77E44"/>
    <w:rsid w:val="00B80482"/>
    <w:rsid w:val="00B819A1"/>
    <w:rsid w:val="00B82D20"/>
    <w:rsid w:val="00B87186"/>
    <w:rsid w:val="00B90E8E"/>
    <w:rsid w:val="00B921F9"/>
    <w:rsid w:val="00B934BF"/>
    <w:rsid w:val="00B93856"/>
    <w:rsid w:val="00BA2658"/>
    <w:rsid w:val="00BA6F10"/>
    <w:rsid w:val="00BB054C"/>
    <w:rsid w:val="00BB1229"/>
    <w:rsid w:val="00BB153B"/>
    <w:rsid w:val="00BB2534"/>
    <w:rsid w:val="00BB4BBA"/>
    <w:rsid w:val="00BB58BF"/>
    <w:rsid w:val="00BC019D"/>
    <w:rsid w:val="00BC0B74"/>
    <w:rsid w:val="00BC10BA"/>
    <w:rsid w:val="00BC2CF2"/>
    <w:rsid w:val="00BC4A73"/>
    <w:rsid w:val="00BC4F75"/>
    <w:rsid w:val="00BD2845"/>
    <w:rsid w:val="00BE224E"/>
    <w:rsid w:val="00BE254E"/>
    <w:rsid w:val="00BE4902"/>
    <w:rsid w:val="00BE59BF"/>
    <w:rsid w:val="00BE68C0"/>
    <w:rsid w:val="00BE6EC1"/>
    <w:rsid w:val="00BF0951"/>
    <w:rsid w:val="00BF2F42"/>
    <w:rsid w:val="00BF34B0"/>
    <w:rsid w:val="00BF39B3"/>
    <w:rsid w:val="00BF68B6"/>
    <w:rsid w:val="00C00445"/>
    <w:rsid w:val="00C01384"/>
    <w:rsid w:val="00C04714"/>
    <w:rsid w:val="00C05A88"/>
    <w:rsid w:val="00C10AA4"/>
    <w:rsid w:val="00C13023"/>
    <w:rsid w:val="00C16A00"/>
    <w:rsid w:val="00C16F14"/>
    <w:rsid w:val="00C17BD0"/>
    <w:rsid w:val="00C17D81"/>
    <w:rsid w:val="00C20903"/>
    <w:rsid w:val="00C227D1"/>
    <w:rsid w:val="00C243CE"/>
    <w:rsid w:val="00C2518A"/>
    <w:rsid w:val="00C27FD5"/>
    <w:rsid w:val="00C3070E"/>
    <w:rsid w:val="00C3268F"/>
    <w:rsid w:val="00C3457D"/>
    <w:rsid w:val="00C36063"/>
    <w:rsid w:val="00C362EA"/>
    <w:rsid w:val="00C3783C"/>
    <w:rsid w:val="00C4091F"/>
    <w:rsid w:val="00C43660"/>
    <w:rsid w:val="00C44E03"/>
    <w:rsid w:val="00C45D07"/>
    <w:rsid w:val="00C46FA0"/>
    <w:rsid w:val="00C50D17"/>
    <w:rsid w:val="00C52B68"/>
    <w:rsid w:val="00C559C2"/>
    <w:rsid w:val="00C61CF9"/>
    <w:rsid w:val="00C65758"/>
    <w:rsid w:val="00C70EBF"/>
    <w:rsid w:val="00C73373"/>
    <w:rsid w:val="00C75731"/>
    <w:rsid w:val="00C81058"/>
    <w:rsid w:val="00C830D0"/>
    <w:rsid w:val="00C832CC"/>
    <w:rsid w:val="00C92745"/>
    <w:rsid w:val="00C930F7"/>
    <w:rsid w:val="00C93353"/>
    <w:rsid w:val="00C948B7"/>
    <w:rsid w:val="00CA0C6A"/>
    <w:rsid w:val="00CA26CA"/>
    <w:rsid w:val="00CA2AC6"/>
    <w:rsid w:val="00CA2D31"/>
    <w:rsid w:val="00CA3AB7"/>
    <w:rsid w:val="00CA58CB"/>
    <w:rsid w:val="00CA7EC8"/>
    <w:rsid w:val="00CB2342"/>
    <w:rsid w:val="00CB29FD"/>
    <w:rsid w:val="00CB2B74"/>
    <w:rsid w:val="00CC1712"/>
    <w:rsid w:val="00CC2ABD"/>
    <w:rsid w:val="00CC3827"/>
    <w:rsid w:val="00CC77AC"/>
    <w:rsid w:val="00CC7C9F"/>
    <w:rsid w:val="00CD30FD"/>
    <w:rsid w:val="00CD483B"/>
    <w:rsid w:val="00CD5439"/>
    <w:rsid w:val="00CE1B99"/>
    <w:rsid w:val="00CE6294"/>
    <w:rsid w:val="00CE6EAB"/>
    <w:rsid w:val="00CE715B"/>
    <w:rsid w:val="00CF69FC"/>
    <w:rsid w:val="00CF77FE"/>
    <w:rsid w:val="00D01AE8"/>
    <w:rsid w:val="00D0356B"/>
    <w:rsid w:val="00D05989"/>
    <w:rsid w:val="00D069C9"/>
    <w:rsid w:val="00D1000B"/>
    <w:rsid w:val="00D14755"/>
    <w:rsid w:val="00D15C17"/>
    <w:rsid w:val="00D2002B"/>
    <w:rsid w:val="00D222E3"/>
    <w:rsid w:val="00D23551"/>
    <w:rsid w:val="00D23561"/>
    <w:rsid w:val="00D2361C"/>
    <w:rsid w:val="00D243FF"/>
    <w:rsid w:val="00D26BB3"/>
    <w:rsid w:val="00D3044C"/>
    <w:rsid w:val="00D30F78"/>
    <w:rsid w:val="00D31C26"/>
    <w:rsid w:val="00D32729"/>
    <w:rsid w:val="00D345A9"/>
    <w:rsid w:val="00D364E1"/>
    <w:rsid w:val="00D37701"/>
    <w:rsid w:val="00D44D14"/>
    <w:rsid w:val="00D44DFE"/>
    <w:rsid w:val="00D477EE"/>
    <w:rsid w:val="00D5013F"/>
    <w:rsid w:val="00D50AD0"/>
    <w:rsid w:val="00D611A4"/>
    <w:rsid w:val="00D6249E"/>
    <w:rsid w:val="00D63FC6"/>
    <w:rsid w:val="00D65C03"/>
    <w:rsid w:val="00D7052A"/>
    <w:rsid w:val="00D71DC2"/>
    <w:rsid w:val="00D74DA2"/>
    <w:rsid w:val="00D75A84"/>
    <w:rsid w:val="00D771BE"/>
    <w:rsid w:val="00D77B12"/>
    <w:rsid w:val="00D864C9"/>
    <w:rsid w:val="00D871A7"/>
    <w:rsid w:val="00D90F65"/>
    <w:rsid w:val="00D915F1"/>
    <w:rsid w:val="00D91C04"/>
    <w:rsid w:val="00D91C96"/>
    <w:rsid w:val="00D944A5"/>
    <w:rsid w:val="00D944DF"/>
    <w:rsid w:val="00D95971"/>
    <w:rsid w:val="00D9627C"/>
    <w:rsid w:val="00D96319"/>
    <w:rsid w:val="00D96C10"/>
    <w:rsid w:val="00DA0EAB"/>
    <w:rsid w:val="00DA1741"/>
    <w:rsid w:val="00DA4F83"/>
    <w:rsid w:val="00DA5DB9"/>
    <w:rsid w:val="00DA726E"/>
    <w:rsid w:val="00DB0D09"/>
    <w:rsid w:val="00DB3AAC"/>
    <w:rsid w:val="00DB3DFB"/>
    <w:rsid w:val="00DC3889"/>
    <w:rsid w:val="00DC72FA"/>
    <w:rsid w:val="00DD4508"/>
    <w:rsid w:val="00DD723B"/>
    <w:rsid w:val="00DD74DF"/>
    <w:rsid w:val="00DE1A8C"/>
    <w:rsid w:val="00DE20C6"/>
    <w:rsid w:val="00DE30F9"/>
    <w:rsid w:val="00DE57AD"/>
    <w:rsid w:val="00DF000C"/>
    <w:rsid w:val="00DF2078"/>
    <w:rsid w:val="00DF2A14"/>
    <w:rsid w:val="00DF7B3B"/>
    <w:rsid w:val="00E021E5"/>
    <w:rsid w:val="00E04E4F"/>
    <w:rsid w:val="00E05C7F"/>
    <w:rsid w:val="00E1029B"/>
    <w:rsid w:val="00E11214"/>
    <w:rsid w:val="00E117AA"/>
    <w:rsid w:val="00E13806"/>
    <w:rsid w:val="00E1452F"/>
    <w:rsid w:val="00E15CE6"/>
    <w:rsid w:val="00E20C7F"/>
    <w:rsid w:val="00E21E80"/>
    <w:rsid w:val="00E239D4"/>
    <w:rsid w:val="00E23B07"/>
    <w:rsid w:val="00E303E1"/>
    <w:rsid w:val="00E3176A"/>
    <w:rsid w:val="00E33815"/>
    <w:rsid w:val="00E355ED"/>
    <w:rsid w:val="00E3772B"/>
    <w:rsid w:val="00E40816"/>
    <w:rsid w:val="00E40ED3"/>
    <w:rsid w:val="00E41022"/>
    <w:rsid w:val="00E41125"/>
    <w:rsid w:val="00E412C0"/>
    <w:rsid w:val="00E41FFB"/>
    <w:rsid w:val="00E42B85"/>
    <w:rsid w:val="00E44783"/>
    <w:rsid w:val="00E44EED"/>
    <w:rsid w:val="00E45473"/>
    <w:rsid w:val="00E45BA4"/>
    <w:rsid w:val="00E46847"/>
    <w:rsid w:val="00E46BC7"/>
    <w:rsid w:val="00E5181C"/>
    <w:rsid w:val="00E53F7A"/>
    <w:rsid w:val="00E563E3"/>
    <w:rsid w:val="00E605B6"/>
    <w:rsid w:val="00E624CE"/>
    <w:rsid w:val="00E62C8F"/>
    <w:rsid w:val="00E6682A"/>
    <w:rsid w:val="00E73F20"/>
    <w:rsid w:val="00E75A12"/>
    <w:rsid w:val="00E80610"/>
    <w:rsid w:val="00E80A2B"/>
    <w:rsid w:val="00E83D07"/>
    <w:rsid w:val="00E8773F"/>
    <w:rsid w:val="00E919D4"/>
    <w:rsid w:val="00E92A8E"/>
    <w:rsid w:val="00E93415"/>
    <w:rsid w:val="00E939C3"/>
    <w:rsid w:val="00E93AAB"/>
    <w:rsid w:val="00E9544E"/>
    <w:rsid w:val="00E95573"/>
    <w:rsid w:val="00EA1B89"/>
    <w:rsid w:val="00EA26F0"/>
    <w:rsid w:val="00EA311B"/>
    <w:rsid w:val="00EA4AFB"/>
    <w:rsid w:val="00EA4E8A"/>
    <w:rsid w:val="00EA5096"/>
    <w:rsid w:val="00EA592C"/>
    <w:rsid w:val="00EA5E3F"/>
    <w:rsid w:val="00EA60C9"/>
    <w:rsid w:val="00EA7FAB"/>
    <w:rsid w:val="00EB20C7"/>
    <w:rsid w:val="00EB4859"/>
    <w:rsid w:val="00EB524F"/>
    <w:rsid w:val="00EB5328"/>
    <w:rsid w:val="00EB7602"/>
    <w:rsid w:val="00EB7A0B"/>
    <w:rsid w:val="00EC188E"/>
    <w:rsid w:val="00EC1D59"/>
    <w:rsid w:val="00EC2785"/>
    <w:rsid w:val="00EC5ACB"/>
    <w:rsid w:val="00ED0316"/>
    <w:rsid w:val="00ED0500"/>
    <w:rsid w:val="00ED3861"/>
    <w:rsid w:val="00ED45A0"/>
    <w:rsid w:val="00ED4A26"/>
    <w:rsid w:val="00ED5154"/>
    <w:rsid w:val="00ED71A3"/>
    <w:rsid w:val="00EE1D2F"/>
    <w:rsid w:val="00EE3D00"/>
    <w:rsid w:val="00EE526A"/>
    <w:rsid w:val="00EE5390"/>
    <w:rsid w:val="00EE633C"/>
    <w:rsid w:val="00EE69E2"/>
    <w:rsid w:val="00EF0748"/>
    <w:rsid w:val="00EF0E85"/>
    <w:rsid w:val="00EF1F89"/>
    <w:rsid w:val="00EF34B2"/>
    <w:rsid w:val="00EF4265"/>
    <w:rsid w:val="00EF42F0"/>
    <w:rsid w:val="00EF4A6F"/>
    <w:rsid w:val="00EF4B49"/>
    <w:rsid w:val="00EF7F53"/>
    <w:rsid w:val="00F02430"/>
    <w:rsid w:val="00F0643A"/>
    <w:rsid w:val="00F07529"/>
    <w:rsid w:val="00F07CD1"/>
    <w:rsid w:val="00F137B5"/>
    <w:rsid w:val="00F15478"/>
    <w:rsid w:val="00F17EB0"/>
    <w:rsid w:val="00F215A3"/>
    <w:rsid w:val="00F21891"/>
    <w:rsid w:val="00F27D91"/>
    <w:rsid w:val="00F27E97"/>
    <w:rsid w:val="00F27F46"/>
    <w:rsid w:val="00F322A4"/>
    <w:rsid w:val="00F32C21"/>
    <w:rsid w:val="00F369A6"/>
    <w:rsid w:val="00F40542"/>
    <w:rsid w:val="00F40F1E"/>
    <w:rsid w:val="00F4411F"/>
    <w:rsid w:val="00F45A1D"/>
    <w:rsid w:val="00F46DE0"/>
    <w:rsid w:val="00F52972"/>
    <w:rsid w:val="00F566D3"/>
    <w:rsid w:val="00F569E2"/>
    <w:rsid w:val="00F56F1D"/>
    <w:rsid w:val="00F6699C"/>
    <w:rsid w:val="00F72AE3"/>
    <w:rsid w:val="00F8565B"/>
    <w:rsid w:val="00F94CFF"/>
    <w:rsid w:val="00F96396"/>
    <w:rsid w:val="00F96628"/>
    <w:rsid w:val="00FA01F5"/>
    <w:rsid w:val="00FA0F74"/>
    <w:rsid w:val="00FA2F5B"/>
    <w:rsid w:val="00FA79F3"/>
    <w:rsid w:val="00FB039F"/>
    <w:rsid w:val="00FB26BE"/>
    <w:rsid w:val="00FB3C06"/>
    <w:rsid w:val="00FB60C8"/>
    <w:rsid w:val="00FC3B2D"/>
    <w:rsid w:val="00FC3BF6"/>
    <w:rsid w:val="00FC3DD6"/>
    <w:rsid w:val="00FC4E88"/>
    <w:rsid w:val="00FD024D"/>
    <w:rsid w:val="00FD0FB2"/>
    <w:rsid w:val="00FD467C"/>
    <w:rsid w:val="00FD5E55"/>
    <w:rsid w:val="00FD6706"/>
    <w:rsid w:val="00FE09A2"/>
    <w:rsid w:val="00FE263E"/>
    <w:rsid w:val="00FE4826"/>
    <w:rsid w:val="00FE4F61"/>
    <w:rsid w:val="00FE6325"/>
    <w:rsid w:val="00FE7820"/>
    <w:rsid w:val="00FF018B"/>
    <w:rsid w:val="00FF0BB1"/>
    <w:rsid w:val="00FF48D0"/>
    <w:rsid w:val="00FF49AF"/>
    <w:rsid w:val="00FF5161"/>
    <w:rsid w:val="00FF6290"/>
    <w:rsid w:val="00FF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058DE"/>
  <w15:chartTrackingRefBased/>
  <w15:docId w15:val="{0AED822B-4B0E-4F43-81C3-A806011B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E7F"/>
    <w:pPr>
      <w:spacing w:before="240" w:after="240"/>
    </w:pPr>
    <w:rPr>
      <w:rFonts w:ascii="Arial" w:eastAsia="Times New Roman" w:hAnsi="Arial" w:cs="Arial"/>
      <w:color w:val="000000"/>
      <w:sz w:val="24"/>
      <w:szCs w:val="24"/>
      <w:shd w:val="clear" w:color="auto" w:fill="FFFFFF"/>
    </w:rPr>
  </w:style>
  <w:style w:type="paragraph" w:styleId="Heading1">
    <w:name w:val="heading 1"/>
    <w:basedOn w:val="Normal"/>
    <w:next w:val="Normal"/>
    <w:link w:val="Heading1Char"/>
    <w:qFormat/>
    <w:rsid w:val="00442A70"/>
    <w:pPr>
      <w:keepNext/>
      <w:keepLines/>
      <w:spacing w:before="120" w:after="120"/>
      <w:jc w:val="center"/>
      <w:outlineLvl w:val="0"/>
    </w:pPr>
    <w:rPr>
      <w:rFonts w:eastAsiaTheme="majorEastAsia" w:cstheme="majorBidi"/>
      <w:b/>
      <w:sz w:val="40"/>
      <w:szCs w:val="32"/>
    </w:rPr>
  </w:style>
  <w:style w:type="paragraph" w:styleId="Heading2">
    <w:name w:val="heading 2"/>
    <w:basedOn w:val="NoSpacing"/>
    <w:next w:val="Normal"/>
    <w:link w:val="Heading2Char"/>
    <w:unhideWhenUsed/>
    <w:qFormat/>
    <w:rsid w:val="009E1F8E"/>
    <w:pPr>
      <w:outlineLvl w:val="1"/>
    </w:pPr>
    <w:rPr>
      <w:rFonts w:cs="Arial"/>
      <w:b/>
      <w:szCs w:val="20"/>
    </w:rPr>
  </w:style>
  <w:style w:type="paragraph" w:styleId="Heading3">
    <w:name w:val="heading 3"/>
    <w:basedOn w:val="ListParagraph"/>
    <w:next w:val="Normal"/>
    <w:link w:val="Heading3Char"/>
    <w:unhideWhenUsed/>
    <w:qFormat/>
    <w:rsid w:val="009E1F8E"/>
    <w:pPr>
      <w:keepNext/>
      <w:numPr>
        <w:numId w:val="22"/>
      </w:numPr>
      <w:spacing w:before="0" w:after="480"/>
      <w:outlineLvl w:val="2"/>
    </w:pPr>
    <w:rPr>
      <w:b/>
      <w:color w:val="auto"/>
      <w:szCs w:val="20"/>
      <w:shd w:val="clear" w:color="auto" w:fill="auto"/>
    </w:rPr>
  </w:style>
  <w:style w:type="paragraph" w:styleId="Heading4">
    <w:name w:val="heading 4"/>
    <w:basedOn w:val="ListParagraph"/>
    <w:next w:val="Normal"/>
    <w:link w:val="Heading4Char"/>
    <w:autoRedefine/>
    <w:unhideWhenUsed/>
    <w:qFormat/>
    <w:rsid w:val="0024561D"/>
    <w:pPr>
      <w:numPr>
        <w:numId w:val="27"/>
      </w:numPr>
      <w:spacing w:after="0"/>
      <w:outlineLvl w:val="3"/>
    </w:pPr>
    <w:rPr>
      <w:rFonts w:eastAsiaTheme="minorHAnsi"/>
      <w:b/>
    </w:rPr>
  </w:style>
  <w:style w:type="paragraph" w:styleId="Heading5">
    <w:name w:val="heading 5"/>
    <w:basedOn w:val="Normal"/>
    <w:next w:val="Normal"/>
    <w:link w:val="Heading5Char"/>
    <w:uiPriority w:val="9"/>
    <w:unhideWhenUsed/>
    <w:qFormat/>
    <w:rsid w:val="000E2E7F"/>
    <w:pPr>
      <w:keepNext/>
      <w:keepLines/>
      <w:outlineLvl w:val="4"/>
    </w:pPr>
    <w:rPr>
      <w:rFonts w:eastAsiaTheme="majorEastAsia" w:cstheme="majorBidi"/>
      <w:i/>
      <w:sz w:val="28"/>
    </w:rPr>
  </w:style>
  <w:style w:type="paragraph" w:styleId="Heading6">
    <w:name w:val="heading 6"/>
    <w:basedOn w:val="Normal"/>
    <w:next w:val="Normal"/>
    <w:link w:val="Heading6Char"/>
    <w:unhideWhenUsed/>
    <w:qFormat/>
    <w:rsid w:val="000E2E7F"/>
    <w:pPr>
      <w:keepNext/>
      <w:keepLines/>
      <w:outlineLvl w:val="5"/>
    </w:pPr>
    <w:rPr>
      <w:rFonts w:eastAsiaTheme="majorEastAsia" w:cstheme="majorBidi"/>
      <w:b/>
    </w:rPr>
  </w:style>
  <w:style w:type="paragraph" w:styleId="Heading7">
    <w:name w:val="heading 7"/>
    <w:basedOn w:val="Normal"/>
    <w:next w:val="Normal"/>
    <w:link w:val="Heading7Char"/>
    <w:uiPriority w:val="99"/>
    <w:semiHidden/>
    <w:unhideWhenUsed/>
    <w:qFormat/>
    <w:rsid w:val="000E2E7F"/>
    <w:pPr>
      <w:keepNext/>
      <w:keepLines/>
      <w:spacing w:before="40"/>
      <w:outlineLvl w:val="6"/>
    </w:pPr>
    <w:rPr>
      <w:rFonts w:eastAsiaTheme="majorEastAsia" w:cstheme="majorBidi"/>
      <w:i/>
      <w:iCs/>
      <w:color w:val="1F4D78" w:themeColor="accent1" w:themeShade="7F"/>
    </w:rPr>
  </w:style>
  <w:style w:type="paragraph" w:styleId="Heading9">
    <w:name w:val="heading 9"/>
    <w:basedOn w:val="Normal"/>
    <w:next w:val="Normal"/>
    <w:link w:val="Heading9Char"/>
    <w:uiPriority w:val="99"/>
    <w:semiHidden/>
    <w:unhideWhenUsed/>
    <w:qFormat/>
    <w:rsid w:val="000E2E7F"/>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2A70"/>
    <w:rPr>
      <w:rFonts w:ascii="Arial" w:eastAsiaTheme="majorEastAsia" w:hAnsi="Arial" w:cstheme="majorBidi"/>
      <w:b/>
      <w:color w:val="000000"/>
      <w:sz w:val="40"/>
      <w:szCs w:val="32"/>
    </w:rPr>
  </w:style>
  <w:style w:type="character" w:customStyle="1" w:styleId="Heading2Char">
    <w:name w:val="Heading 2 Char"/>
    <w:basedOn w:val="DefaultParagraphFont"/>
    <w:link w:val="Heading2"/>
    <w:rsid w:val="009E1F8E"/>
    <w:rPr>
      <w:rFonts w:ascii="Arial" w:hAnsi="Arial" w:cs="Arial"/>
      <w:b/>
      <w:sz w:val="24"/>
      <w:szCs w:val="20"/>
    </w:rPr>
  </w:style>
  <w:style w:type="character" w:customStyle="1" w:styleId="Heading3Char">
    <w:name w:val="Heading 3 Char"/>
    <w:basedOn w:val="DefaultParagraphFont"/>
    <w:link w:val="Heading3"/>
    <w:rsid w:val="009E1F8E"/>
    <w:rPr>
      <w:rFonts w:ascii="Arial" w:eastAsia="Times New Roman" w:hAnsi="Arial" w:cs="Arial"/>
      <w:b/>
      <w:sz w:val="24"/>
      <w:szCs w:val="20"/>
    </w:rPr>
  </w:style>
  <w:style w:type="character" w:customStyle="1" w:styleId="Heading4Char">
    <w:name w:val="Heading 4 Char"/>
    <w:basedOn w:val="DefaultParagraphFont"/>
    <w:link w:val="Heading4"/>
    <w:rsid w:val="0024561D"/>
    <w:rPr>
      <w:rFonts w:ascii="Arial" w:hAnsi="Arial" w:cs="Arial"/>
      <w:b/>
      <w:color w:val="000000"/>
      <w:sz w:val="24"/>
      <w:szCs w:val="24"/>
    </w:rPr>
  </w:style>
  <w:style w:type="character" w:customStyle="1" w:styleId="Heading5Char">
    <w:name w:val="Heading 5 Char"/>
    <w:basedOn w:val="DefaultParagraphFont"/>
    <w:link w:val="Heading5"/>
    <w:uiPriority w:val="9"/>
    <w:rsid w:val="000E2E7F"/>
    <w:rPr>
      <w:rFonts w:ascii="Arial" w:eastAsiaTheme="majorEastAsia" w:hAnsi="Arial" w:cstheme="majorBidi"/>
      <w:i/>
      <w:color w:val="000000"/>
      <w:sz w:val="28"/>
      <w:szCs w:val="24"/>
    </w:rPr>
  </w:style>
  <w:style w:type="character" w:customStyle="1" w:styleId="Heading6Char">
    <w:name w:val="Heading 6 Char"/>
    <w:basedOn w:val="DefaultParagraphFont"/>
    <w:link w:val="Heading6"/>
    <w:rsid w:val="000E2E7F"/>
    <w:rPr>
      <w:rFonts w:ascii="Arial" w:eastAsiaTheme="majorEastAsia" w:hAnsi="Arial" w:cstheme="majorBidi"/>
      <w:b/>
      <w:color w:val="000000"/>
      <w:sz w:val="24"/>
      <w:szCs w:val="24"/>
    </w:rPr>
  </w:style>
  <w:style w:type="character" w:customStyle="1" w:styleId="Heading7Char">
    <w:name w:val="Heading 7 Char"/>
    <w:basedOn w:val="DefaultParagraphFont"/>
    <w:link w:val="Heading7"/>
    <w:uiPriority w:val="99"/>
    <w:semiHidden/>
    <w:rsid w:val="000E2E7F"/>
    <w:rPr>
      <w:rFonts w:ascii="Arial" w:eastAsiaTheme="majorEastAsia" w:hAnsi="Arial" w:cstheme="majorBidi"/>
      <w:i/>
      <w:iCs/>
      <w:color w:val="1F4D78" w:themeColor="accent1" w:themeShade="7F"/>
      <w:sz w:val="24"/>
      <w:szCs w:val="24"/>
    </w:rPr>
  </w:style>
  <w:style w:type="character" w:customStyle="1" w:styleId="Heading9Char">
    <w:name w:val="Heading 9 Char"/>
    <w:basedOn w:val="DefaultParagraphFont"/>
    <w:link w:val="Heading9"/>
    <w:uiPriority w:val="99"/>
    <w:semiHidden/>
    <w:rsid w:val="000E2E7F"/>
    <w:rPr>
      <w:rFonts w:ascii="Arial" w:eastAsia="Times New Roman" w:hAnsi="Arial" w:cs="Arial"/>
      <w:color w:val="000000"/>
    </w:rPr>
  </w:style>
  <w:style w:type="paragraph" w:styleId="Title">
    <w:name w:val="Title"/>
    <w:basedOn w:val="Normal"/>
    <w:next w:val="Normal"/>
    <w:link w:val="TitleChar"/>
    <w:uiPriority w:val="10"/>
    <w:qFormat/>
    <w:rsid w:val="000E2E7F"/>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E2E7F"/>
    <w:rPr>
      <w:rFonts w:ascii="Arial" w:eastAsiaTheme="majorEastAsia" w:hAnsi="Arial" w:cstheme="majorBidi"/>
      <w:color w:val="000000"/>
      <w:spacing w:val="-10"/>
      <w:kern w:val="28"/>
      <w:sz w:val="56"/>
      <w:szCs w:val="56"/>
    </w:rPr>
  </w:style>
  <w:style w:type="paragraph" w:styleId="NoSpacing">
    <w:name w:val="No Spacing"/>
    <w:uiPriority w:val="1"/>
    <w:qFormat/>
    <w:rsid w:val="000E2E7F"/>
    <w:rPr>
      <w:rFonts w:ascii="Arial" w:hAnsi="Arial"/>
      <w:sz w:val="24"/>
    </w:rPr>
  </w:style>
  <w:style w:type="paragraph" w:styleId="Subtitle">
    <w:name w:val="Subtitle"/>
    <w:basedOn w:val="Normal"/>
    <w:next w:val="Normal"/>
    <w:link w:val="SubtitleChar"/>
    <w:uiPriority w:val="99"/>
    <w:qFormat/>
    <w:rsid w:val="000E2E7F"/>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99"/>
    <w:rsid w:val="000E2E7F"/>
    <w:rPr>
      <w:rFonts w:ascii="Arial" w:eastAsiaTheme="minorEastAsia" w:hAnsi="Arial" w:cs="Arial"/>
      <w:color w:val="5A5A5A" w:themeColor="text1" w:themeTint="A5"/>
      <w:spacing w:val="15"/>
      <w:sz w:val="28"/>
      <w:szCs w:val="24"/>
    </w:rPr>
  </w:style>
  <w:style w:type="paragraph" w:styleId="BalloonText">
    <w:name w:val="Balloon Text"/>
    <w:basedOn w:val="Normal"/>
    <w:link w:val="BalloonTextChar"/>
    <w:uiPriority w:val="99"/>
    <w:semiHidden/>
    <w:unhideWhenUsed/>
    <w:rsid w:val="000E2E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7F"/>
    <w:rPr>
      <w:rFonts w:ascii="Segoe UI" w:eastAsia="Times New Roman" w:hAnsi="Segoe UI" w:cs="Segoe UI"/>
      <w:color w:val="000000"/>
      <w:sz w:val="18"/>
      <w:szCs w:val="18"/>
    </w:rPr>
  </w:style>
  <w:style w:type="character" w:styleId="Hyperlink">
    <w:name w:val="Hyperlink"/>
    <w:basedOn w:val="DefaultParagraphFont"/>
    <w:uiPriority w:val="99"/>
    <w:unhideWhenUsed/>
    <w:rsid w:val="000E2E7F"/>
    <w:rPr>
      <w:color w:val="0000FF"/>
      <w:u w:val="single"/>
    </w:rPr>
  </w:style>
  <w:style w:type="character" w:customStyle="1" w:styleId="HTMLPreformattedChar">
    <w:name w:val="HTML Preformatted Char"/>
    <w:basedOn w:val="DefaultParagraphFont"/>
    <w:link w:val="HTMLPreformatted"/>
    <w:uiPriority w:val="99"/>
    <w:semiHidden/>
    <w:rsid w:val="000E2E7F"/>
    <w:rPr>
      <w:rFonts w:ascii="Courier New" w:eastAsia="Times New Roman" w:hAnsi="Courier New" w:cs="Times New Roman"/>
      <w:sz w:val="20"/>
      <w:szCs w:val="20"/>
      <w:lang w:val="x-none" w:eastAsia="x-none"/>
    </w:rPr>
  </w:style>
  <w:style w:type="paragraph" w:styleId="HTMLPreformatted">
    <w:name w:val="HTML Preformatted"/>
    <w:basedOn w:val="Normal"/>
    <w:link w:val="HTMLPreformattedChar"/>
    <w:uiPriority w:val="99"/>
    <w:semiHidden/>
    <w:unhideWhenUsed/>
    <w:rsid w:val="000E2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0"/>
      <w:szCs w:val="20"/>
      <w:lang w:val="x-none" w:eastAsia="x-none"/>
    </w:rPr>
  </w:style>
  <w:style w:type="character" w:customStyle="1" w:styleId="HTMLPreformattedChar1">
    <w:name w:val="HTML Preformatted Char1"/>
    <w:basedOn w:val="DefaultParagraphFont"/>
    <w:uiPriority w:val="99"/>
    <w:semiHidden/>
    <w:rsid w:val="000E2E7F"/>
    <w:rPr>
      <w:rFonts w:ascii="Consolas" w:eastAsia="Times New Roman" w:hAnsi="Consolas" w:cs="Arial"/>
      <w:color w:val="000000"/>
      <w:sz w:val="20"/>
      <w:szCs w:val="20"/>
    </w:rPr>
  </w:style>
  <w:style w:type="paragraph" w:styleId="NormalWeb">
    <w:name w:val="Normal (Web)"/>
    <w:basedOn w:val="Normal"/>
    <w:uiPriority w:val="99"/>
    <w:semiHidden/>
    <w:unhideWhenUsed/>
    <w:rsid w:val="000E2E7F"/>
    <w:pPr>
      <w:spacing w:before="100" w:beforeAutospacing="1" w:after="100" w:afterAutospacing="1"/>
    </w:pPr>
  </w:style>
  <w:style w:type="paragraph" w:styleId="TOC1">
    <w:name w:val="toc 1"/>
    <w:basedOn w:val="Normal"/>
    <w:next w:val="Normal"/>
    <w:autoRedefine/>
    <w:uiPriority w:val="39"/>
    <w:unhideWhenUsed/>
    <w:rsid w:val="005A1FB2"/>
    <w:pPr>
      <w:numPr>
        <w:numId w:val="50"/>
      </w:numPr>
      <w:tabs>
        <w:tab w:val="right" w:leader="dot" w:pos="9360"/>
      </w:tabs>
      <w:ind w:left="749" w:hanging="274"/>
    </w:pPr>
    <w:rPr>
      <w:b/>
    </w:rPr>
  </w:style>
  <w:style w:type="paragraph" w:styleId="TOC2">
    <w:name w:val="toc 2"/>
    <w:basedOn w:val="Normal"/>
    <w:next w:val="Normal"/>
    <w:autoRedefine/>
    <w:uiPriority w:val="39"/>
    <w:unhideWhenUsed/>
    <w:rsid w:val="007A0613"/>
    <w:pPr>
      <w:tabs>
        <w:tab w:val="left" w:pos="-2340"/>
        <w:tab w:val="right" w:leader="dot" w:pos="9360"/>
      </w:tabs>
      <w:ind w:left="540" w:hanging="540"/>
    </w:pPr>
    <w:rPr>
      <w:rFonts w:eastAsiaTheme="majorEastAsia"/>
      <w:noProof/>
    </w:rPr>
  </w:style>
  <w:style w:type="paragraph" w:styleId="FootnoteText">
    <w:name w:val="footnote text"/>
    <w:basedOn w:val="Normal"/>
    <w:link w:val="FootnoteTextChar"/>
    <w:uiPriority w:val="99"/>
    <w:semiHidden/>
    <w:unhideWhenUsed/>
    <w:rsid w:val="000E2E7F"/>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sid w:val="000E2E7F"/>
    <w:rPr>
      <w:rFonts w:ascii="Times New Roman" w:eastAsia="Calibri" w:hAnsi="Times New Roman" w:cs="Arial"/>
      <w:color w:val="000000"/>
      <w:sz w:val="20"/>
      <w:szCs w:val="20"/>
    </w:rPr>
  </w:style>
  <w:style w:type="paragraph" w:styleId="CommentText">
    <w:name w:val="annotation text"/>
    <w:basedOn w:val="Normal"/>
    <w:link w:val="CommentTextChar"/>
    <w:uiPriority w:val="99"/>
    <w:unhideWhenUsed/>
    <w:rsid w:val="000E2E7F"/>
    <w:rPr>
      <w:rFonts w:eastAsia="Calibri"/>
      <w:sz w:val="20"/>
      <w:szCs w:val="20"/>
    </w:rPr>
  </w:style>
  <w:style w:type="character" w:customStyle="1" w:styleId="CommentTextChar">
    <w:name w:val="Comment Text Char"/>
    <w:basedOn w:val="DefaultParagraphFont"/>
    <w:link w:val="CommentText"/>
    <w:uiPriority w:val="99"/>
    <w:rsid w:val="000E2E7F"/>
    <w:rPr>
      <w:rFonts w:ascii="Arial" w:eastAsia="Calibri" w:hAnsi="Arial" w:cs="Arial"/>
      <w:color w:val="000000"/>
      <w:sz w:val="20"/>
      <w:szCs w:val="20"/>
    </w:rPr>
  </w:style>
  <w:style w:type="paragraph" w:styleId="Header">
    <w:name w:val="header"/>
    <w:basedOn w:val="Normal"/>
    <w:link w:val="HeaderChar"/>
    <w:uiPriority w:val="99"/>
    <w:unhideWhenUsed/>
    <w:rsid w:val="000E2E7F"/>
    <w:pPr>
      <w:tabs>
        <w:tab w:val="center" w:pos="4320"/>
        <w:tab w:val="right" w:pos="8640"/>
      </w:tabs>
    </w:pPr>
  </w:style>
  <w:style w:type="character" w:customStyle="1" w:styleId="HeaderChar">
    <w:name w:val="Header Char"/>
    <w:basedOn w:val="DefaultParagraphFont"/>
    <w:link w:val="Header"/>
    <w:uiPriority w:val="99"/>
    <w:rsid w:val="000E2E7F"/>
    <w:rPr>
      <w:rFonts w:ascii="Arial" w:eastAsia="Times New Roman" w:hAnsi="Arial" w:cs="Arial"/>
      <w:color w:val="000000"/>
      <w:sz w:val="24"/>
      <w:szCs w:val="24"/>
    </w:rPr>
  </w:style>
  <w:style w:type="character" w:customStyle="1" w:styleId="FooterChar">
    <w:name w:val="Footer Char"/>
    <w:basedOn w:val="DefaultParagraphFont"/>
    <w:link w:val="Footer"/>
    <w:uiPriority w:val="99"/>
    <w:rsid w:val="000E2E7F"/>
    <w:rPr>
      <w:rFonts w:ascii="Arial" w:eastAsia="Times New Roman" w:hAnsi="Arial" w:cs="Times New Roman"/>
      <w:sz w:val="24"/>
      <w:szCs w:val="24"/>
    </w:rPr>
  </w:style>
  <w:style w:type="paragraph" w:styleId="Footer">
    <w:name w:val="footer"/>
    <w:basedOn w:val="Normal"/>
    <w:link w:val="FooterChar"/>
    <w:uiPriority w:val="99"/>
    <w:unhideWhenUsed/>
    <w:rsid w:val="000E2E7F"/>
    <w:pPr>
      <w:tabs>
        <w:tab w:val="center" w:pos="4320"/>
        <w:tab w:val="right" w:pos="8640"/>
      </w:tabs>
    </w:pPr>
    <w:rPr>
      <w:rFonts w:cs="Times New Roman"/>
      <w:color w:val="auto"/>
    </w:rPr>
  </w:style>
  <w:style w:type="character" w:customStyle="1" w:styleId="FooterChar1">
    <w:name w:val="Footer Char1"/>
    <w:basedOn w:val="DefaultParagraphFont"/>
    <w:uiPriority w:val="99"/>
    <w:semiHidden/>
    <w:rsid w:val="000E2E7F"/>
    <w:rPr>
      <w:rFonts w:ascii="Arial" w:eastAsia="Times New Roman" w:hAnsi="Arial" w:cs="Arial"/>
      <w:color w:val="000000"/>
      <w:sz w:val="24"/>
      <w:szCs w:val="24"/>
    </w:rPr>
  </w:style>
  <w:style w:type="paragraph" w:styleId="Caption">
    <w:name w:val="caption"/>
    <w:basedOn w:val="Normal"/>
    <w:next w:val="Normal"/>
    <w:uiPriority w:val="99"/>
    <w:unhideWhenUsed/>
    <w:qFormat/>
    <w:rsid w:val="000E2E7F"/>
    <w:pPr>
      <w:spacing w:before="120" w:after="120"/>
      <w:jc w:val="center"/>
    </w:pPr>
    <w:rPr>
      <w:b/>
      <w:bCs/>
      <w:sz w:val="22"/>
    </w:rPr>
  </w:style>
  <w:style w:type="paragraph" w:styleId="ListBullet">
    <w:name w:val="List Bullet"/>
    <w:basedOn w:val="Normal"/>
    <w:uiPriority w:val="99"/>
    <w:semiHidden/>
    <w:unhideWhenUsed/>
    <w:rsid w:val="000E2E7F"/>
    <w:pPr>
      <w:tabs>
        <w:tab w:val="num" w:pos="360"/>
      </w:tabs>
      <w:ind w:left="360" w:hanging="360"/>
      <w:contextualSpacing/>
    </w:pPr>
  </w:style>
  <w:style w:type="paragraph" w:styleId="BodyText">
    <w:name w:val="Body Text"/>
    <w:basedOn w:val="Normal"/>
    <w:link w:val="BodyTextChar"/>
    <w:uiPriority w:val="99"/>
    <w:unhideWhenUsed/>
    <w:rsid w:val="000E2E7F"/>
    <w:pPr>
      <w:spacing w:after="120"/>
    </w:pPr>
    <w:rPr>
      <w:rFonts w:eastAsia="Calibri"/>
    </w:rPr>
  </w:style>
  <w:style w:type="character" w:customStyle="1" w:styleId="BodyTextChar">
    <w:name w:val="Body Text Char"/>
    <w:basedOn w:val="DefaultParagraphFont"/>
    <w:link w:val="BodyText"/>
    <w:uiPriority w:val="99"/>
    <w:rsid w:val="000E2E7F"/>
    <w:rPr>
      <w:rFonts w:ascii="Arial" w:eastAsia="Calibri" w:hAnsi="Arial" w:cs="Arial"/>
      <w:color w:val="000000"/>
      <w:sz w:val="24"/>
      <w:szCs w:val="24"/>
    </w:rPr>
  </w:style>
  <w:style w:type="character" w:customStyle="1" w:styleId="BodyTextIndentChar">
    <w:name w:val="Body Text Indent Char"/>
    <w:basedOn w:val="DefaultParagraphFont"/>
    <w:link w:val="BodyTextIndent"/>
    <w:uiPriority w:val="99"/>
    <w:semiHidden/>
    <w:rsid w:val="000E2E7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0E2E7F"/>
    <w:pPr>
      <w:spacing w:after="120"/>
      <w:ind w:left="360"/>
    </w:pPr>
    <w:rPr>
      <w:rFonts w:ascii="Times New Roman" w:hAnsi="Times New Roman" w:cs="Times New Roman"/>
      <w:color w:val="auto"/>
    </w:rPr>
  </w:style>
  <w:style w:type="character" w:customStyle="1" w:styleId="BodyTextIndentChar1">
    <w:name w:val="Body Text Indent Char1"/>
    <w:basedOn w:val="DefaultParagraphFont"/>
    <w:uiPriority w:val="99"/>
    <w:semiHidden/>
    <w:rsid w:val="000E2E7F"/>
    <w:rPr>
      <w:rFonts w:ascii="Arial" w:eastAsia="Times New Roman" w:hAnsi="Arial" w:cs="Arial"/>
      <w:color w:val="000000"/>
      <w:sz w:val="24"/>
      <w:szCs w:val="24"/>
    </w:rPr>
  </w:style>
  <w:style w:type="paragraph" w:styleId="BodyTextFirstIndent">
    <w:name w:val="Body Text First Indent"/>
    <w:basedOn w:val="BodyText"/>
    <w:link w:val="BodyTextFirstIndentChar"/>
    <w:uiPriority w:val="99"/>
    <w:semiHidden/>
    <w:unhideWhenUsed/>
    <w:rsid w:val="000E2E7F"/>
    <w:pPr>
      <w:ind w:firstLine="21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semiHidden/>
    <w:rsid w:val="000E2E7F"/>
    <w:rPr>
      <w:rFonts w:ascii="Times New Roman" w:eastAsia="Calibri" w:hAnsi="Times New Roman" w:cs="Arial"/>
      <w:color w:val="000000"/>
      <w:sz w:val="20"/>
      <w:szCs w:val="20"/>
    </w:rPr>
  </w:style>
  <w:style w:type="paragraph" w:styleId="BodyText3">
    <w:name w:val="Body Text 3"/>
    <w:basedOn w:val="Normal"/>
    <w:link w:val="BodyText3Char"/>
    <w:uiPriority w:val="99"/>
    <w:semiHidden/>
    <w:unhideWhenUsed/>
    <w:rsid w:val="000E2E7F"/>
    <w:rPr>
      <w:rFonts w:ascii="Bookman Old Style" w:eastAsia="Calibri" w:hAnsi="Bookman Old Style"/>
      <w:b/>
      <w:i/>
      <w:sz w:val="26"/>
      <w:szCs w:val="20"/>
    </w:rPr>
  </w:style>
  <w:style w:type="character" w:customStyle="1" w:styleId="BodyText3Char">
    <w:name w:val="Body Text 3 Char"/>
    <w:basedOn w:val="DefaultParagraphFont"/>
    <w:link w:val="BodyText3"/>
    <w:uiPriority w:val="99"/>
    <w:semiHidden/>
    <w:rsid w:val="000E2E7F"/>
    <w:rPr>
      <w:rFonts w:ascii="Bookman Old Style" w:eastAsia="Calibri" w:hAnsi="Bookman Old Style" w:cs="Arial"/>
      <w:b/>
      <w:i/>
      <w:color w:val="000000"/>
      <w:sz w:val="26"/>
      <w:szCs w:val="20"/>
    </w:rPr>
  </w:style>
  <w:style w:type="character" w:customStyle="1" w:styleId="BodyTextIndent2Char">
    <w:name w:val="Body Text Indent 2 Char"/>
    <w:basedOn w:val="DefaultParagraphFont"/>
    <w:link w:val="BodyTextIndent2"/>
    <w:uiPriority w:val="99"/>
    <w:semiHidden/>
    <w:rsid w:val="000E2E7F"/>
    <w:rPr>
      <w:rFonts w:ascii="Arial" w:eastAsia="Times New Roman" w:hAnsi="Arial" w:cs="Arial"/>
      <w:b/>
      <w:bCs/>
    </w:rPr>
  </w:style>
  <w:style w:type="paragraph" w:styleId="BodyTextIndent2">
    <w:name w:val="Body Text Indent 2"/>
    <w:basedOn w:val="Normal"/>
    <w:link w:val="BodyTextIndent2Char"/>
    <w:uiPriority w:val="99"/>
    <w:semiHidden/>
    <w:unhideWhenUsed/>
    <w:rsid w:val="000E2E7F"/>
    <w:pPr>
      <w:widowControl w:val="0"/>
      <w:autoSpaceDE w:val="0"/>
      <w:autoSpaceDN w:val="0"/>
      <w:adjustRightInd w:val="0"/>
      <w:spacing w:line="288" w:lineRule="atLeast"/>
      <w:ind w:left="600"/>
    </w:pPr>
    <w:rPr>
      <w:b/>
      <w:bCs/>
      <w:color w:val="auto"/>
      <w:sz w:val="22"/>
      <w:szCs w:val="22"/>
    </w:rPr>
  </w:style>
  <w:style w:type="character" w:customStyle="1" w:styleId="BodyTextIndent2Char1">
    <w:name w:val="Body Text Indent 2 Char1"/>
    <w:basedOn w:val="DefaultParagraphFont"/>
    <w:uiPriority w:val="99"/>
    <w:semiHidden/>
    <w:rsid w:val="000E2E7F"/>
    <w:rPr>
      <w:rFonts w:ascii="Arial" w:eastAsia="Times New Roman" w:hAnsi="Arial" w:cs="Arial"/>
      <w:color w:val="000000"/>
      <w:sz w:val="24"/>
      <w:szCs w:val="24"/>
    </w:rPr>
  </w:style>
  <w:style w:type="paragraph" w:styleId="BodyTextIndent3">
    <w:name w:val="Body Text Indent 3"/>
    <w:basedOn w:val="Normal"/>
    <w:link w:val="BodyTextIndent3Char"/>
    <w:uiPriority w:val="99"/>
    <w:semiHidden/>
    <w:unhideWhenUsed/>
    <w:rsid w:val="000E2E7F"/>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semiHidden/>
    <w:rsid w:val="000E2E7F"/>
    <w:rPr>
      <w:rFonts w:ascii="Arial" w:eastAsia="Times New Roman" w:hAnsi="Arial" w:cs="Arial"/>
      <w:color w:val="000000"/>
      <w:sz w:val="16"/>
      <w:szCs w:val="16"/>
      <w:lang w:val="x-none" w:eastAsia="x-none"/>
    </w:rPr>
  </w:style>
  <w:style w:type="paragraph" w:styleId="BlockText">
    <w:name w:val="Block Text"/>
    <w:basedOn w:val="Normal"/>
    <w:uiPriority w:val="99"/>
    <w:semiHidden/>
    <w:unhideWhenUsed/>
    <w:rsid w:val="000E2E7F"/>
    <w:pPr>
      <w:tabs>
        <w:tab w:val="left" w:pos="1800"/>
        <w:tab w:val="left" w:pos="8910"/>
      </w:tabs>
      <w:ind w:left="90" w:right="18"/>
    </w:pPr>
    <w:rPr>
      <w:rFonts w:ascii="Bookman Old Style" w:eastAsia="Calibri" w:hAnsi="Bookman Old Style"/>
      <w:szCs w:val="20"/>
    </w:rPr>
  </w:style>
  <w:style w:type="character" w:customStyle="1" w:styleId="CommentSubjectChar">
    <w:name w:val="Comment Subject Char"/>
    <w:basedOn w:val="CommentTextChar"/>
    <w:link w:val="CommentSubject"/>
    <w:uiPriority w:val="99"/>
    <w:semiHidden/>
    <w:rsid w:val="000E2E7F"/>
    <w:rPr>
      <w:rFonts w:ascii="Arial" w:eastAsia="Calibri" w:hAnsi="Arial"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0E2E7F"/>
    <w:rPr>
      <w:rFonts w:cs="Times New Roman"/>
      <w:b/>
      <w:bCs/>
    </w:rPr>
  </w:style>
  <w:style w:type="character" w:customStyle="1" w:styleId="CommentSubjectChar1">
    <w:name w:val="Comment Subject Char1"/>
    <w:basedOn w:val="CommentTextChar"/>
    <w:uiPriority w:val="99"/>
    <w:semiHidden/>
    <w:rsid w:val="000E2E7F"/>
    <w:rPr>
      <w:rFonts w:ascii="Arial" w:eastAsia="Calibri" w:hAnsi="Arial" w:cs="Arial"/>
      <w:b/>
      <w:bCs/>
      <w:color w:val="000000"/>
      <w:sz w:val="20"/>
      <w:szCs w:val="20"/>
    </w:rPr>
  </w:style>
  <w:style w:type="paragraph" w:styleId="ListParagraph">
    <w:name w:val="List Paragraph"/>
    <w:aliases w:val="Numbered Paragraph"/>
    <w:basedOn w:val="Normal"/>
    <w:uiPriority w:val="34"/>
    <w:qFormat/>
    <w:rsid w:val="000E2E7F"/>
    <w:pPr>
      <w:numPr>
        <w:numId w:val="1"/>
      </w:numPr>
    </w:pPr>
  </w:style>
  <w:style w:type="paragraph" w:customStyle="1" w:styleId="xmsolistparagraph">
    <w:name w:val="x_msolistparagraph"/>
    <w:basedOn w:val="Normal"/>
    <w:uiPriority w:val="99"/>
    <w:rsid w:val="000E2E7F"/>
    <w:pPr>
      <w:spacing w:before="100" w:beforeAutospacing="1" w:after="100" w:afterAutospacing="1"/>
    </w:pPr>
    <w:rPr>
      <w:rFonts w:ascii="Times New Roman" w:hAnsi="Times New Roman"/>
    </w:rPr>
  </w:style>
  <w:style w:type="paragraph" w:customStyle="1" w:styleId="xmsonormal">
    <w:name w:val="x_msonormal"/>
    <w:basedOn w:val="Normal"/>
    <w:uiPriority w:val="99"/>
    <w:rsid w:val="000E2E7F"/>
    <w:pPr>
      <w:spacing w:before="100" w:beforeAutospacing="1" w:after="100" w:afterAutospacing="1"/>
    </w:pPr>
    <w:rPr>
      <w:rFonts w:ascii="Times New Roman" w:hAnsi="Times New Roman"/>
    </w:rPr>
  </w:style>
  <w:style w:type="paragraph" w:customStyle="1" w:styleId="xdefault">
    <w:name w:val="x_default"/>
    <w:basedOn w:val="Normal"/>
    <w:uiPriority w:val="99"/>
    <w:rsid w:val="000E2E7F"/>
    <w:pPr>
      <w:spacing w:before="100" w:beforeAutospacing="1" w:after="100" w:afterAutospacing="1"/>
    </w:pPr>
    <w:rPr>
      <w:rFonts w:ascii="Times New Roman" w:hAnsi="Times New Roman"/>
    </w:rPr>
  </w:style>
  <w:style w:type="paragraph" w:customStyle="1" w:styleId="Default">
    <w:name w:val="Default"/>
    <w:uiPriority w:val="99"/>
    <w:rsid w:val="000E2E7F"/>
    <w:pPr>
      <w:autoSpaceDE w:val="0"/>
      <w:autoSpaceDN w:val="0"/>
      <w:adjustRightInd w:val="0"/>
    </w:pPr>
    <w:rPr>
      <w:rFonts w:ascii="Times New Roman" w:eastAsia="Times New Roman" w:hAnsi="Times New Roman" w:cs="Times New Roman"/>
      <w:color w:val="000000"/>
      <w:sz w:val="24"/>
      <w:szCs w:val="24"/>
    </w:rPr>
  </w:style>
  <w:style w:type="paragraph" w:customStyle="1" w:styleId="Pa12">
    <w:name w:val="Pa1+2"/>
    <w:basedOn w:val="Default"/>
    <w:next w:val="Default"/>
    <w:uiPriority w:val="99"/>
    <w:rsid w:val="000E2E7F"/>
    <w:pPr>
      <w:spacing w:line="231" w:lineRule="atLeast"/>
    </w:pPr>
    <w:rPr>
      <w:rFonts w:ascii="Adobe Garamond Pro Bold" w:hAnsi="Adobe Garamond Pro Bold"/>
      <w:color w:val="auto"/>
    </w:rPr>
  </w:style>
  <w:style w:type="paragraph" w:customStyle="1" w:styleId="FillIn">
    <w:name w:val="Fill In"/>
    <w:basedOn w:val="Normal"/>
    <w:uiPriority w:val="99"/>
    <w:rsid w:val="000E2E7F"/>
    <w:pPr>
      <w:overflowPunct w:val="0"/>
      <w:autoSpaceDE w:val="0"/>
      <w:autoSpaceDN w:val="0"/>
      <w:adjustRightInd w:val="0"/>
      <w:spacing w:line="240" w:lineRule="exact"/>
    </w:pPr>
    <w:rPr>
      <w:rFonts w:ascii="Times New Roman" w:hAnsi="Times New Roman"/>
      <w:sz w:val="20"/>
      <w:szCs w:val="20"/>
    </w:rPr>
  </w:style>
  <w:style w:type="paragraph" w:customStyle="1" w:styleId="Default1">
    <w:name w:val="Default1"/>
    <w:basedOn w:val="Default"/>
    <w:next w:val="Default"/>
    <w:uiPriority w:val="99"/>
    <w:rsid w:val="000E2E7F"/>
    <w:rPr>
      <w:rFonts w:ascii="Arial" w:hAnsi="Arial" w:cs="Arial"/>
      <w:color w:val="auto"/>
    </w:rPr>
  </w:style>
  <w:style w:type="paragraph" w:customStyle="1" w:styleId="xl25">
    <w:name w:val="xl25"/>
    <w:basedOn w:val="Normal"/>
    <w:uiPriority w:val="99"/>
    <w:rsid w:val="000E2E7F"/>
    <w:pPr>
      <w:spacing w:before="100" w:beforeAutospacing="1" w:after="100" w:afterAutospacing="1"/>
    </w:pPr>
    <w:rPr>
      <w:rFonts w:ascii="Arial Unicode MS" w:eastAsia="Arial Unicode MS" w:hAnsi="Arial Unicode MS" w:cs="Arial Unicode MS"/>
      <w:sz w:val="22"/>
      <w:szCs w:val="22"/>
    </w:rPr>
  </w:style>
  <w:style w:type="character" w:customStyle="1" w:styleId="A21">
    <w:name w:val="A2+1"/>
    <w:rsid w:val="000E2E7F"/>
    <w:rPr>
      <w:rFonts w:ascii="Adobe Garamond Pro" w:hAnsi="Adobe Garamond Pro" w:cs="Adobe Garamond Pro" w:hint="default"/>
      <w:color w:val="000000"/>
      <w:sz w:val="13"/>
      <w:szCs w:val="13"/>
    </w:rPr>
  </w:style>
  <w:style w:type="character" w:customStyle="1" w:styleId="A2">
    <w:name w:val="A2"/>
    <w:rsid w:val="000E2E7F"/>
    <w:rPr>
      <w:rFonts w:ascii="Gill Sans MT" w:hAnsi="Gill Sans MT" w:cs="Gill Sans MT" w:hint="default"/>
      <w:color w:val="000000"/>
      <w:sz w:val="22"/>
      <w:szCs w:val="22"/>
    </w:rPr>
  </w:style>
  <w:style w:type="character" w:customStyle="1" w:styleId="68">
    <w:name w:val="6/8"/>
    <w:rsid w:val="000E2E7F"/>
    <w:rPr>
      <w:rFonts w:ascii="Arial" w:hAnsi="Arial" w:cs="Arial" w:hint="default"/>
      <w:b/>
      <w:bCs w:val="0"/>
      <w:caps/>
      <w:strike w:val="0"/>
      <w:dstrike w:val="0"/>
      <w:color w:val="0000FF"/>
      <w:sz w:val="12"/>
      <w:u w:val="none"/>
      <w:effect w:val="none"/>
      <w:vertAlign w:val="baseline"/>
    </w:rPr>
  </w:style>
  <w:style w:type="paragraph" w:styleId="TOCHeading">
    <w:name w:val="TOC Heading"/>
    <w:basedOn w:val="Heading1"/>
    <w:next w:val="Normal"/>
    <w:uiPriority w:val="39"/>
    <w:unhideWhenUsed/>
    <w:qFormat/>
    <w:rsid w:val="000E2E7F"/>
    <w:pPr>
      <w:spacing w:line="259" w:lineRule="auto"/>
      <w:outlineLvl w:val="9"/>
    </w:pPr>
    <w:rPr>
      <w:rFonts w:asciiTheme="majorHAnsi" w:hAnsiTheme="majorHAnsi"/>
      <w:b w:val="0"/>
      <w:color w:val="2E74B5" w:themeColor="accent1" w:themeShade="BF"/>
      <w:sz w:val="32"/>
    </w:rPr>
  </w:style>
  <w:style w:type="paragraph" w:styleId="TOC3">
    <w:name w:val="toc 3"/>
    <w:basedOn w:val="Normal"/>
    <w:next w:val="Normal"/>
    <w:autoRedefine/>
    <w:uiPriority w:val="39"/>
    <w:unhideWhenUsed/>
    <w:rsid w:val="001752A4"/>
    <w:pPr>
      <w:tabs>
        <w:tab w:val="left" w:pos="880"/>
        <w:tab w:val="right" w:leader="dot" w:pos="9350"/>
      </w:tabs>
      <w:spacing w:after="100"/>
      <w:ind w:left="475"/>
    </w:pPr>
    <w:rPr>
      <w:rFonts w:eastAsiaTheme="majorEastAsia"/>
      <w:b/>
      <w:noProof/>
    </w:rPr>
  </w:style>
  <w:style w:type="table" w:styleId="TableGrid">
    <w:name w:val="Table Grid"/>
    <w:basedOn w:val="TableNormal"/>
    <w:uiPriority w:val="59"/>
    <w:rsid w:val="000E2E7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E2E7F"/>
    <w:rPr>
      <w:sz w:val="16"/>
      <w:szCs w:val="16"/>
    </w:rPr>
  </w:style>
  <w:style w:type="paragraph" w:styleId="Revision">
    <w:name w:val="Revision"/>
    <w:hidden/>
    <w:uiPriority w:val="99"/>
    <w:semiHidden/>
    <w:rsid w:val="000E2E7F"/>
    <w:rPr>
      <w:rFonts w:ascii="Arial" w:eastAsia="Times New Roman" w:hAnsi="Arial" w:cs="Times New Roman"/>
      <w:sz w:val="24"/>
      <w:szCs w:val="24"/>
    </w:rPr>
  </w:style>
  <w:style w:type="character" w:styleId="Emphasis">
    <w:name w:val="Emphasis"/>
    <w:uiPriority w:val="20"/>
    <w:qFormat/>
    <w:rsid w:val="000E2E7F"/>
    <w:rPr>
      <w:i/>
      <w:iCs/>
    </w:rPr>
  </w:style>
  <w:style w:type="table" w:styleId="TableGridLight">
    <w:name w:val="Grid Table Light"/>
    <w:basedOn w:val="TableNormal"/>
    <w:uiPriority w:val="40"/>
    <w:rsid w:val="000E2E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0E2E7F"/>
    <w:rPr>
      <w:color w:val="808080"/>
    </w:rPr>
  </w:style>
  <w:style w:type="character" w:styleId="FollowedHyperlink">
    <w:name w:val="FollowedHyperlink"/>
    <w:basedOn w:val="DefaultParagraphFont"/>
    <w:uiPriority w:val="99"/>
    <w:semiHidden/>
    <w:unhideWhenUsed/>
    <w:rsid w:val="00D44D14"/>
    <w:rPr>
      <w:color w:val="954F72" w:themeColor="followedHyperlink"/>
      <w:u w:val="single"/>
    </w:rPr>
  </w:style>
  <w:style w:type="numbering" w:customStyle="1" w:styleId="Style1">
    <w:name w:val="Style1"/>
    <w:rsid w:val="008C720A"/>
    <w:pPr>
      <w:numPr>
        <w:numId w:val="7"/>
      </w:numPr>
    </w:pPr>
  </w:style>
  <w:style w:type="numbering" w:customStyle="1" w:styleId="Style11">
    <w:name w:val="Style11"/>
    <w:rsid w:val="00C05A88"/>
  </w:style>
  <w:style w:type="paragraph" w:styleId="TOC4">
    <w:name w:val="toc 4"/>
    <w:basedOn w:val="Normal"/>
    <w:next w:val="Normal"/>
    <w:autoRedefine/>
    <w:uiPriority w:val="39"/>
    <w:unhideWhenUsed/>
    <w:rsid w:val="005A1FB2"/>
    <w:pPr>
      <w:tabs>
        <w:tab w:val="left" w:pos="1100"/>
        <w:tab w:val="right" w:leader="dot" w:pos="9350"/>
      </w:tabs>
      <w:spacing w:before="0" w:after="0"/>
      <w:ind w:left="1080" w:hanging="360"/>
    </w:pPr>
  </w:style>
  <w:style w:type="table" w:customStyle="1" w:styleId="TableGrid4">
    <w:name w:val="Table Grid4"/>
    <w:basedOn w:val="TableNormal"/>
    <w:next w:val="TableGrid"/>
    <w:rsid w:val="00142749"/>
    <w:pPr>
      <w:spacing w:after="24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42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05536">
      <w:bodyDiv w:val="1"/>
      <w:marLeft w:val="0"/>
      <w:marRight w:val="0"/>
      <w:marTop w:val="0"/>
      <w:marBottom w:val="0"/>
      <w:divBdr>
        <w:top w:val="none" w:sz="0" w:space="0" w:color="auto"/>
        <w:left w:val="none" w:sz="0" w:space="0" w:color="auto"/>
        <w:bottom w:val="none" w:sz="0" w:space="0" w:color="auto"/>
        <w:right w:val="none" w:sz="0" w:space="0" w:color="auto"/>
      </w:divBdr>
    </w:div>
    <w:div w:id="923029088">
      <w:bodyDiv w:val="1"/>
      <w:marLeft w:val="0"/>
      <w:marRight w:val="0"/>
      <w:marTop w:val="0"/>
      <w:marBottom w:val="0"/>
      <w:divBdr>
        <w:top w:val="none" w:sz="0" w:space="0" w:color="auto"/>
        <w:left w:val="none" w:sz="0" w:space="0" w:color="auto"/>
        <w:bottom w:val="none" w:sz="0" w:space="0" w:color="auto"/>
        <w:right w:val="none" w:sz="0" w:space="0" w:color="auto"/>
      </w:divBdr>
      <w:divsChild>
        <w:div w:id="886799307">
          <w:marLeft w:val="0"/>
          <w:marRight w:val="0"/>
          <w:marTop w:val="0"/>
          <w:marBottom w:val="0"/>
          <w:divBdr>
            <w:top w:val="none" w:sz="0" w:space="0" w:color="auto"/>
            <w:left w:val="none" w:sz="0" w:space="0" w:color="auto"/>
            <w:bottom w:val="none" w:sz="0" w:space="0" w:color="auto"/>
            <w:right w:val="none" w:sz="0" w:space="0" w:color="auto"/>
          </w:divBdr>
          <w:divsChild>
            <w:div w:id="1781678980">
              <w:marLeft w:val="0"/>
              <w:marRight w:val="0"/>
              <w:marTop w:val="0"/>
              <w:marBottom w:val="0"/>
              <w:divBdr>
                <w:top w:val="none" w:sz="0" w:space="0" w:color="auto"/>
                <w:left w:val="none" w:sz="0" w:space="0" w:color="auto"/>
                <w:bottom w:val="none" w:sz="0" w:space="0" w:color="auto"/>
                <w:right w:val="none" w:sz="0" w:space="0" w:color="auto"/>
              </w:divBdr>
              <w:divsChild>
                <w:div w:id="281886720">
                  <w:marLeft w:val="0"/>
                  <w:marRight w:val="0"/>
                  <w:marTop w:val="0"/>
                  <w:marBottom w:val="0"/>
                  <w:divBdr>
                    <w:top w:val="none" w:sz="0" w:space="0" w:color="auto"/>
                    <w:left w:val="none" w:sz="0" w:space="0" w:color="auto"/>
                    <w:bottom w:val="none" w:sz="0" w:space="0" w:color="auto"/>
                    <w:right w:val="none" w:sz="0" w:space="0" w:color="auto"/>
                  </w:divBdr>
                  <w:divsChild>
                    <w:div w:id="651105939">
                      <w:marLeft w:val="0"/>
                      <w:marRight w:val="0"/>
                      <w:marTop w:val="0"/>
                      <w:marBottom w:val="0"/>
                      <w:divBdr>
                        <w:top w:val="none" w:sz="0" w:space="0" w:color="auto"/>
                        <w:left w:val="none" w:sz="0" w:space="0" w:color="auto"/>
                        <w:bottom w:val="none" w:sz="0" w:space="0" w:color="auto"/>
                        <w:right w:val="none" w:sz="0" w:space="0" w:color="auto"/>
                      </w:divBdr>
                      <w:divsChild>
                        <w:div w:id="5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149903">
      <w:bodyDiv w:val="1"/>
      <w:marLeft w:val="0"/>
      <w:marRight w:val="0"/>
      <w:marTop w:val="0"/>
      <w:marBottom w:val="0"/>
      <w:divBdr>
        <w:top w:val="none" w:sz="0" w:space="0" w:color="auto"/>
        <w:left w:val="none" w:sz="0" w:space="0" w:color="auto"/>
        <w:bottom w:val="none" w:sz="0" w:space="0" w:color="auto"/>
        <w:right w:val="none" w:sz="0" w:space="0" w:color="auto"/>
      </w:divBdr>
      <w:divsChild>
        <w:div w:id="1057819346">
          <w:marLeft w:val="0"/>
          <w:marRight w:val="0"/>
          <w:marTop w:val="0"/>
          <w:marBottom w:val="0"/>
          <w:divBdr>
            <w:top w:val="none" w:sz="0" w:space="0" w:color="auto"/>
            <w:left w:val="none" w:sz="0" w:space="0" w:color="auto"/>
            <w:bottom w:val="none" w:sz="0" w:space="0" w:color="auto"/>
            <w:right w:val="none" w:sz="0" w:space="0" w:color="auto"/>
          </w:divBdr>
          <w:divsChild>
            <w:div w:id="504366819">
              <w:marLeft w:val="0"/>
              <w:marRight w:val="0"/>
              <w:marTop w:val="0"/>
              <w:marBottom w:val="0"/>
              <w:divBdr>
                <w:top w:val="none" w:sz="0" w:space="0" w:color="auto"/>
                <w:left w:val="none" w:sz="0" w:space="0" w:color="auto"/>
                <w:bottom w:val="none" w:sz="0" w:space="0" w:color="auto"/>
                <w:right w:val="none" w:sz="0" w:space="0" w:color="auto"/>
              </w:divBdr>
              <w:divsChild>
                <w:div w:id="1851336737">
                  <w:marLeft w:val="0"/>
                  <w:marRight w:val="0"/>
                  <w:marTop w:val="0"/>
                  <w:marBottom w:val="0"/>
                  <w:divBdr>
                    <w:top w:val="none" w:sz="0" w:space="0" w:color="auto"/>
                    <w:left w:val="none" w:sz="0" w:space="0" w:color="auto"/>
                    <w:bottom w:val="none" w:sz="0" w:space="0" w:color="auto"/>
                    <w:right w:val="none" w:sz="0" w:space="0" w:color="auto"/>
                  </w:divBdr>
                  <w:divsChild>
                    <w:div w:id="931820692">
                      <w:marLeft w:val="0"/>
                      <w:marRight w:val="0"/>
                      <w:marTop w:val="0"/>
                      <w:marBottom w:val="0"/>
                      <w:divBdr>
                        <w:top w:val="none" w:sz="0" w:space="0" w:color="auto"/>
                        <w:left w:val="none" w:sz="0" w:space="0" w:color="auto"/>
                        <w:bottom w:val="none" w:sz="0" w:space="0" w:color="auto"/>
                        <w:right w:val="none" w:sz="0" w:space="0" w:color="auto"/>
                      </w:divBdr>
                      <w:divsChild>
                        <w:div w:id="9614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517833">
      <w:bodyDiv w:val="1"/>
      <w:marLeft w:val="0"/>
      <w:marRight w:val="0"/>
      <w:marTop w:val="0"/>
      <w:marBottom w:val="0"/>
      <w:divBdr>
        <w:top w:val="none" w:sz="0" w:space="0" w:color="auto"/>
        <w:left w:val="none" w:sz="0" w:space="0" w:color="auto"/>
        <w:bottom w:val="none" w:sz="0" w:space="0" w:color="auto"/>
        <w:right w:val="none" w:sz="0" w:space="0" w:color="auto"/>
      </w:divBdr>
    </w:div>
    <w:div w:id="1499922699">
      <w:bodyDiv w:val="1"/>
      <w:marLeft w:val="0"/>
      <w:marRight w:val="0"/>
      <w:marTop w:val="0"/>
      <w:marBottom w:val="0"/>
      <w:divBdr>
        <w:top w:val="none" w:sz="0" w:space="0" w:color="auto"/>
        <w:left w:val="none" w:sz="0" w:space="0" w:color="auto"/>
        <w:bottom w:val="none" w:sz="0" w:space="0" w:color="auto"/>
        <w:right w:val="none" w:sz="0" w:space="0" w:color="auto"/>
      </w:divBdr>
    </w:div>
    <w:div w:id="1741438206">
      <w:bodyDiv w:val="1"/>
      <w:marLeft w:val="0"/>
      <w:marRight w:val="0"/>
      <w:marTop w:val="0"/>
      <w:marBottom w:val="0"/>
      <w:divBdr>
        <w:top w:val="none" w:sz="0" w:space="0" w:color="auto"/>
        <w:left w:val="none" w:sz="0" w:space="0" w:color="auto"/>
        <w:bottom w:val="none" w:sz="0" w:space="0" w:color="auto"/>
        <w:right w:val="none" w:sz="0" w:space="0" w:color="auto"/>
      </w:divBdr>
    </w:div>
    <w:div w:id="1827472434">
      <w:bodyDiv w:val="1"/>
      <w:marLeft w:val="0"/>
      <w:marRight w:val="0"/>
      <w:marTop w:val="0"/>
      <w:marBottom w:val="0"/>
      <w:divBdr>
        <w:top w:val="none" w:sz="0" w:space="0" w:color="auto"/>
        <w:left w:val="none" w:sz="0" w:space="0" w:color="auto"/>
        <w:bottom w:val="none" w:sz="0" w:space="0" w:color="auto"/>
        <w:right w:val="none" w:sz="0" w:space="0" w:color="auto"/>
      </w:divBdr>
      <w:divsChild>
        <w:div w:id="1373534363">
          <w:marLeft w:val="0"/>
          <w:marRight w:val="0"/>
          <w:marTop w:val="0"/>
          <w:marBottom w:val="0"/>
          <w:divBdr>
            <w:top w:val="none" w:sz="0" w:space="0" w:color="auto"/>
            <w:left w:val="none" w:sz="0" w:space="0" w:color="auto"/>
            <w:bottom w:val="none" w:sz="0" w:space="0" w:color="auto"/>
            <w:right w:val="none" w:sz="0" w:space="0" w:color="auto"/>
          </w:divBdr>
          <w:divsChild>
            <w:div w:id="1798136868">
              <w:marLeft w:val="0"/>
              <w:marRight w:val="0"/>
              <w:marTop w:val="0"/>
              <w:marBottom w:val="0"/>
              <w:divBdr>
                <w:top w:val="none" w:sz="0" w:space="0" w:color="auto"/>
                <w:left w:val="none" w:sz="0" w:space="0" w:color="auto"/>
                <w:bottom w:val="none" w:sz="0" w:space="0" w:color="auto"/>
                <w:right w:val="none" w:sz="0" w:space="0" w:color="auto"/>
              </w:divBdr>
              <w:divsChild>
                <w:div w:id="2123455374">
                  <w:marLeft w:val="0"/>
                  <w:marRight w:val="0"/>
                  <w:marTop w:val="0"/>
                  <w:marBottom w:val="0"/>
                  <w:divBdr>
                    <w:top w:val="none" w:sz="0" w:space="0" w:color="auto"/>
                    <w:left w:val="none" w:sz="0" w:space="0" w:color="auto"/>
                    <w:bottom w:val="none" w:sz="0" w:space="0" w:color="auto"/>
                    <w:right w:val="none" w:sz="0" w:space="0" w:color="auto"/>
                  </w:divBdr>
                  <w:divsChild>
                    <w:div w:id="881867063">
                      <w:marLeft w:val="0"/>
                      <w:marRight w:val="0"/>
                      <w:marTop w:val="0"/>
                      <w:marBottom w:val="0"/>
                      <w:divBdr>
                        <w:top w:val="none" w:sz="0" w:space="0" w:color="auto"/>
                        <w:left w:val="none" w:sz="0" w:space="0" w:color="auto"/>
                        <w:bottom w:val="none" w:sz="0" w:space="0" w:color="auto"/>
                        <w:right w:val="none" w:sz="0" w:space="0" w:color="auto"/>
                      </w:divBdr>
                      <w:divsChild>
                        <w:div w:id="8358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750094">
      <w:bodyDiv w:val="1"/>
      <w:marLeft w:val="0"/>
      <w:marRight w:val="0"/>
      <w:marTop w:val="0"/>
      <w:marBottom w:val="0"/>
      <w:divBdr>
        <w:top w:val="none" w:sz="0" w:space="0" w:color="auto"/>
        <w:left w:val="none" w:sz="0" w:space="0" w:color="auto"/>
        <w:bottom w:val="none" w:sz="0" w:space="0" w:color="auto"/>
        <w:right w:val="none" w:sz="0" w:space="0" w:color="auto"/>
      </w:divBdr>
    </w:div>
    <w:div w:id="1962223243">
      <w:bodyDiv w:val="1"/>
      <w:marLeft w:val="0"/>
      <w:marRight w:val="0"/>
      <w:marTop w:val="0"/>
      <w:marBottom w:val="0"/>
      <w:divBdr>
        <w:top w:val="none" w:sz="0" w:space="0" w:color="auto"/>
        <w:left w:val="none" w:sz="0" w:space="0" w:color="auto"/>
        <w:bottom w:val="none" w:sz="0" w:space="0" w:color="auto"/>
        <w:right w:val="none" w:sz="0" w:space="0" w:color="auto"/>
      </w:divBdr>
    </w:div>
    <w:div w:id="202096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e.ca.gov/ls/he/at/tupefunding.asp" TargetMode="External"/><Relationship Id="rId18" Type="http://schemas.openxmlformats.org/officeDocument/2006/relationships/hyperlink" Target="https://www.cde.ca.gov/fg/fo/r8/cbprfa.asp" TargetMode="External"/><Relationship Id="rId26" Type="http://schemas.openxmlformats.org/officeDocument/2006/relationships/hyperlink" Target="https://www.cde.ca.gov/fg/fo/af/" TargetMode="External"/><Relationship Id="rId3" Type="http://schemas.openxmlformats.org/officeDocument/2006/relationships/styles" Target="styles.xml"/><Relationship Id="rId21" Type="http://schemas.openxmlformats.org/officeDocument/2006/relationships/hyperlink" Target="https://leginfo.legislature.ca.gov/"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de.ca.gov/fg/fo/r8/cbprfa.asp" TargetMode="External"/><Relationship Id="rId25" Type="http://schemas.openxmlformats.org/officeDocument/2006/relationships/hyperlink" Target="mailto:tupe@cde.ca.gov" TargetMode="External"/><Relationship Id="rId2" Type="http://schemas.openxmlformats.org/officeDocument/2006/relationships/numbering" Target="numbering.xml"/><Relationship Id="rId16" Type="http://schemas.openxmlformats.org/officeDocument/2006/relationships/hyperlink" Target="https://www.cde.ca.gov/fg/fo/r8/cbprfa.asp" TargetMode="External"/><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ls/he/at/tupefunding.asp" TargetMode="External"/><Relationship Id="rId24" Type="http://schemas.openxmlformats.org/officeDocument/2006/relationships/hyperlink" Target="https://www.cde.ca.gov/fg/fo/fm/ff.asp" TargetMode="External"/><Relationship Id="rId5" Type="http://schemas.openxmlformats.org/officeDocument/2006/relationships/webSettings" Target="webSettings.xml"/><Relationship Id="rId15" Type="http://schemas.openxmlformats.org/officeDocument/2006/relationships/hyperlink" Target="mailto:tupe@cde.ca.gov" TargetMode="External"/><Relationship Id="rId23" Type="http://schemas.openxmlformats.org/officeDocument/2006/relationships/hyperlink" Target="https://www.cde.ca.gov/fg/fo/fm/ff.asp" TargetMode="External"/><Relationship Id="rId28" Type="http://schemas.openxmlformats.org/officeDocument/2006/relationships/hyperlink" Target="https://www.cde.ca.gov/ls/he/at/tupefunding.asp" TargetMode="External"/><Relationship Id="rId10" Type="http://schemas.openxmlformats.org/officeDocument/2006/relationships/footer" Target="footer2.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e.ca.gov/ls/he/at/tupefunding.asp" TargetMode="External"/><Relationship Id="rId22" Type="http://schemas.openxmlformats.org/officeDocument/2006/relationships/hyperlink" Target="mailto:tupe@cde.ca.gov" TargetMode="External"/><Relationship Id="rId27" Type="http://schemas.openxmlformats.org/officeDocument/2006/relationships/hyperlink" Target="https://www.cde.ca.gov/fg/ac/sa/documents/csam2019complete.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ABEE6-F925-4101-9F99-9D84A97F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4760</TotalTime>
  <Pages>30</Pages>
  <Words>7945</Words>
  <Characters>45293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RFA-19: Tobacco Use Prevention Education (CA Dept of Education)</vt:lpstr>
    </vt:vector>
  </TitlesOfParts>
  <Manager>MParsons@cde.ca.gov</Manager>
  <Company>CA Department of Education</Company>
  <LinksUpToDate>false</LinksUpToDate>
  <CharactersWithSpaces>53132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RFA-19: Tobacco Use Prevention Education (CA Dept of Education)</dc:title>
  <dc:subject>Tobacco Use Prevention Education Program Capacity Building Provider Grant Request for Applications.</dc:subject>
  <dc:creator>Francisco Michel</dc:creator>
  <cp:keywords/>
  <dc:description/>
  <cp:lastModifiedBy>Nicole Pineda</cp:lastModifiedBy>
  <cp:revision>41</cp:revision>
  <cp:lastPrinted>2019-06-26T16:19:00Z</cp:lastPrinted>
  <dcterms:created xsi:type="dcterms:W3CDTF">2019-06-13T19:37:00Z</dcterms:created>
  <dcterms:modified xsi:type="dcterms:W3CDTF">2020-12-03T19:45:00Z</dcterms:modified>
</cp:coreProperties>
</file>