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812F5" w14:textId="65D44FE6" w:rsidR="003553DF" w:rsidRDefault="003553DF" w:rsidP="003553DF">
      <w:pPr>
        <w:tabs>
          <w:tab w:val="right" w:pos="9360"/>
        </w:tabs>
      </w:pPr>
      <w:r>
        <w:t>California Department of Education</w:t>
      </w:r>
      <w:r>
        <w:tab/>
      </w:r>
      <w:r w:rsidR="00707416">
        <w:t>June 2026</w:t>
      </w:r>
    </w:p>
    <w:p w14:paraId="3DAB2E35" w14:textId="5E38801F" w:rsidR="00EF439C" w:rsidRPr="00990DE1" w:rsidRDefault="00547438" w:rsidP="00990DE1">
      <w:pPr>
        <w:pStyle w:val="Heading1"/>
      </w:pPr>
      <w:r w:rsidRPr="00990DE1">
        <w:t>Homeless Education Technical Assistance Center Request for Applications Errata 1</w:t>
      </w:r>
      <w:r w:rsidR="005B5648" w:rsidRPr="00990DE1">
        <w:t>: Prompt 5 Application Narrative and Rubric</w:t>
      </w:r>
    </w:p>
    <w:p w14:paraId="7E280ADB" w14:textId="1B2F1F36" w:rsidR="00547438" w:rsidRPr="008C634B" w:rsidRDefault="00547438" w:rsidP="00A01C62">
      <w:pPr>
        <w:spacing w:before="240" w:after="240"/>
      </w:pPr>
      <w:r w:rsidRPr="008C634B">
        <w:t xml:space="preserve">Homeless Education Technical Assistance Center (HETAC) Request for Applications (RFA) Errata </w:t>
      </w:r>
      <w:r w:rsidR="005B5648">
        <w:t>1</w:t>
      </w:r>
      <w:r w:rsidRPr="008C634B">
        <w:t>.</w:t>
      </w:r>
    </w:p>
    <w:p w14:paraId="5BEE3580" w14:textId="30C5C92C" w:rsidR="00547438" w:rsidRDefault="00547438" w:rsidP="00A01C62">
      <w:pPr>
        <w:spacing w:before="240" w:after="240"/>
      </w:pPr>
      <w:r w:rsidRPr="008C634B">
        <w:t xml:space="preserve">To County </w:t>
      </w:r>
      <w:r w:rsidR="000D7E1C">
        <w:t xml:space="preserve">Offices of Education </w:t>
      </w:r>
      <w:r w:rsidRPr="008C634B">
        <w:t>and Interested Parties:</w:t>
      </w:r>
    </w:p>
    <w:p w14:paraId="5C875E9E" w14:textId="20DA3886" w:rsidR="00547438" w:rsidRDefault="00547438" w:rsidP="008C634B">
      <w:r w:rsidRPr="008C634B">
        <w:t xml:space="preserve">Please use </w:t>
      </w:r>
      <w:r w:rsidR="009B7139">
        <w:t>Errata 1</w:t>
      </w:r>
      <w:r w:rsidRPr="008C634B">
        <w:t xml:space="preserve"> to update your copy of the</w:t>
      </w:r>
      <w:r w:rsidR="00432324" w:rsidRPr="008C634B">
        <w:t xml:space="preserve"> HETAC</w:t>
      </w:r>
      <w:r w:rsidRPr="008C634B">
        <w:t xml:space="preserve"> RFA. </w:t>
      </w:r>
      <w:r w:rsidR="009B7139">
        <w:t>Errata 1</w:t>
      </w:r>
      <w:r w:rsidRPr="008C634B">
        <w:t xml:space="preserve"> hereby revises the HETAC RFA as follows:</w:t>
      </w:r>
    </w:p>
    <w:p w14:paraId="6B483198" w14:textId="5FDDCC55" w:rsidR="00BB0CB0" w:rsidRPr="00C65DB6" w:rsidRDefault="000D7E1C" w:rsidP="00FD64AF">
      <w:pPr>
        <w:pStyle w:val="Heading2"/>
        <w:rPr>
          <w:rStyle w:val="Strong"/>
          <w:b/>
          <w:bCs/>
        </w:rPr>
      </w:pPr>
      <w:r w:rsidRPr="00990DE1">
        <w:t>Application Narrative (</w:t>
      </w:r>
      <w:r w:rsidRPr="00990DE1">
        <w:rPr>
          <w:rStyle w:val="Strong"/>
          <w:b/>
          <w:bCs/>
        </w:rPr>
        <w:t>pages 6</w:t>
      </w:r>
      <w:r w:rsidRPr="00990DE1">
        <w:t>–</w:t>
      </w:r>
      <w:r w:rsidRPr="00990DE1">
        <w:rPr>
          <w:rStyle w:val="Strong"/>
          <w:b/>
          <w:bCs/>
        </w:rPr>
        <w:t>10</w:t>
      </w:r>
      <w:r w:rsidRPr="00990DE1">
        <w:t>)</w:t>
      </w:r>
      <w:r w:rsidR="00FD64AF">
        <w:br/>
      </w:r>
      <w:r w:rsidR="00EF439C" w:rsidRPr="00C65DB6">
        <w:rPr>
          <w:rStyle w:val="Strong"/>
          <w:b/>
          <w:bCs/>
        </w:rPr>
        <w:t>Prompt 5 is added to the Application Narrative on pages 6</w:t>
      </w:r>
      <w:r w:rsidR="00EF439C" w:rsidRPr="00C65DB6">
        <w:t>–</w:t>
      </w:r>
      <w:r w:rsidR="00EF439C" w:rsidRPr="00C65DB6">
        <w:rPr>
          <w:rStyle w:val="Strong"/>
          <w:b/>
          <w:bCs/>
        </w:rPr>
        <w:t>10 and is as follows:</w:t>
      </w:r>
    </w:p>
    <w:p w14:paraId="4730311E" w14:textId="77777777" w:rsidR="001D55AC" w:rsidRPr="00B97B64" w:rsidRDefault="001D55AC" w:rsidP="00B97B64">
      <w:pPr>
        <w:pStyle w:val="Heading3"/>
      </w:pPr>
      <w:r w:rsidRPr="00B97B64">
        <w:t>Prompt 5: Geographic Diversity and Concentration of Homeless Children and Youths and Unaccompanied Youths – 20 Points</w:t>
      </w:r>
    </w:p>
    <w:p w14:paraId="1ED92A76" w14:textId="77777777" w:rsidR="001D55AC" w:rsidRPr="001D55AC" w:rsidRDefault="001D55AC" w:rsidP="00D54AB3">
      <w:pPr>
        <w:spacing w:before="240" w:after="240"/>
      </w:pPr>
      <w:r w:rsidRPr="001D55AC">
        <w:t xml:space="preserve">Pursuant to California </w:t>
      </w:r>
      <w:r w:rsidRPr="001D55AC">
        <w:rPr>
          <w:i/>
          <w:iCs/>
        </w:rPr>
        <w:t>Education Code</w:t>
      </w:r>
      <w:r w:rsidRPr="001D55AC">
        <w:t xml:space="preserve"> Section 48857(a), the California Department of Education (CDE) shall consider the geographic diversity and concentrations of homeless children and youths and unaccompanied youths when selecting a Homeless Education Technical Assistance Center (HETAC).</w:t>
      </w:r>
    </w:p>
    <w:p w14:paraId="0C3EAD30" w14:textId="77777777" w:rsidR="001D55AC" w:rsidRPr="001D55AC" w:rsidRDefault="001D55AC" w:rsidP="00D54AB3">
      <w:pPr>
        <w:spacing w:before="240" w:after="240"/>
      </w:pPr>
      <w:r w:rsidRPr="001D55AC">
        <w:t>Please respond to the following:</w:t>
      </w:r>
    </w:p>
    <w:p w14:paraId="633C24F9" w14:textId="77777777" w:rsidR="008C37C2" w:rsidRPr="008C37C2" w:rsidRDefault="001D55AC" w:rsidP="00A222F4">
      <w:pPr>
        <w:numPr>
          <w:ilvl w:val="0"/>
          <w:numId w:val="2"/>
        </w:numPr>
        <w:spacing w:before="240" w:after="240"/>
      </w:pPr>
      <w:r w:rsidRPr="00D54AB3">
        <w:rPr>
          <w:b/>
          <w:bCs/>
        </w:rPr>
        <w:t>County Context and Geographic Diversity</w:t>
      </w:r>
    </w:p>
    <w:p w14:paraId="5B86C661" w14:textId="237BE63B" w:rsidR="001D55AC" w:rsidRPr="001D55AC" w:rsidRDefault="001D55AC" w:rsidP="008C37C2">
      <w:pPr>
        <w:spacing w:before="240" w:after="240"/>
        <w:ind w:left="720"/>
      </w:pPr>
      <w:r w:rsidRPr="001D55AC">
        <w:t xml:space="preserve">Describe the geographic diversity within your county, including factors such as urban, suburban, rural, agricultural, frontier, tribal, or other regional characteristics, as applicable. Explain how the geographic diversity of your county influences the needs of local educational agencies (LEAs) and homeless children and youths, including unaccompanied youths. </w:t>
      </w:r>
    </w:p>
    <w:p w14:paraId="1EFA3183" w14:textId="77777777" w:rsidR="008C37C2" w:rsidRPr="008C37C2" w:rsidRDefault="001D55AC" w:rsidP="00A222F4">
      <w:pPr>
        <w:numPr>
          <w:ilvl w:val="0"/>
          <w:numId w:val="2"/>
        </w:numPr>
        <w:spacing w:before="240" w:after="240"/>
      </w:pPr>
      <w:r w:rsidRPr="00207335">
        <w:rPr>
          <w:b/>
          <w:bCs/>
        </w:rPr>
        <w:t>Concentration of Homeless Children and Youths</w:t>
      </w:r>
    </w:p>
    <w:p w14:paraId="1850809A" w14:textId="7F4A2D3A" w:rsidR="001D55AC" w:rsidRPr="001D55AC" w:rsidRDefault="001D55AC" w:rsidP="008C37C2">
      <w:pPr>
        <w:spacing w:before="240" w:after="240"/>
        <w:ind w:left="720"/>
      </w:pPr>
      <w:r w:rsidRPr="001D55AC">
        <w:t>Using your county’s 2024–25 county-level DataQuest homeless enrollment and cumulative enrollment data, describe the concentration of homeless children and youths and unaccompanied youths within your county. Discuss how this data shapes the technical assistance needs of LEAs implementing the McKinney-Vento Act and related state requirements.</w:t>
      </w:r>
    </w:p>
    <w:p w14:paraId="70DA7B01" w14:textId="77777777" w:rsidR="008C37C2" w:rsidRPr="008C37C2" w:rsidRDefault="001D55AC" w:rsidP="008C37C2">
      <w:pPr>
        <w:keepNext/>
        <w:keepLines/>
        <w:numPr>
          <w:ilvl w:val="0"/>
          <w:numId w:val="2"/>
        </w:numPr>
        <w:spacing w:before="240" w:after="240"/>
      </w:pPr>
      <w:r w:rsidRPr="001D55AC">
        <w:rPr>
          <w:b/>
          <w:bCs/>
        </w:rPr>
        <w:lastRenderedPageBreak/>
        <w:t>Technical Assistance Approach</w:t>
      </w:r>
    </w:p>
    <w:p w14:paraId="1D80293F" w14:textId="08ADBC05" w:rsidR="001D55AC" w:rsidRDefault="001D55AC" w:rsidP="008C37C2">
      <w:pPr>
        <w:keepNext/>
        <w:keepLines/>
        <w:spacing w:before="240" w:after="240"/>
        <w:ind w:left="720"/>
      </w:pPr>
      <w:r w:rsidRPr="001D55AC">
        <w:t xml:space="preserve">Describe how your county office of education’s experience serving geographically diverse communities and varying concentrations of homeless children and youths prepares your COE to provide technical assistance as a HETAC. </w:t>
      </w:r>
    </w:p>
    <w:p w14:paraId="58BB2815" w14:textId="77777777" w:rsidR="001D55AC" w:rsidRPr="00B97B64" w:rsidRDefault="001D55AC" w:rsidP="00B97B64">
      <w:pPr>
        <w:spacing w:before="240" w:after="240"/>
        <w:rPr>
          <w:b/>
          <w:bCs/>
        </w:rPr>
      </w:pPr>
      <w:r w:rsidRPr="00B97B64">
        <w:rPr>
          <w:b/>
          <w:bCs/>
        </w:rPr>
        <w:t>Required Data Elements:</w:t>
      </w:r>
    </w:p>
    <w:p w14:paraId="1EFD9170" w14:textId="77777777" w:rsidR="001D55AC" w:rsidRPr="001D55AC" w:rsidRDefault="001D55AC" w:rsidP="001D55AC">
      <w:pPr>
        <w:numPr>
          <w:ilvl w:val="0"/>
          <w:numId w:val="3"/>
        </w:numPr>
      </w:pPr>
      <w:r w:rsidRPr="001D55AC">
        <w:t xml:space="preserve">DataQuest 2024–25 Total County Cumulative Enrollment </w:t>
      </w:r>
    </w:p>
    <w:p w14:paraId="00C12712" w14:textId="77777777" w:rsidR="001D55AC" w:rsidRPr="001D55AC" w:rsidRDefault="001D55AC" w:rsidP="001D55AC">
      <w:pPr>
        <w:numPr>
          <w:ilvl w:val="0"/>
          <w:numId w:val="3"/>
        </w:numPr>
      </w:pPr>
      <w:r w:rsidRPr="001D55AC">
        <w:t xml:space="preserve">DataQuest 2024–25 Total County Homeless Student Enrollment </w:t>
      </w:r>
    </w:p>
    <w:p w14:paraId="132EA16D" w14:textId="70CBFF4E" w:rsidR="001D55AC" w:rsidRPr="001D55AC" w:rsidRDefault="001D55AC" w:rsidP="001D55AC">
      <w:pPr>
        <w:numPr>
          <w:ilvl w:val="0"/>
          <w:numId w:val="3"/>
        </w:numPr>
      </w:pPr>
      <w:r w:rsidRPr="001D55AC">
        <w:t>Percentage of Students Identified as Homeless</w:t>
      </w:r>
    </w:p>
    <w:p w14:paraId="24D8FF7A" w14:textId="510E062E" w:rsidR="00EF439C" w:rsidRPr="00FC477C" w:rsidRDefault="000D7E1C" w:rsidP="00B97B64">
      <w:pPr>
        <w:pStyle w:val="Heading2"/>
      </w:pPr>
      <w:r>
        <w:rPr>
          <w:rStyle w:val="Strong"/>
          <w:b/>
          <w:bCs/>
        </w:rPr>
        <w:t xml:space="preserve">Appendix A: Application Rubric </w:t>
      </w:r>
      <w:r w:rsidRPr="000D7E1C">
        <w:t>(</w:t>
      </w:r>
      <w:r w:rsidRPr="008C634B">
        <w:rPr>
          <w:rStyle w:val="Strong"/>
          <w:b/>
          <w:bCs/>
        </w:rPr>
        <w:t xml:space="preserve">pages </w:t>
      </w:r>
      <w:r>
        <w:rPr>
          <w:rStyle w:val="Strong"/>
          <w:b/>
          <w:bCs/>
        </w:rPr>
        <w:t>11</w:t>
      </w:r>
      <w:r w:rsidRPr="008C634B">
        <w:t>–</w:t>
      </w:r>
      <w:r w:rsidRPr="008C634B">
        <w:rPr>
          <w:rStyle w:val="Strong"/>
          <w:b/>
          <w:bCs/>
        </w:rPr>
        <w:t>1</w:t>
      </w:r>
      <w:r>
        <w:rPr>
          <w:rStyle w:val="Strong"/>
          <w:b/>
          <w:bCs/>
        </w:rPr>
        <w:t>6</w:t>
      </w:r>
      <w:r w:rsidRPr="000D7E1C">
        <w:t>)</w:t>
      </w:r>
      <w:r w:rsidR="00B97B64">
        <w:br/>
      </w:r>
      <w:r w:rsidR="00EF439C" w:rsidRPr="00FC477C">
        <w:rPr>
          <w:rStyle w:val="Heading3Char"/>
          <w:b/>
          <w:bCs/>
        </w:rPr>
        <w:t xml:space="preserve">Prompt 5 Rubric is added to </w:t>
      </w:r>
      <w:bookmarkStart w:id="0" w:name="_Toc497482124"/>
      <w:bookmarkStart w:id="1" w:name="_Toc520973967"/>
      <w:bookmarkStart w:id="2" w:name="_Toc214444403"/>
      <w:r w:rsidR="00EF439C" w:rsidRPr="00FC477C">
        <w:rPr>
          <w:rStyle w:val="Heading3Char"/>
          <w:b/>
          <w:bCs/>
        </w:rPr>
        <w:t xml:space="preserve">Appendix A: </w:t>
      </w:r>
      <w:bookmarkEnd w:id="0"/>
      <w:bookmarkEnd w:id="1"/>
      <w:r w:rsidR="00EF439C" w:rsidRPr="00FC477C">
        <w:rPr>
          <w:rStyle w:val="Heading3Char"/>
          <w:b/>
          <w:bCs/>
        </w:rPr>
        <w:t xml:space="preserve">Application </w:t>
      </w:r>
      <w:r w:rsidR="00EF439C" w:rsidRPr="00EF5555">
        <w:rPr>
          <w:rStyle w:val="Heading3Char"/>
          <w:b/>
          <w:bCs/>
        </w:rPr>
        <w:t>Rubric</w:t>
      </w:r>
      <w:bookmarkEnd w:id="2"/>
      <w:r w:rsidR="00EF439C" w:rsidRPr="00FC477C">
        <w:t xml:space="preserve"> on pages 11–16 and is as follows:</w:t>
      </w:r>
    </w:p>
    <w:p w14:paraId="35DDD386" w14:textId="7A2517F2" w:rsidR="001D55AC" w:rsidRPr="00F94C81" w:rsidRDefault="001D55AC" w:rsidP="00B97B64">
      <w:pPr>
        <w:pStyle w:val="Heading3"/>
      </w:pPr>
      <w:r w:rsidRPr="001D55AC">
        <w:t>Prompt 5 Scoring Rubric: Geographic Diversity and Concentration of Homeless Children and Youths and Unaccompanied Youths (20 Points)</w:t>
      </w:r>
    </w:p>
    <w:p w14:paraId="4E0B2423" w14:textId="5669DA05" w:rsidR="001D55AC" w:rsidRPr="00B97B64" w:rsidRDefault="001D55AC" w:rsidP="00B97B64">
      <w:pPr>
        <w:pStyle w:val="Heading4"/>
      </w:pPr>
      <w:r w:rsidRPr="00B97B64">
        <w:t>County Context and Geographic Diversity (6 points)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Description w:val="Evaluation rubric for Prompt 5, County Context and Geographic Diversity. Includes criteria for outstanding, strong, adequate and minimal responses."/>
      </w:tblPr>
      <w:tblGrid>
        <w:gridCol w:w="2435"/>
        <w:gridCol w:w="2307"/>
        <w:gridCol w:w="2307"/>
        <w:gridCol w:w="2305"/>
      </w:tblGrid>
      <w:tr w:rsidR="001D55AC" w:rsidRPr="001D55AC" w14:paraId="7FCD4387" w14:textId="77777777" w:rsidTr="003A2461">
        <w:trPr>
          <w:cantSplit/>
          <w:trHeight w:val="432"/>
          <w:tblHeader/>
        </w:trPr>
        <w:tc>
          <w:tcPr>
            <w:tcW w:w="1302" w:type="pct"/>
            <w:shd w:val="clear" w:color="auto" w:fill="D9D9D9" w:themeFill="background1" w:themeFillShade="D9"/>
            <w:vAlign w:val="center"/>
            <w:hideMark/>
          </w:tcPr>
          <w:p w14:paraId="1C764210" w14:textId="77777777" w:rsidR="001D55AC" w:rsidRPr="001D55AC" w:rsidRDefault="001D55AC" w:rsidP="008C37C2">
            <w:pPr>
              <w:spacing w:before="120" w:after="120"/>
              <w:rPr>
                <w:b/>
              </w:rPr>
            </w:pPr>
            <w:r w:rsidRPr="001D55AC">
              <w:rPr>
                <w:b/>
              </w:rPr>
              <w:t>OUTSTANDING</w:t>
            </w:r>
          </w:p>
        </w:tc>
        <w:tc>
          <w:tcPr>
            <w:tcW w:w="1233" w:type="pct"/>
            <w:shd w:val="clear" w:color="auto" w:fill="D9D9D9" w:themeFill="background1" w:themeFillShade="D9"/>
            <w:vAlign w:val="center"/>
            <w:hideMark/>
          </w:tcPr>
          <w:p w14:paraId="7FD11023" w14:textId="77777777" w:rsidR="001D55AC" w:rsidRPr="001D55AC" w:rsidRDefault="001D55AC" w:rsidP="008C37C2">
            <w:pPr>
              <w:spacing w:before="120" w:after="120"/>
              <w:rPr>
                <w:b/>
              </w:rPr>
            </w:pPr>
            <w:r w:rsidRPr="001D55AC">
              <w:rPr>
                <w:b/>
              </w:rPr>
              <w:t>STRONG</w:t>
            </w:r>
          </w:p>
        </w:tc>
        <w:tc>
          <w:tcPr>
            <w:tcW w:w="1233" w:type="pct"/>
            <w:shd w:val="clear" w:color="auto" w:fill="D9D9D9" w:themeFill="background1" w:themeFillShade="D9"/>
            <w:vAlign w:val="center"/>
            <w:hideMark/>
          </w:tcPr>
          <w:p w14:paraId="126514FD" w14:textId="77777777" w:rsidR="001D55AC" w:rsidRPr="001D55AC" w:rsidRDefault="001D55AC" w:rsidP="008C37C2">
            <w:pPr>
              <w:spacing w:before="120" w:after="120"/>
              <w:rPr>
                <w:b/>
              </w:rPr>
            </w:pPr>
            <w:r w:rsidRPr="001D55AC">
              <w:rPr>
                <w:b/>
              </w:rPr>
              <w:t>ADEQUATE</w:t>
            </w:r>
          </w:p>
        </w:tc>
        <w:tc>
          <w:tcPr>
            <w:tcW w:w="1232" w:type="pct"/>
            <w:shd w:val="clear" w:color="auto" w:fill="D9D9D9" w:themeFill="background1" w:themeFillShade="D9"/>
            <w:vAlign w:val="center"/>
            <w:hideMark/>
          </w:tcPr>
          <w:p w14:paraId="4AE2F491" w14:textId="77777777" w:rsidR="001D55AC" w:rsidRPr="001D55AC" w:rsidRDefault="001D55AC" w:rsidP="008C37C2">
            <w:pPr>
              <w:spacing w:before="120" w:after="120"/>
              <w:rPr>
                <w:b/>
              </w:rPr>
            </w:pPr>
            <w:r w:rsidRPr="001D55AC">
              <w:rPr>
                <w:b/>
              </w:rPr>
              <w:t>MINIMAL</w:t>
            </w:r>
          </w:p>
        </w:tc>
      </w:tr>
      <w:tr w:rsidR="001D55AC" w:rsidRPr="001D55AC" w14:paraId="694EBEDE" w14:textId="77777777" w:rsidTr="00EF5555">
        <w:trPr>
          <w:cantSplit/>
          <w:trHeight w:val="6295"/>
        </w:trPr>
        <w:tc>
          <w:tcPr>
            <w:tcW w:w="1302" w:type="pct"/>
          </w:tcPr>
          <w:p w14:paraId="00A47E9E" w14:textId="7F1481C5" w:rsidR="001D55AC" w:rsidRPr="001D55AC" w:rsidRDefault="001D55AC" w:rsidP="008C37C2">
            <w:pPr>
              <w:spacing w:before="120" w:after="120"/>
            </w:pPr>
            <w:r w:rsidRPr="001D55AC">
              <w:t>Thoroughly and convincingly describes the county’s geographic diversity (e.g., urban, suburban, rural, agricultural, frontier, tribal, regional characteristics, as applicable). The applicant provides a thorough explanation of how geographic diversity impacts the needs of LEAs and homeless children and youths, including unaccompanied youths.</w:t>
            </w:r>
          </w:p>
        </w:tc>
        <w:tc>
          <w:tcPr>
            <w:tcW w:w="1233" w:type="pct"/>
          </w:tcPr>
          <w:p w14:paraId="419A2E84" w14:textId="77777777" w:rsidR="001D55AC" w:rsidRPr="001D55AC" w:rsidRDefault="001D55AC" w:rsidP="008C37C2">
            <w:pPr>
              <w:spacing w:before="120" w:after="120"/>
            </w:pPr>
            <w:r w:rsidRPr="001D55AC">
              <w:t>Provides a strong description of geographic diversity (e.g., urban, suburban, rural, agricultural, frontier, tribal, regional characteristics, as applicable). The applicant provides strong explanation of how geographic diversity impacts the needs of LEAs and homeless children and youths, including unaccompanied youths.</w:t>
            </w:r>
          </w:p>
        </w:tc>
        <w:tc>
          <w:tcPr>
            <w:tcW w:w="1233" w:type="pct"/>
          </w:tcPr>
          <w:p w14:paraId="52F763DB" w14:textId="77777777" w:rsidR="001D55AC" w:rsidRPr="001D55AC" w:rsidRDefault="001D55AC" w:rsidP="008C37C2">
            <w:pPr>
              <w:spacing w:before="120" w:after="120"/>
            </w:pPr>
            <w:r w:rsidRPr="001D55AC">
              <w:t>Provides an adequate description of geographic diversity (e.g., urban, suburban, rural, agricultural, frontier, tribal, regional characteristics, as applicable). The applicant provides an adequate description of how geographic diversity impacts the needs of LEAs and homeless children and youths, including unaccompanied youths.</w:t>
            </w:r>
          </w:p>
        </w:tc>
        <w:tc>
          <w:tcPr>
            <w:tcW w:w="1232" w:type="pct"/>
          </w:tcPr>
          <w:p w14:paraId="77BEAF0F" w14:textId="77777777" w:rsidR="001D55AC" w:rsidRPr="001D55AC" w:rsidRDefault="001D55AC" w:rsidP="008C37C2">
            <w:pPr>
              <w:spacing w:before="120" w:after="120"/>
            </w:pPr>
            <w:r w:rsidRPr="001D55AC">
              <w:t>Minimally describes geographic diversity (e.g., urban, suburban, rural, agricultural, frontier, tribal, regional characteristics, as applicable). The applicant minimally describes how geographic diversity impacts the needs of LEAs and homeless children and youths, including unaccompanied youths.</w:t>
            </w:r>
          </w:p>
        </w:tc>
      </w:tr>
    </w:tbl>
    <w:p w14:paraId="0CD47ACA" w14:textId="1B2B8820" w:rsidR="001D55AC" w:rsidRPr="001D55AC" w:rsidRDefault="001D55AC" w:rsidP="00B97B64">
      <w:pPr>
        <w:pStyle w:val="Heading4"/>
      </w:pPr>
      <w:r w:rsidRPr="001D55AC">
        <w:lastRenderedPageBreak/>
        <w:t>Concentration of Homeless Children and Youths (6 points)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Description w:val="Evaluation rubric for Prompt 5, Concentration of Homeless Children and Youths. Includes criteria for outstanding, strong, adequate and minimal responses."/>
      </w:tblPr>
      <w:tblGrid>
        <w:gridCol w:w="2435"/>
        <w:gridCol w:w="2307"/>
        <w:gridCol w:w="2307"/>
        <w:gridCol w:w="2305"/>
      </w:tblGrid>
      <w:tr w:rsidR="001D55AC" w:rsidRPr="001D55AC" w14:paraId="0BD2E35B" w14:textId="77777777" w:rsidTr="003A2461">
        <w:trPr>
          <w:cantSplit/>
          <w:trHeight w:val="432"/>
          <w:tblHeader/>
        </w:trPr>
        <w:tc>
          <w:tcPr>
            <w:tcW w:w="1302" w:type="pct"/>
            <w:shd w:val="clear" w:color="auto" w:fill="D9D9D9" w:themeFill="background1" w:themeFillShade="D9"/>
            <w:vAlign w:val="center"/>
            <w:hideMark/>
          </w:tcPr>
          <w:p w14:paraId="4E773C3F" w14:textId="77777777" w:rsidR="001D55AC" w:rsidRPr="001D55AC" w:rsidRDefault="001D55AC" w:rsidP="008C37C2">
            <w:pPr>
              <w:spacing w:before="240" w:after="240"/>
              <w:rPr>
                <w:b/>
              </w:rPr>
            </w:pPr>
            <w:r w:rsidRPr="001D55AC">
              <w:rPr>
                <w:b/>
              </w:rPr>
              <w:t>OUTSTANDING</w:t>
            </w:r>
          </w:p>
        </w:tc>
        <w:tc>
          <w:tcPr>
            <w:tcW w:w="1233" w:type="pct"/>
            <w:shd w:val="clear" w:color="auto" w:fill="D9D9D9" w:themeFill="background1" w:themeFillShade="D9"/>
            <w:vAlign w:val="center"/>
            <w:hideMark/>
          </w:tcPr>
          <w:p w14:paraId="4F4F24D0" w14:textId="77777777" w:rsidR="001D55AC" w:rsidRPr="001D55AC" w:rsidRDefault="001D55AC" w:rsidP="008C37C2">
            <w:pPr>
              <w:spacing w:before="240" w:after="240"/>
              <w:rPr>
                <w:b/>
              </w:rPr>
            </w:pPr>
            <w:r w:rsidRPr="001D55AC">
              <w:rPr>
                <w:b/>
              </w:rPr>
              <w:t>STRONG</w:t>
            </w:r>
          </w:p>
        </w:tc>
        <w:tc>
          <w:tcPr>
            <w:tcW w:w="1233" w:type="pct"/>
            <w:shd w:val="clear" w:color="auto" w:fill="D9D9D9" w:themeFill="background1" w:themeFillShade="D9"/>
            <w:vAlign w:val="center"/>
            <w:hideMark/>
          </w:tcPr>
          <w:p w14:paraId="2A4416EE" w14:textId="77777777" w:rsidR="001D55AC" w:rsidRPr="001D55AC" w:rsidRDefault="001D55AC" w:rsidP="008C37C2">
            <w:pPr>
              <w:spacing w:before="240" w:after="240"/>
              <w:rPr>
                <w:b/>
              </w:rPr>
            </w:pPr>
            <w:r w:rsidRPr="001D55AC">
              <w:rPr>
                <w:b/>
              </w:rPr>
              <w:t>ADEQUATE</w:t>
            </w:r>
          </w:p>
        </w:tc>
        <w:tc>
          <w:tcPr>
            <w:tcW w:w="1232" w:type="pct"/>
            <w:shd w:val="clear" w:color="auto" w:fill="D9D9D9" w:themeFill="background1" w:themeFillShade="D9"/>
            <w:vAlign w:val="center"/>
            <w:hideMark/>
          </w:tcPr>
          <w:p w14:paraId="11307A5C" w14:textId="77777777" w:rsidR="001D55AC" w:rsidRPr="001D55AC" w:rsidRDefault="001D55AC" w:rsidP="008C37C2">
            <w:pPr>
              <w:spacing w:before="240" w:after="240"/>
              <w:rPr>
                <w:b/>
              </w:rPr>
            </w:pPr>
            <w:r w:rsidRPr="001D55AC">
              <w:rPr>
                <w:b/>
              </w:rPr>
              <w:t>MINIMAL</w:t>
            </w:r>
          </w:p>
        </w:tc>
      </w:tr>
      <w:tr w:rsidR="001D55AC" w:rsidRPr="001D55AC" w14:paraId="222306E0" w14:textId="77777777" w:rsidTr="00EF5555">
        <w:trPr>
          <w:cantSplit/>
          <w:trHeight w:val="6610"/>
        </w:trPr>
        <w:tc>
          <w:tcPr>
            <w:tcW w:w="1302" w:type="pct"/>
          </w:tcPr>
          <w:p w14:paraId="3468DBEC" w14:textId="77777777" w:rsidR="001D55AC" w:rsidRPr="001D55AC" w:rsidRDefault="001D55AC" w:rsidP="008C37C2">
            <w:pPr>
              <w:spacing w:before="240" w:after="240"/>
            </w:pPr>
            <w:r w:rsidRPr="001D55AC">
              <w:t>Thoroughly describes required DataQuest data elements (total cumulative enrollment, homeless student enrollment, percentage of homeless students) and includes an outstanding analysis of how local homeless enrollment data informs technical assistance needs under the McKinney-Vento Act and related state requirements.</w:t>
            </w:r>
          </w:p>
        </w:tc>
        <w:tc>
          <w:tcPr>
            <w:tcW w:w="1233" w:type="pct"/>
          </w:tcPr>
          <w:p w14:paraId="35C9B99D" w14:textId="77777777" w:rsidR="001D55AC" w:rsidRPr="001D55AC" w:rsidRDefault="001D55AC" w:rsidP="008C37C2">
            <w:pPr>
              <w:spacing w:before="240" w:after="240"/>
            </w:pPr>
            <w:r w:rsidRPr="001D55AC">
              <w:t>Provides a strong description of the required DataQuest data elements (total cumulative enrollment, homeless student enrollment, percentage of homeless students) and includes strong analysis of how local homeless enrollment data informs technical assistance needs under the McKinney-Vento Act and related state requirements.</w:t>
            </w:r>
          </w:p>
        </w:tc>
        <w:tc>
          <w:tcPr>
            <w:tcW w:w="1233" w:type="pct"/>
          </w:tcPr>
          <w:p w14:paraId="16E27D73" w14:textId="77777777" w:rsidR="001D55AC" w:rsidRPr="001D55AC" w:rsidRDefault="001D55AC" w:rsidP="008C37C2">
            <w:pPr>
              <w:spacing w:before="240" w:after="240"/>
            </w:pPr>
            <w:r w:rsidRPr="001D55AC">
              <w:t>Provides an adequate description of the required DataQuest data elements (total cumulative enrollment, homeless student enrollment, percentage of homeless students) and includes an adequate analysis of how local homeless enrollment data informs technical assistance needs under the McKinney-Vento Act and related state requirements.</w:t>
            </w:r>
          </w:p>
        </w:tc>
        <w:tc>
          <w:tcPr>
            <w:tcW w:w="1232" w:type="pct"/>
          </w:tcPr>
          <w:p w14:paraId="09F36E36" w14:textId="77777777" w:rsidR="001D55AC" w:rsidRPr="001D55AC" w:rsidRDefault="001D55AC" w:rsidP="008C37C2">
            <w:pPr>
              <w:spacing w:before="240" w:after="240"/>
            </w:pPr>
            <w:r w:rsidRPr="001D55AC">
              <w:t>Provides a minimal description of the required DataQuest data elements (total cumulative enrollment, homeless student enrollment, percentage of homeless students) and includes a minimal analysis of how local homeless enrollment data informs technical assistance needs under the McKinney-Vento Act and related state requirements.</w:t>
            </w:r>
          </w:p>
          <w:p w14:paraId="5AD7C164" w14:textId="77777777" w:rsidR="001D55AC" w:rsidRPr="001D55AC" w:rsidRDefault="001D55AC" w:rsidP="008C37C2">
            <w:pPr>
              <w:spacing w:before="240" w:after="240"/>
            </w:pPr>
          </w:p>
        </w:tc>
      </w:tr>
    </w:tbl>
    <w:p w14:paraId="3C79BB76" w14:textId="77777777" w:rsidR="00EF5555" w:rsidRDefault="00EF5555">
      <w:pPr>
        <w:spacing w:after="160" w:line="278" w:lineRule="auto"/>
        <w:rPr>
          <w:i/>
          <w:iCs/>
        </w:rPr>
      </w:pPr>
      <w:r>
        <w:rPr>
          <w:i/>
          <w:iCs/>
        </w:rPr>
        <w:br w:type="page"/>
      </w:r>
    </w:p>
    <w:p w14:paraId="12B43966" w14:textId="2E66E55C" w:rsidR="001D55AC" w:rsidRPr="001D55AC" w:rsidRDefault="001D55AC" w:rsidP="00B97B64">
      <w:pPr>
        <w:pStyle w:val="Heading4"/>
      </w:pPr>
      <w:r w:rsidRPr="001D55AC">
        <w:lastRenderedPageBreak/>
        <w:t>Technical Assistance Approach (8 points)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Description w:val="Evaluation rubric for Prompt 5, Technical Assistance Approach. Includes criteria for outstanding, strong, adequate and minimal responses."/>
      </w:tblPr>
      <w:tblGrid>
        <w:gridCol w:w="2435"/>
        <w:gridCol w:w="2307"/>
        <w:gridCol w:w="2307"/>
        <w:gridCol w:w="2305"/>
      </w:tblGrid>
      <w:tr w:rsidR="001D55AC" w:rsidRPr="001D55AC" w14:paraId="5918B1ED" w14:textId="77777777" w:rsidTr="003A2461">
        <w:trPr>
          <w:cantSplit/>
          <w:trHeight w:val="432"/>
          <w:tblHeader/>
        </w:trPr>
        <w:tc>
          <w:tcPr>
            <w:tcW w:w="1302" w:type="pct"/>
            <w:shd w:val="clear" w:color="auto" w:fill="D9D9D9" w:themeFill="background1" w:themeFillShade="D9"/>
            <w:vAlign w:val="center"/>
            <w:hideMark/>
          </w:tcPr>
          <w:p w14:paraId="270AB6DA" w14:textId="77777777" w:rsidR="001D55AC" w:rsidRPr="001D55AC" w:rsidRDefault="001D55AC" w:rsidP="008C37C2">
            <w:pPr>
              <w:spacing w:before="240" w:after="240"/>
              <w:rPr>
                <w:b/>
              </w:rPr>
            </w:pPr>
            <w:r w:rsidRPr="001D55AC">
              <w:rPr>
                <w:b/>
              </w:rPr>
              <w:t>OUTSTANDING</w:t>
            </w:r>
          </w:p>
        </w:tc>
        <w:tc>
          <w:tcPr>
            <w:tcW w:w="1233" w:type="pct"/>
            <w:shd w:val="clear" w:color="auto" w:fill="D9D9D9" w:themeFill="background1" w:themeFillShade="D9"/>
            <w:vAlign w:val="center"/>
            <w:hideMark/>
          </w:tcPr>
          <w:p w14:paraId="611596E5" w14:textId="77777777" w:rsidR="001D55AC" w:rsidRPr="001D55AC" w:rsidRDefault="001D55AC" w:rsidP="008C37C2">
            <w:pPr>
              <w:spacing w:before="240" w:after="240"/>
              <w:rPr>
                <w:b/>
              </w:rPr>
            </w:pPr>
            <w:r w:rsidRPr="001D55AC">
              <w:rPr>
                <w:b/>
              </w:rPr>
              <w:t>STRONG</w:t>
            </w:r>
          </w:p>
        </w:tc>
        <w:tc>
          <w:tcPr>
            <w:tcW w:w="1233" w:type="pct"/>
            <w:shd w:val="clear" w:color="auto" w:fill="D9D9D9" w:themeFill="background1" w:themeFillShade="D9"/>
            <w:vAlign w:val="center"/>
            <w:hideMark/>
          </w:tcPr>
          <w:p w14:paraId="144AB6E5" w14:textId="77777777" w:rsidR="001D55AC" w:rsidRPr="001D55AC" w:rsidRDefault="001D55AC" w:rsidP="008C37C2">
            <w:pPr>
              <w:spacing w:before="240" w:after="240"/>
              <w:rPr>
                <w:b/>
              </w:rPr>
            </w:pPr>
            <w:r w:rsidRPr="001D55AC">
              <w:rPr>
                <w:b/>
              </w:rPr>
              <w:t>ADEQUATE</w:t>
            </w:r>
          </w:p>
        </w:tc>
        <w:tc>
          <w:tcPr>
            <w:tcW w:w="1232" w:type="pct"/>
            <w:shd w:val="clear" w:color="auto" w:fill="D9D9D9" w:themeFill="background1" w:themeFillShade="D9"/>
            <w:vAlign w:val="center"/>
            <w:hideMark/>
          </w:tcPr>
          <w:p w14:paraId="115731A8" w14:textId="77777777" w:rsidR="001D55AC" w:rsidRPr="001D55AC" w:rsidRDefault="001D55AC" w:rsidP="008C37C2">
            <w:pPr>
              <w:spacing w:before="240" w:after="240"/>
              <w:rPr>
                <w:b/>
              </w:rPr>
            </w:pPr>
            <w:r w:rsidRPr="001D55AC">
              <w:rPr>
                <w:b/>
              </w:rPr>
              <w:t>MINIMAL</w:t>
            </w:r>
          </w:p>
        </w:tc>
      </w:tr>
      <w:tr w:rsidR="001D55AC" w:rsidRPr="001D55AC" w14:paraId="188D79D7" w14:textId="77777777" w:rsidTr="00EF5555">
        <w:trPr>
          <w:cantSplit/>
          <w:trHeight w:val="6070"/>
        </w:trPr>
        <w:tc>
          <w:tcPr>
            <w:tcW w:w="1302" w:type="pct"/>
          </w:tcPr>
          <w:p w14:paraId="236EBE45" w14:textId="77777777" w:rsidR="001D55AC" w:rsidRPr="001D55AC" w:rsidRDefault="001D55AC" w:rsidP="008C37C2">
            <w:pPr>
              <w:spacing w:before="240" w:after="240"/>
            </w:pPr>
            <w:r w:rsidRPr="001D55AC">
              <w:t>Thoroughly and comprehensively demonstrates how the COE’s experience serving geographically diverse communities and varying concentrations of homeless children and youths prepares it to provide effective, scalable technical assistance as a HETAC. Includes outstanding examples of clear connection to implementation.</w:t>
            </w:r>
          </w:p>
        </w:tc>
        <w:tc>
          <w:tcPr>
            <w:tcW w:w="1233" w:type="pct"/>
          </w:tcPr>
          <w:p w14:paraId="6A86297E" w14:textId="77777777" w:rsidR="001D55AC" w:rsidRPr="001D55AC" w:rsidRDefault="001D55AC" w:rsidP="008C37C2">
            <w:pPr>
              <w:spacing w:before="240" w:after="240"/>
            </w:pPr>
            <w:r w:rsidRPr="001D55AC">
              <w:t>Provides a strong description of how the COE’s experience serving geographically diverse communities and varying concentrations of homeless children and youths prepares it to provide effective, scalable technical assistance as a HETAC. Includes strong examples of clear connection to implementation.</w:t>
            </w:r>
          </w:p>
        </w:tc>
        <w:tc>
          <w:tcPr>
            <w:tcW w:w="1233" w:type="pct"/>
          </w:tcPr>
          <w:p w14:paraId="37F2AB1A" w14:textId="77777777" w:rsidR="001D55AC" w:rsidRPr="001D55AC" w:rsidRDefault="001D55AC" w:rsidP="008C37C2">
            <w:pPr>
              <w:spacing w:before="240" w:after="240"/>
            </w:pPr>
            <w:r w:rsidRPr="001D55AC">
              <w:t>Provides an adequate description of how the COE’s experience serving geographically diverse communities and varying concentrations of homeless children and youths prepares it to provide effective, scalable technical assistance as a HETAC. Includes adequate examples of clear connection to implementation.</w:t>
            </w:r>
          </w:p>
        </w:tc>
        <w:tc>
          <w:tcPr>
            <w:tcW w:w="1232" w:type="pct"/>
          </w:tcPr>
          <w:p w14:paraId="739AE699" w14:textId="77777777" w:rsidR="001D55AC" w:rsidRPr="001D55AC" w:rsidRDefault="001D55AC" w:rsidP="008C37C2">
            <w:pPr>
              <w:spacing w:before="240" w:after="240"/>
            </w:pPr>
            <w:r w:rsidRPr="001D55AC">
              <w:t xml:space="preserve">Provides a minimal description of how the COE’s experience serving geographically diverse communities and varying concentrations of homeless children and youths prepares it to provide effective, scalable technical assistance as </w:t>
            </w:r>
            <w:proofErr w:type="gramStart"/>
            <w:r w:rsidRPr="001D55AC">
              <w:t>a HETAC</w:t>
            </w:r>
            <w:proofErr w:type="gramEnd"/>
            <w:r w:rsidRPr="001D55AC">
              <w:t>. Includes minimal examples of clear connection to implementation.</w:t>
            </w:r>
          </w:p>
        </w:tc>
      </w:tr>
    </w:tbl>
    <w:p w14:paraId="11C2EEC5" w14:textId="77777777" w:rsidR="001D55AC" w:rsidRPr="001D55AC" w:rsidRDefault="001D55AC" w:rsidP="001D55AC"/>
    <w:sectPr w:rsidR="001D55AC" w:rsidRPr="001D55AC" w:rsidSect="00707416">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514D0" w14:textId="77777777" w:rsidR="00325476" w:rsidRDefault="00325476" w:rsidP="00707416">
      <w:r>
        <w:separator/>
      </w:r>
    </w:p>
  </w:endnote>
  <w:endnote w:type="continuationSeparator" w:id="0">
    <w:p w14:paraId="314CCA3B" w14:textId="77777777" w:rsidR="00325476" w:rsidRDefault="00325476" w:rsidP="00707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47800" w14:textId="5A1FF60A" w:rsidR="00707416" w:rsidRDefault="00707416" w:rsidP="00707416">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D755F" w14:textId="77777777" w:rsidR="00325476" w:rsidRDefault="00325476" w:rsidP="00707416">
      <w:r>
        <w:separator/>
      </w:r>
    </w:p>
  </w:footnote>
  <w:footnote w:type="continuationSeparator" w:id="0">
    <w:p w14:paraId="6AF8F9D9" w14:textId="77777777" w:rsidR="00325476" w:rsidRDefault="00325476" w:rsidP="007074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95AA7"/>
    <w:multiLevelType w:val="multilevel"/>
    <w:tmpl w:val="FF68E5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7545CD9"/>
    <w:multiLevelType w:val="multilevel"/>
    <w:tmpl w:val="562C6E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4748BE"/>
    <w:multiLevelType w:val="hybridMultilevel"/>
    <w:tmpl w:val="BF70C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6963689">
    <w:abstractNumId w:val="2"/>
  </w:num>
  <w:num w:numId="2" w16cid:durableId="20527230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121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MysDAyMTS3MLA0NjdR0lEKTi0uzszPAykwrgUAeC/eSSwAAAA="/>
  </w:docVars>
  <w:rsids>
    <w:rsidRoot w:val="006C70ED"/>
    <w:rsid w:val="00001824"/>
    <w:rsid w:val="00045720"/>
    <w:rsid w:val="000D5B0F"/>
    <w:rsid w:val="000D7E1C"/>
    <w:rsid w:val="0018352F"/>
    <w:rsid w:val="001D55AC"/>
    <w:rsid w:val="00207335"/>
    <w:rsid w:val="00277EA8"/>
    <w:rsid w:val="002A497F"/>
    <w:rsid w:val="002B2598"/>
    <w:rsid w:val="002F529C"/>
    <w:rsid w:val="00325476"/>
    <w:rsid w:val="003553DF"/>
    <w:rsid w:val="003B1D1D"/>
    <w:rsid w:val="00417106"/>
    <w:rsid w:val="00432324"/>
    <w:rsid w:val="00466D51"/>
    <w:rsid w:val="004D6557"/>
    <w:rsid w:val="00547438"/>
    <w:rsid w:val="005652E0"/>
    <w:rsid w:val="005722E5"/>
    <w:rsid w:val="005B5648"/>
    <w:rsid w:val="005D4572"/>
    <w:rsid w:val="005E50DE"/>
    <w:rsid w:val="005F4BC8"/>
    <w:rsid w:val="0061626A"/>
    <w:rsid w:val="006B6C7E"/>
    <w:rsid w:val="006C70ED"/>
    <w:rsid w:val="00707416"/>
    <w:rsid w:val="008A312A"/>
    <w:rsid w:val="008C37C2"/>
    <w:rsid w:val="008C634B"/>
    <w:rsid w:val="00965BA9"/>
    <w:rsid w:val="00990DE1"/>
    <w:rsid w:val="009B7139"/>
    <w:rsid w:val="00A01C62"/>
    <w:rsid w:val="00A209B0"/>
    <w:rsid w:val="00A222F4"/>
    <w:rsid w:val="00B443CA"/>
    <w:rsid w:val="00B52EBA"/>
    <w:rsid w:val="00B97B64"/>
    <w:rsid w:val="00BB0CB0"/>
    <w:rsid w:val="00BB3D6E"/>
    <w:rsid w:val="00BB48FB"/>
    <w:rsid w:val="00C611B3"/>
    <w:rsid w:val="00C65DB6"/>
    <w:rsid w:val="00C76F82"/>
    <w:rsid w:val="00CA14E9"/>
    <w:rsid w:val="00D54AB3"/>
    <w:rsid w:val="00E74105"/>
    <w:rsid w:val="00E95B83"/>
    <w:rsid w:val="00EA2401"/>
    <w:rsid w:val="00EE0CD1"/>
    <w:rsid w:val="00EF439C"/>
    <w:rsid w:val="00EF5555"/>
    <w:rsid w:val="00F94C81"/>
    <w:rsid w:val="00FB713B"/>
    <w:rsid w:val="00FC477C"/>
    <w:rsid w:val="00FD6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E50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34B"/>
    <w:pPr>
      <w:spacing w:after="0" w:line="240" w:lineRule="auto"/>
    </w:pPr>
    <w:rPr>
      <w:rFonts w:ascii="Arial" w:eastAsia="Times New Roman" w:hAnsi="Arial" w:cs="Arial"/>
      <w:color w:val="000000"/>
      <w:kern w:val="0"/>
      <w14:ligatures w14:val="none"/>
    </w:rPr>
  </w:style>
  <w:style w:type="paragraph" w:styleId="Heading1">
    <w:name w:val="heading 1"/>
    <w:basedOn w:val="Normal"/>
    <w:next w:val="Normal"/>
    <w:link w:val="Heading1Char"/>
    <w:uiPriority w:val="9"/>
    <w:qFormat/>
    <w:rsid w:val="00990DE1"/>
    <w:pPr>
      <w:spacing w:before="480" w:after="360"/>
      <w:outlineLvl w:val="0"/>
    </w:pPr>
    <w:rPr>
      <w:b/>
      <w:bCs/>
      <w:sz w:val="32"/>
      <w:szCs w:val="32"/>
    </w:rPr>
  </w:style>
  <w:style w:type="paragraph" w:styleId="Heading2">
    <w:name w:val="heading 2"/>
    <w:basedOn w:val="Heading1"/>
    <w:next w:val="Normal"/>
    <w:link w:val="Heading2Char"/>
    <w:uiPriority w:val="9"/>
    <w:unhideWhenUsed/>
    <w:qFormat/>
    <w:rsid w:val="00990DE1"/>
    <w:pPr>
      <w:spacing w:before="240" w:after="240"/>
      <w:outlineLvl w:val="1"/>
    </w:pPr>
    <w:rPr>
      <w:sz w:val="28"/>
      <w:szCs w:val="28"/>
    </w:rPr>
  </w:style>
  <w:style w:type="paragraph" w:styleId="Heading3">
    <w:name w:val="heading 3"/>
    <w:basedOn w:val="Heading4"/>
    <w:next w:val="Normal"/>
    <w:link w:val="Heading3Char"/>
    <w:uiPriority w:val="9"/>
    <w:unhideWhenUsed/>
    <w:qFormat/>
    <w:rsid w:val="00B97B64"/>
    <w:pPr>
      <w:outlineLvl w:val="2"/>
    </w:pPr>
    <w:rPr>
      <w:b/>
      <w:bCs/>
      <w:i w:val="0"/>
      <w:iCs w:val="0"/>
    </w:rPr>
  </w:style>
  <w:style w:type="paragraph" w:styleId="Heading4">
    <w:name w:val="heading 4"/>
    <w:basedOn w:val="Normal"/>
    <w:next w:val="Normal"/>
    <w:link w:val="Heading4Char"/>
    <w:uiPriority w:val="9"/>
    <w:unhideWhenUsed/>
    <w:qFormat/>
    <w:rsid w:val="00B97B64"/>
    <w:pPr>
      <w:spacing w:before="240" w:after="240"/>
      <w:outlineLvl w:val="3"/>
    </w:pPr>
    <w:rPr>
      <w:i/>
      <w:iCs/>
    </w:rPr>
  </w:style>
  <w:style w:type="paragraph" w:styleId="Heading5">
    <w:name w:val="heading 5"/>
    <w:basedOn w:val="Normal"/>
    <w:next w:val="Normal"/>
    <w:link w:val="Heading5Char"/>
    <w:uiPriority w:val="9"/>
    <w:semiHidden/>
    <w:unhideWhenUsed/>
    <w:qFormat/>
    <w:rsid w:val="006C70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70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0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0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0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DE1"/>
    <w:rPr>
      <w:rFonts w:ascii="Arial" w:eastAsia="Times New Roman" w:hAnsi="Arial" w:cs="Arial"/>
      <w:b/>
      <w:bCs/>
      <w:color w:val="000000"/>
      <w:kern w:val="0"/>
      <w:sz w:val="32"/>
      <w:szCs w:val="32"/>
      <w14:ligatures w14:val="none"/>
    </w:rPr>
  </w:style>
  <w:style w:type="character" w:customStyle="1" w:styleId="Heading2Char">
    <w:name w:val="Heading 2 Char"/>
    <w:basedOn w:val="DefaultParagraphFont"/>
    <w:link w:val="Heading2"/>
    <w:uiPriority w:val="9"/>
    <w:rsid w:val="00990DE1"/>
    <w:rPr>
      <w:rFonts w:ascii="Arial" w:eastAsia="Times New Roman" w:hAnsi="Arial" w:cs="Arial"/>
      <w:b/>
      <w:bCs/>
      <w:color w:val="000000"/>
      <w:kern w:val="0"/>
      <w:sz w:val="28"/>
      <w:szCs w:val="28"/>
      <w14:ligatures w14:val="none"/>
    </w:rPr>
  </w:style>
  <w:style w:type="character" w:customStyle="1" w:styleId="Heading3Char">
    <w:name w:val="Heading 3 Char"/>
    <w:basedOn w:val="DefaultParagraphFont"/>
    <w:link w:val="Heading3"/>
    <w:uiPriority w:val="9"/>
    <w:rsid w:val="00B97B64"/>
    <w:rPr>
      <w:rFonts w:ascii="Arial" w:eastAsia="Times New Roman" w:hAnsi="Arial" w:cs="Arial"/>
      <w:b/>
      <w:bCs/>
      <w:color w:val="000000"/>
      <w:kern w:val="0"/>
      <w14:ligatures w14:val="none"/>
    </w:rPr>
  </w:style>
  <w:style w:type="character" w:customStyle="1" w:styleId="Heading4Char">
    <w:name w:val="Heading 4 Char"/>
    <w:basedOn w:val="DefaultParagraphFont"/>
    <w:link w:val="Heading4"/>
    <w:uiPriority w:val="9"/>
    <w:rsid w:val="00B97B64"/>
    <w:rPr>
      <w:rFonts w:ascii="Arial" w:eastAsia="Times New Roman" w:hAnsi="Arial" w:cs="Arial"/>
      <w:i/>
      <w:iCs/>
      <w:color w:val="000000"/>
      <w:kern w:val="0"/>
      <w14:ligatures w14:val="none"/>
    </w:rPr>
  </w:style>
  <w:style w:type="character" w:customStyle="1" w:styleId="Heading5Char">
    <w:name w:val="Heading 5 Char"/>
    <w:basedOn w:val="DefaultParagraphFont"/>
    <w:link w:val="Heading5"/>
    <w:uiPriority w:val="9"/>
    <w:semiHidden/>
    <w:rsid w:val="006C70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70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0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0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0ED"/>
    <w:rPr>
      <w:rFonts w:eastAsiaTheme="majorEastAsia" w:cstheme="majorBidi"/>
      <w:color w:val="272727" w:themeColor="text1" w:themeTint="D8"/>
    </w:rPr>
  </w:style>
  <w:style w:type="paragraph" w:styleId="Title">
    <w:name w:val="Title"/>
    <w:basedOn w:val="Heading1"/>
    <w:next w:val="Normal"/>
    <w:link w:val="TitleChar"/>
    <w:uiPriority w:val="10"/>
    <w:qFormat/>
    <w:rsid w:val="008C634B"/>
  </w:style>
  <w:style w:type="character" w:customStyle="1" w:styleId="TitleChar">
    <w:name w:val="Title Char"/>
    <w:basedOn w:val="DefaultParagraphFont"/>
    <w:link w:val="Title"/>
    <w:uiPriority w:val="10"/>
    <w:rsid w:val="008C634B"/>
    <w:rPr>
      <w:rFonts w:ascii="Arial" w:eastAsia="Times New Roman" w:hAnsi="Arial" w:cs="Arial"/>
      <w:b/>
      <w:bCs/>
      <w:color w:val="000000"/>
      <w:kern w:val="0"/>
      <w:sz w:val="28"/>
      <w:szCs w:val="28"/>
      <w14:ligatures w14:val="none"/>
    </w:rPr>
  </w:style>
  <w:style w:type="paragraph" w:styleId="Subtitle">
    <w:name w:val="Subtitle"/>
    <w:basedOn w:val="Normal"/>
    <w:next w:val="Normal"/>
    <w:link w:val="SubtitleChar"/>
    <w:uiPriority w:val="11"/>
    <w:qFormat/>
    <w:rsid w:val="006C70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0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70ED"/>
    <w:pPr>
      <w:spacing w:before="160"/>
      <w:jc w:val="center"/>
    </w:pPr>
    <w:rPr>
      <w:i/>
      <w:iCs/>
      <w:color w:val="404040" w:themeColor="text1" w:themeTint="BF"/>
    </w:rPr>
  </w:style>
  <w:style w:type="character" w:customStyle="1" w:styleId="QuoteChar">
    <w:name w:val="Quote Char"/>
    <w:basedOn w:val="DefaultParagraphFont"/>
    <w:link w:val="Quote"/>
    <w:uiPriority w:val="29"/>
    <w:rsid w:val="006C70ED"/>
    <w:rPr>
      <w:i/>
      <w:iCs/>
      <w:color w:val="404040" w:themeColor="text1" w:themeTint="BF"/>
    </w:rPr>
  </w:style>
  <w:style w:type="paragraph" w:styleId="ListParagraph">
    <w:name w:val="List Paragraph"/>
    <w:aliases w:val="Numbered Paragraph"/>
    <w:basedOn w:val="Normal"/>
    <w:link w:val="ListParagraphChar"/>
    <w:uiPriority w:val="34"/>
    <w:qFormat/>
    <w:rsid w:val="006C70ED"/>
    <w:pPr>
      <w:ind w:left="720"/>
      <w:contextualSpacing/>
    </w:pPr>
  </w:style>
  <w:style w:type="character" w:styleId="IntenseEmphasis">
    <w:name w:val="Intense Emphasis"/>
    <w:basedOn w:val="DefaultParagraphFont"/>
    <w:uiPriority w:val="21"/>
    <w:qFormat/>
    <w:rsid w:val="006C70ED"/>
    <w:rPr>
      <w:i/>
      <w:iCs/>
      <w:color w:val="0F4761" w:themeColor="accent1" w:themeShade="BF"/>
    </w:rPr>
  </w:style>
  <w:style w:type="paragraph" w:styleId="IntenseQuote">
    <w:name w:val="Intense Quote"/>
    <w:basedOn w:val="Normal"/>
    <w:next w:val="Normal"/>
    <w:link w:val="IntenseQuoteChar"/>
    <w:uiPriority w:val="30"/>
    <w:qFormat/>
    <w:rsid w:val="006C70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70ED"/>
    <w:rPr>
      <w:i/>
      <w:iCs/>
      <w:color w:val="0F4761" w:themeColor="accent1" w:themeShade="BF"/>
    </w:rPr>
  </w:style>
  <w:style w:type="character" w:styleId="IntenseReference">
    <w:name w:val="Intense Reference"/>
    <w:basedOn w:val="DefaultParagraphFont"/>
    <w:uiPriority w:val="32"/>
    <w:qFormat/>
    <w:rsid w:val="006C70ED"/>
    <w:rPr>
      <w:b/>
      <w:bCs/>
      <w:smallCaps/>
      <w:color w:val="0F4761" w:themeColor="accent1" w:themeShade="BF"/>
      <w:spacing w:val="5"/>
    </w:rPr>
  </w:style>
  <w:style w:type="table" w:customStyle="1" w:styleId="TableGrid1">
    <w:name w:val="Table Grid1"/>
    <w:basedOn w:val="TableNormal"/>
    <w:next w:val="TableGrid"/>
    <w:uiPriority w:val="39"/>
    <w:rsid w:val="006C70E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C7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4743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F439C"/>
    <w:rPr>
      <w:b/>
      <w:bCs/>
    </w:rPr>
  </w:style>
  <w:style w:type="character" w:styleId="Hyperlink">
    <w:name w:val="Hyperlink"/>
    <w:basedOn w:val="DefaultParagraphFont"/>
    <w:uiPriority w:val="99"/>
    <w:unhideWhenUsed/>
    <w:rsid w:val="008C634B"/>
    <w:rPr>
      <w:color w:val="467886" w:themeColor="hyperlink"/>
      <w:u w:val="single"/>
    </w:rPr>
  </w:style>
  <w:style w:type="character" w:styleId="UnresolvedMention">
    <w:name w:val="Unresolved Mention"/>
    <w:basedOn w:val="DefaultParagraphFont"/>
    <w:uiPriority w:val="99"/>
    <w:semiHidden/>
    <w:unhideWhenUsed/>
    <w:rsid w:val="008C634B"/>
    <w:rPr>
      <w:color w:val="605E5C"/>
      <w:shd w:val="clear" w:color="auto" w:fill="E1DFDD"/>
    </w:rPr>
  </w:style>
  <w:style w:type="character" w:customStyle="1" w:styleId="ListParagraphChar">
    <w:name w:val="List Paragraph Char"/>
    <w:aliases w:val="Numbered Paragraph Char"/>
    <w:link w:val="ListParagraph"/>
    <w:uiPriority w:val="34"/>
    <w:locked/>
    <w:rsid w:val="006B6C7E"/>
    <w:rPr>
      <w:rFonts w:ascii="Arial" w:eastAsia="Times New Roman" w:hAnsi="Arial" w:cs="Arial"/>
      <w:color w:val="000000"/>
      <w:kern w:val="0"/>
      <w14:ligatures w14:val="none"/>
    </w:rPr>
  </w:style>
  <w:style w:type="character" w:styleId="CommentReference">
    <w:name w:val="annotation reference"/>
    <w:basedOn w:val="DefaultParagraphFont"/>
    <w:uiPriority w:val="99"/>
    <w:semiHidden/>
    <w:unhideWhenUsed/>
    <w:rsid w:val="002B2598"/>
    <w:rPr>
      <w:sz w:val="16"/>
      <w:szCs w:val="16"/>
    </w:rPr>
  </w:style>
  <w:style w:type="paragraph" w:styleId="CommentText">
    <w:name w:val="annotation text"/>
    <w:basedOn w:val="Normal"/>
    <w:link w:val="CommentTextChar"/>
    <w:uiPriority w:val="99"/>
    <w:unhideWhenUsed/>
    <w:rsid w:val="002B2598"/>
    <w:rPr>
      <w:sz w:val="20"/>
      <w:szCs w:val="20"/>
    </w:rPr>
  </w:style>
  <w:style w:type="character" w:customStyle="1" w:styleId="CommentTextChar">
    <w:name w:val="Comment Text Char"/>
    <w:basedOn w:val="DefaultParagraphFont"/>
    <w:link w:val="CommentText"/>
    <w:uiPriority w:val="99"/>
    <w:rsid w:val="002B2598"/>
    <w:rPr>
      <w:rFonts w:ascii="Arial" w:eastAsia="Times New Roman" w:hAnsi="Arial" w:cs="Arial"/>
      <w:color w:val="00000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B2598"/>
    <w:rPr>
      <w:b/>
      <w:bCs/>
    </w:rPr>
  </w:style>
  <w:style w:type="character" w:customStyle="1" w:styleId="CommentSubjectChar">
    <w:name w:val="Comment Subject Char"/>
    <w:basedOn w:val="CommentTextChar"/>
    <w:link w:val="CommentSubject"/>
    <w:uiPriority w:val="99"/>
    <w:semiHidden/>
    <w:rsid w:val="002B2598"/>
    <w:rPr>
      <w:rFonts w:ascii="Arial" w:eastAsia="Times New Roman" w:hAnsi="Arial" w:cs="Arial"/>
      <w:b/>
      <w:bCs/>
      <w:color w:val="000000"/>
      <w:kern w:val="0"/>
      <w:sz w:val="20"/>
      <w:szCs w:val="20"/>
      <w14:ligatures w14:val="none"/>
    </w:rPr>
  </w:style>
  <w:style w:type="paragraph" w:styleId="Header">
    <w:name w:val="header"/>
    <w:basedOn w:val="Normal"/>
    <w:link w:val="HeaderChar"/>
    <w:uiPriority w:val="99"/>
    <w:unhideWhenUsed/>
    <w:rsid w:val="00707416"/>
    <w:pPr>
      <w:tabs>
        <w:tab w:val="center" w:pos="4680"/>
        <w:tab w:val="right" w:pos="9360"/>
      </w:tabs>
    </w:pPr>
  </w:style>
  <w:style w:type="character" w:customStyle="1" w:styleId="HeaderChar">
    <w:name w:val="Header Char"/>
    <w:basedOn w:val="DefaultParagraphFont"/>
    <w:link w:val="Header"/>
    <w:uiPriority w:val="99"/>
    <w:rsid w:val="00707416"/>
    <w:rPr>
      <w:rFonts w:ascii="Arial" w:eastAsia="Times New Roman" w:hAnsi="Arial" w:cs="Arial"/>
      <w:color w:val="000000"/>
      <w:kern w:val="0"/>
      <w14:ligatures w14:val="none"/>
    </w:rPr>
  </w:style>
  <w:style w:type="paragraph" w:styleId="Footer">
    <w:name w:val="footer"/>
    <w:basedOn w:val="Normal"/>
    <w:link w:val="FooterChar"/>
    <w:uiPriority w:val="99"/>
    <w:unhideWhenUsed/>
    <w:rsid w:val="00707416"/>
    <w:pPr>
      <w:tabs>
        <w:tab w:val="center" w:pos="4680"/>
        <w:tab w:val="right" w:pos="9360"/>
      </w:tabs>
    </w:pPr>
  </w:style>
  <w:style w:type="character" w:customStyle="1" w:styleId="FooterChar">
    <w:name w:val="Footer Char"/>
    <w:basedOn w:val="DefaultParagraphFont"/>
    <w:link w:val="Footer"/>
    <w:uiPriority w:val="99"/>
    <w:rsid w:val="00707416"/>
    <w:rPr>
      <w:rFonts w:ascii="Arial" w:eastAsia="Times New Roman"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Err1-26: Homeless Education (CA Dept of Education)</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Err1-26: Homeless Education (CA Dept of Education)</dc:title>
  <dc:subject>Errata 1 for the 2026 Homeless Education Technical Assistance Center Request for Application.</dc:subject>
  <dc:creator/>
  <cp:keywords/>
  <dc:description/>
  <cp:lastModifiedBy/>
  <cp:revision>1</cp:revision>
  <dcterms:created xsi:type="dcterms:W3CDTF">2026-06-18T16:19:00Z</dcterms:created>
  <dcterms:modified xsi:type="dcterms:W3CDTF">2026-06-18T18:12:00Z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9ae1fd59-9bfa-4ee0-9873-dd7dfa4ae4b6</vt:lpwstr>
  </property>
</Properties>
</file>