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A9B68" w14:textId="00856FCC" w:rsidR="009978A8" w:rsidRPr="00BB3FE0" w:rsidRDefault="009978A8" w:rsidP="00BB3FE0">
      <w:pPr>
        <w:pStyle w:val="Title"/>
      </w:pPr>
      <w:r w:rsidRPr="00BB3FE0">
        <w:t>State of California</w:t>
      </w:r>
    </w:p>
    <w:p w14:paraId="1FD8A320" w14:textId="77777777" w:rsidR="009978A8" w:rsidRPr="00BB3FE0" w:rsidRDefault="009978A8" w:rsidP="00BB3FE0">
      <w:pPr>
        <w:pStyle w:val="Title"/>
      </w:pPr>
      <w:r w:rsidRPr="00BB3FE0">
        <w:t>Health and Human Services Agency</w:t>
      </w:r>
    </w:p>
    <w:p w14:paraId="54F6BAE5" w14:textId="77777777" w:rsidR="009978A8" w:rsidRPr="00BB3FE0" w:rsidRDefault="009978A8" w:rsidP="00BB3FE0">
      <w:pPr>
        <w:pStyle w:val="Title"/>
      </w:pPr>
      <w:r w:rsidRPr="00BB3FE0">
        <w:t>Labor and Workforce Development Agency</w:t>
      </w:r>
    </w:p>
    <w:p w14:paraId="7423C68A" w14:textId="52EDB34C" w:rsidR="009978A8" w:rsidRDefault="009978A8" w:rsidP="00BB3FE0">
      <w:pPr>
        <w:pStyle w:val="Title"/>
      </w:pPr>
      <w:r w:rsidRPr="00BB3FE0">
        <w:t>California Department of Education</w:t>
      </w:r>
      <w:r>
        <w:br w:type="column"/>
      </w:r>
      <w:r w:rsidRPr="009978A8">
        <w:rPr>
          <w:noProof/>
          <w:sz w:val="28"/>
        </w:rPr>
        <w:drawing>
          <wp:inline distT="0" distB="0" distL="0" distR="0" wp14:anchorId="00B3F529" wp14:editId="12D0E30B">
            <wp:extent cx="800100" cy="800100"/>
            <wp:effectExtent l="0" t="0" r="0" b="0"/>
            <wp:docPr id="1" name="Picture 1" descr="stateseal" title="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49440E84" w14:textId="77777777" w:rsidR="009978A8" w:rsidRDefault="009978A8" w:rsidP="00BB3FE0">
      <w:pPr>
        <w:pStyle w:val="Title"/>
        <w:sectPr w:rsidR="009978A8" w:rsidSect="00BB3FE0">
          <w:type w:val="continuous"/>
          <w:pgSz w:w="12240" w:h="15840" w:code="1"/>
          <w:pgMar w:top="1440" w:right="475" w:bottom="360" w:left="475" w:header="576" w:footer="0" w:gutter="0"/>
          <w:cols w:num="2" w:space="0" w:equalWidth="0">
            <w:col w:w="8496" w:space="0"/>
            <w:col w:w="2794"/>
          </w:cols>
          <w:docGrid w:linePitch="360"/>
        </w:sectPr>
      </w:pPr>
    </w:p>
    <w:p w14:paraId="5FC52715" w14:textId="0162E050" w:rsidR="009978A8" w:rsidRPr="00A06424" w:rsidRDefault="009978A8" w:rsidP="00A06424">
      <w:pPr>
        <w:pStyle w:val="Title"/>
        <w:ind w:right="220"/>
        <w:jc w:val="right"/>
        <w:rPr>
          <w:b/>
        </w:rPr>
      </w:pPr>
      <w:r w:rsidRPr="00A06424">
        <w:rPr>
          <w:b/>
        </w:rPr>
        <w:t>GAVIN NEWSOM</w:t>
      </w:r>
    </w:p>
    <w:p w14:paraId="00319B83" w14:textId="49A4FE9B" w:rsidR="00E550FE" w:rsidRPr="00A06424" w:rsidRDefault="009978A8" w:rsidP="00A06424">
      <w:pPr>
        <w:pStyle w:val="Header"/>
        <w:ind w:right="220"/>
        <w:jc w:val="right"/>
        <w:rPr>
          <w:i/>
        </w:rPr>
      </w:pPr>
      <w:r w:rsidRPr="00A06424">
        <w:rPr>
          <w:i/>
        </w:rPr>
        <w:t>Governor</w:t>
      </w:r>
    </w:p>
    <w:p w14:paraId="6A959463" w14:textId="77777777" w:rsidR="009978A8" w:rsidRDefault="009978A8" w:rsidP="00BB3FE0"/>
    <w:p w14:paraId="1F33DF6B" w14:textId="2C7DA0FB" w:rsidR="009978A8" w:rsidRPr="009C4956" w:rsidRDefault="009978A8" w:rsidP="00BB3FE0">
      <w:pPr>
        <w:sectPr w:rsidR="009978A8" w:rsidRPr="009C4956" w:rsidSect="00F05CCE">
          <w:type w:val="continuous"/>
          <w:pgSz w:w="12240" w:h="15840" w:code="1"/>
          <w:pgMar w:top="1440" w:right="475" w:bottom="360" w:left="475" w:header="576" w:footer="0" w:gutter="0"/>
          <w:cols w:space="720"/>
          <w:docGrid w:linePitch="360"/>
        </w:sectPr>
      </w:pPr>
    </w:p>
    <w:p w14:paraId="6ECEE512" w14:textId="149E9581" w:rsidR="003237CF" w:rsidRPr="00BB3FE0" w:rsidRDefault="003237CF" w:rsidP="00BB3FE0">
      <w:pPr>
        <w:pStyle w:val="Heading1"/>
      </w:pPr>
      <w:r w:rsidRPr="00BB3FE0">
        <w:t>COVID-19</w:t>
      </w:r>
      <w:r w:rsidR="009210F8" w:rsidRPr="00BB3FE0">
        <w:t xml:space="preserve"> </w:t>
      </w:r>
      <w:r w:rsidRPr="00BB3FE0">
        <w:t>GUIDANCE</w:t>
      </w:r>
      <w:r w:rsidR="007D7378" w:rsidRPr="00BB3FE0">
        <w:t xml:space="preserve"> </w:t>
      </w:r>
      <w:r w:rsidR="00F223E6" w:rsidRPr="00BB3FE0">
        <w:t xml:space="preserve">FOR </w:t>
      </w:r>
      <w:r w:rsidR="007D7378" w:rsidRPr="00BB3FE0">
        <w:t>CHILD CARE</w:t>
      </w:r>
      <w:r w:rsidR="006F0974" w:rsidRPr="00BB3FE0">
        <w:t xml:space="preserve"> AND STUDENT SUPERVISION</w:t>
      </w:r>
      <w:r w:rsidR="007D7378" w:rsidRPr="00BB3FE0">
        <w:t xml:space="preserve"> IN THE EVENT OF A SCHOOL CLOSURE</w:t>
      </w:r>
    </w:p>
    <w:p w14:paraId="558EBEF0" w14:textId="50751871" w:rsidR="00F223E6" w:rsidRPr="002736C9" w:rsidRDefault="00F223E6" w:rsidP="00BB3FE0">
      <w:pPr>
        <w:pStyle w:val="Header"/>
        <w:jc w:val="center"/>
        <w:rPr>
          <w:b/>
        </w:rPr>
      </w:pPr>
      <w:r w:rsidRPr="002736C9">
        <w:rPr>
          <w:b/>
        </w:rPr>
        <w:t xml:space="preserve">March </w:t>
      </w:r>
      <w:r w:rsidR="007D7378" w:rsidRPr="002736C9">
        <w:rPr>
          <w:b/>
        </w:rPr>
        <w:t>1</w:t>
      </w:r>
      <w:r w:rsidR="009978A8" w:rsidRPr="002736C9">
        <w:rPr>
          <w:b/>
        </w:rPr>
        <w:t>7</w:t>
      </w:r>
      <w:r w:rsidRPr="002736C9">
        <w:rPr>
          <w:b/>
        </w:rPr>
        <w:t>, 2020</w:t>
      </w:r>
    </w:p>
    <w:p w14:paraId="0EA30840" w14:textId="77777777" w:rsidR="002736C9" w:rsidRPr="002736C9" w:rsidRDefault="002736C9" w:rsidP="002736C9">
      <w:pPr>
        <w:widowControl/>
        <w:kinsoku/>
        <w:autoSpaceDE/>
        <w:autoSpaceDN/>
        <w:spacing w:before="480" w:after="240" w:line="259" w:lineRule="auto"/>
        <w:jc w:val="left"/>
        <w:rPr>
          <w:rFonts w:eastAsia="MS Mincho" w:cs="Times New Roman"/>
        </w:rPr>
      </w:pPr>
      <w:r w:rsidRPr="002736C9">
        <w:rPr>
          <w:rFonts w:eastAsia="MS Mincho" w:cs="Times New Roman"/>
        </w:rPr>
        <w:t>On March 4th, 2020, Governor Gavin Newsom proclaimed a State of Emergency to exist in the State of California as a result of COVID-19.  On March 13th, 2020, pursuant to Executive Order N-26-20 (</w:t>
      </w:r>
      <w:hyperlink r:id="rId12" w:tooltip="Executive Order N-26-20" w:history="1">
        <w:r w:rsidRPr="002736C9">
          <w:rPr>
            <w:rFonts w:eastAsia="MS Mincho" w:cs="Times New Roman"/>
            <w:color w:val="0000FF"/>
            <w:u w:val="single"/>
          </w:rPr>
          <w:t>https://www.gov.ca.gov/wp-content/uploads/2020/03/3.13.20-EO-N-26-20-Schools.pdf</w:t>
        </w:r>
      </w:hyperlink>
      <w:r w:rsidRPr="002736C9">
        <w:rPr>
          <w:rFonts w:eastAsia="MS Mincho" w:cs="Times New Roman"/>
        </w:rPr>
        <w:t xml:space="preserve">) the governor directed the Labor and Workforce Development Agency and the California Health and Human Services Agency to jointly develop and issue guidance covering how to support parents to care for their children during ordinary school hours in the event of a school closure. </w:t>
      </w:r>
    </w:p>
    <w:p w14:paraId="1F8025B1" w14:textId="77777777" w:rsidR="002736C9" w:rsidRPr="002736C9" w:rsidRDefault="002736C9" w:rsidP="002736C9">
      <w:pPr>
        <w:widowControl/>
        <w:kinsoku/>
        <w:autoSpaceDE/>
        <w:autoSpaceDN/>
        <w:spacing w:after="240" w:line="259" w:lineRule="auto"/>
        <w:jc w:val="left"/>
        <w:rPr>
          <w:rFonts w:eastAsia="MS Mincho" w:cs="Times New Roman"/>
        </w:rPr>
      </w:pPr>
      <w:bookmarkStart w:id="0" w:name="_GoBack"/>
      <w:r w:rsidRPr="002736C9">
        <w:rPr>
          <w:rFonts w:eastAsia="MS Mincho" w:cs="Times New Roman"/>
        </w:rPr>
        <w:t>This document is intended to be statewide guidance to help both individuals and caregivers inform their decision making as school closures due to COVID become more prevalent.</w:t>
      </w:r>
      <w:bookmarkEnd w:id="0"/>
      <w:r w:rsidRPr="002736C9">
        <w:rPr>
          <w:rFonts w:eastAsia="MS Mincho" w:cs="Times New Roman"/>
        </w:rPr>
        <w:t xml:space="preserve"> </w:t>
      </w:r>
    </w:p>
    <w:p w14:paraId="1232B1BF" w14:textId="77777777" w:rsidR="002736C9" w:rsidRPr="002736C9" w:rsidRDefault="002736C9" w:rsidP="002736C9">
      <w:pPr>
        <w:widowControl/>
        <w:kinsoku/>
        <w:autoSpaceDE/>
        <w:autoSpaceDN/>
        <w:spacing w:before="480" w:after="240" w:line="259" w:lineRule="auto"/>
        <w:jc w:val="left"/>
        <w:rPr>
          <w:rFonts w:eastAsia="MS Mincho" w:cs="Times New Roman"/>
        </w:rPr>
      </w:pPr>
      <w:r w:rsidRPr="002736C9">
        <w:rPr>
          <w:rFonts w:eastAsia="MS Mincho" w:cs="Times New Roman"/>
        </w:rPr>
        <w:t>COVID-19</w:t>
      </w:r>
    </w:p>
    <w:p w14:paraId="3DD9B9F0"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The complete clinical picture with regard to COVID-19 is not fully understood. Reported illnesses have ranged from mild to severe, including illness resulting in death. Older people and people with certain underlying health conditions like heart disease, lung disease and diabetes, for example, seem to be at greater risk of serious illness.</w:t>
      </w:r>
    </w:p>
    <w:p w14:paraId="64BF05F3"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The risk of exposure to COVID-19 is increasing over time. The State of California is acting quickly to protect public health and safety as we respond to COVID-19. We aim to provide the public with the most up-to-date information as it becomes available.</w:t>
      </w:r>
    </w:p>
    <w:p w14:paraId="0F542C59"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The best way Californians can protect themselves is by taking common-sense precautionary measures: wash your hands often with soap and water, avoid touching your face, cover your cough or sneeze with a tissue or your elbow, avoid contact with people who are sick and stay home if you get sick. Please note that there have been reports of persons being stigmatized. We urge child care and preschool settings to ensure families’ and staffs’ privacy to help prevent discrimination.</w:t>
      </w:r>
    </w:p>
    <w:p w14:paraId="2B36097B" w14:textId="77777777" w:rsidR="002736C9" w:rsidRPr="002736C9" w:rsidRDefault="002736C9" w:rsidP="002736C9">
      <w:pPr>
        <w:widowControl/>
        <w:kinsoku/>
        <w:autoSpaceDE/>
        <w:autoSpaceDN/>
        <w:spacing w:before="480" w:after="240" w:line="259" w:lineRule="auto"/>
        <w:jc w:val="left"/>
        <w:rPr>
          <w:rFonts w:eastAsia="MS Mincho" w:cs="Times New Roman"/>
        </w:rPr>
      </w:pPr>
      <w:r w:rsidRPr="002736C9">
        <w:rPr>
          <w:rFonts w:eastAsia="MS Mincho" w:cs="Times New Roman"/>
        </w:rPr>
        <w:lastRenderedPageBreak/>
        <w:t>STUDENT SUPERVISION IN THE EVENT OF A SCHOOL CLOSURE</w:t>
      </w:r>
    </w:p>
    <w:p w14:paraId="53168189" w14:textId="77777777" w:rsidR="002736C9" w:rsidRPr="002736C9" w:rsidRDefault="002736C9" w:rsidP="002736C9">
      <w:pPr>
        <w:widowControl/>
        <w:kinsoku/>
        <w:autoSpaceDE/>
        <w:autoSpaceDN/>
        <w:spacing w:before="240" w:after="240" w:line="259" w:lineRule="auto"/>
        <w:jc w:val="left"/>
        <w:rPr>
          <w:rFonts w:eastAsia="MS Mincho" w:cs="Times New Roman"/>
        </w:rPr>
      </w:pPr>
      <w:r w:rsidRPr="002736C9">
        <w:rPr>
          <w:rFonts w:eastAsia="MS Mincho" w:cs="Times New Roman"/>
        </w:rPr>
        <w:t>FOR FAMILIES</w:t>
      </w:r>
    </w:p>
    <w:p w14:paraId="2174340C"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Executive Order N-26-20 also provides that LEAs receiving funding during a physical closure due to COVID-19 should, to the extent practicable, arrange for supervision for students during ordinary school hours. As such, the CDE has issued the following guidance for parents whose current childcare facility is closed:</w:t>
      </w:r>
    </w:p>
    <w:p w14:paraId="01FD6A95" w14:textId="77777777" w:rsidR="002736C9" w:rsidRPr="002736C9" w:rsidRDefault="002736C9" w:rsidP="002736C9">
      <w:pPr>
        <w:widowControl/>
        <w:numPr>
          <w:ilvl w:val="0"/>
          <w:numId w:val="44"/>
        </w:numPr>
        <w:kinsoku/>
        <w:autoSpaceDE/>
        <w:autoSpaceDN/>
        <w:spacing w:after="240" w:line="259" w:lineRule="auto"/>
        <w:jc w:val="left"/>
        <w:rPr>
          <w:rFonts w:eastAsia="MS Mincho" w:cs="Times New Roman"/>
        </w:rPr>
      </w:pPr>
      <w:r w:rsidRPr="002736C9">
        <w:rPr>
          <w:rFonts w:eastAsia="MS Mincho" w:cs="Times New Roman" w:hint="eastAsia"/>
        </w:rPr>
        <w:t>Contact the administrative office of your child care program to learn whether the program has a list of pop-up programs in your local area.</w:t>
      </w:r>
    </w:p>
    <w:p w14:paraId="71EE8EC6" w14:textId="77777777" w:rsidR="002736C9" w:rsidRPr="002736C9" w:rsidRDefault="002736C9" w:rsidP="002736C9">
      <w:pPr>
        <w:widowControl/>
        <w:numPr>
          <w:ilvl w:val="0"/>
          <w:numId w:val="44"/>
        </w:numPr>
        <w:kinsoku/>
        <w:autoSpaceDE/>
        <w:autoSpaceDN/>
        <w:spacing w:after="240" w:line="259" w:lineRule="auto"/>
        <w:jc w:val="left"/>
        <w:rPr>
          <w:rFonts w:eastAsia="MS Mincho" w:cs="Times New Roman"/>
        </w:rPr>
      </w:pPr>
      <w:r w:rsidRPr="002736C9">
        <w:rPr>
          <w:rFonts w:eastAsia="MS Mincho" w:cs="Times New Roman" w:hint="eastAsia"/>
        </w:rPr>
        <w:t xml:space="preserve">Contact the resource and referral (R&amp;R) statewide consumer education hotline at 1-800-KIDS-793 or go to the website at </w:t>
      </w:r>
      <w:hyperlink r:id="rId13" w:tooltip="R&amp;R statewide consumer education" w:history="1">
        <w:r w:rsidRPr="002736C9">
          <w:rPr>
            <w:rFonts w:eastAsia="MS Mincho" w:cs="Times New Roman" w:hint="eastAsia"/>
            <w:color w:val="0000FF"/>
            <w:u w:val="single"/>
          </w:rPr>
          <w:t>https://rrnetwork.org/</w:t>
        </w:r>
      </w:hyperlink>
      <w:r w:rsidRPr="002736C9">
        <w:rPr>
          <w:rFonts w:eastAsia="MS Mincho" w:cs="Times New Roman" w:hint="eastAsia"/>
        </w:rPr>
        <w:t xml:space="preserve"> and </w:t>
      </w:r>
      <w:hyperlink r:id="rId14" w:tooltip="Child care R&amp;R" w:history="1">
        <w:r w:rsidRPr="002736C9">
          <w:rPr>
            <w:rFonts w:eastAsia="MS Mincho" w:cs="Times New Roman" w:hint="eastAsia"/>
            <w:color w:val="0000FF"/>
            <w:u w:val="single"/>
          </w:rPr>
          <w:t>https://rrnetwork.org/family-services/find-child-care</w:t>
        </w:r>
      </w:hyperlink>
      <w:r w:rsidRPr="002736C9">
        <w:rPr>
          <w:rFonts w:eastAsia="MS Mincho" w:cs="Times New Roman" w:hint="eastAsia"/>
        </w:rPr>
        <w:t xml:space="preserve"> for child care referrals.</w:t>
      </w:r>
    </w:p>
    <w:p w14:paraId="67E8280F" w14:textId="77777777" w:rsidR="002736C9" w:rsidRPr="002736C9" w:rsidRDefault="002736C9" w:rsidP="002736C9">
      <w:pPr>
        <w:widowControl/>
        <w:numPr>
          <w:ilvl w:val="0"/>
          <w:numId w:val="44"/>
        </w:numPr>
        <w:kinsoku/>
        <w:autoSpaceDE/>
        <w:autoSpaceDN/>
        <w:spacing w:after="240" w:line="259" w:lineRule="auto"/>
        <w:jc w:val="left"/>
        <w:rPr>
          <w:rFonts w:eastAsia="MS Mincho" w:cs="Times New Roman"/>
        </w:rPr>
      </w:pPr>
      <w:r w:rsidRPr="002736C9">
        <w:rPr>
          <w:rFonts w:eastAsia="MS Mincho" w:cs="Times New Roman" w:hint="eastAsia"/>
        </w:rPr>
        <w:t>Contact your Regional Community Care Licensing (CCL) office, which may have a list of facilities and/or providers that can serve children at this time.</w:t>
      </w:r>
    </w:p>
    <w:p w14:paraId="5055A808"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 xml:space="preserve">A listing of offices can be found at </w:t>
      </w:r>
      <w:hyperlink r:id="rId15" w:tooltip="CDSS Office listing" w:history="1">
        <w:r w:rsidRPr="002736C9">
          <w:rPr>
            <w:rFonts w:eastAsia="MS Mincho" w:cs="Times New Roman"/>
            <w:color w:val="0000FF"/>
            <w:u w:val="single"/>
          </w:rPr>
          <w:t>https://www.cdss.ca.gov/Portals/9/CCLD/Community%20Care%20Licensing%20Division%20Child%20Care%20Offices.pdf</w:t>
        </w:r>
      </w:hyperlink>
      <w:r w:rsidRPr="002736C9">
        <w:rPr>
          <w:rFonts w:eastAsia="MS Mincho" w:cs="Times New Roman"/>
        </w:rPr>
        <w:t>.</w:t>
      </w:r>
    </w:p>
    <w:p w14:paraId="011C19EB" w14:textId="77777777" w:rsidR="002736C9" w:rsidRPr="002736C9" w:rsidRDefault="002736C9" w:rsidP="002736C9">
      <w:pPr>
        <w:widowControl/>
        <w:kinsoku/>
        <w:autoSpaceDE/>
        <w:autoSpaceDN/>
        <w:spacing w:before="480" w:after="240" w:line="259" w:lineRule="auto"/>
        <w:jc w:val="left"/>
        <w:rPr>
          <w:rFonts w:eastAsia="MS Mincho" w:cs="Times New Roman"/>
        </w:rPr>
      </w:pPr>
      <w:r w:rsidRPr="002736C9">
        <w:rPr>
          <w:rFonts w:eastAsia="MS Mincho" w:cs="Times New Roman"/>
        </w:rPr>
        <w:t>FOR LOCAL EDUCATIONAL AGENCIES</w:t>
      </w:r>
    </w:p>
    <w:p w14:paraId="2E1B0C23"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LEAs that have physically closed should continue to provide essential services for children and families in their communities. LEAs should collaborate with local partners and other entities to ensure students are supervised during school hours. The CDE is providing the following guidance to all LEAs that have closed:</w:t>
      </w:r>
    </w:p>
    <w:p w14:paraId="5EAD644B" w14:textId="77777777" w:rsidR="002736C9" w:rsidRPr="002736C9" w:rsidRDefault="002736C9" w:rsidP="002736C9">
      <w:pPr>
        <w:widowControl/>
        <w:numPr>
          <w:ilvl w:val="0"/>
          <w:numId w:val="45"/>
        </w:numPr>
        <w:kinsoku/>
        <w:autoSpaceDE/>
        <w:autoSpaceDN/>
        <w:spacing w:after="240" w:line="259" w:lineRule="auto"/>
        <w:jc w:val="left"/>
        <w:rPr>
          <w:rFonts w:eastAsia="MS Mincho" w:cs="Times New Roman"/>
        </w:rPr>
      </w:pPr>
      <w:r w:rsidRPr="002736C9">
        <w:rPr>
          <w:rFonts w:eastAsia="MS Mincho" w:cs="Times New Roman"/>
        </w:rPr>
        <w:t>Develop a plan for ensuring that students are supervised during school hours.</w:t>
      </w:r>
    </w:p>
    <w:p w14:paraId="3CED84D3" w14:textId="77777777" w:rsidR="002736C9" w:rsidRPr="002736C9" w:rsidRDefault="002736C9" w:rsidP="002736C9">
      <w:pPr>
        <w:widowControl/>
        <w:numPr>
          <w:ilvl w:val="0"/>
          <w:numId w:val="45"/>
        </w:numPr>
        <w:kinsoku/>
        <w:autoSpaceDE/>
        <w:autoSpaceDN/>
        <w:spacing w:after="240" w:line="259" w:lineRule="auto"/>
        <w:jc w:val="left"/>
        <w:rPr>
          <w:rFonts w:eastAsia="MS Mincho" w:cs="Times New Roman"/>
        </w:rPr>
      </w:pPr>
      <w:r w:rsidRPr="002736C9">
        <w:rPr>
          <w:rFonts w:eastAsia="MS Mincho" w:cs="Times New Roman"/>
        </w:rPr>
        <w:t>Consider allowing their school sites for use as critical pop-up childcare programs for working families in need of care for their children.</w:t>
      </w:r>
    </w:p>
    <w:p w14:paraId="7F0D6046" w14:textId="77777777" w:rsidR="002736C9" w:rsidRPr="002736C9" w:rsidRDefault="002736C9" w:rsidP="002736C9">
      <w:pPr>
        <w:widowControl/>
        <w:numPr>
          <w:ilvl w:val="0"/>
          <w:numId w:val="45"/>
        </w:numPr>
        <w:kinsoku/>
        <w:autoSpaceDE/>
        <w:autoSpaceDN/>
        <w:spacing w:after="240" w:line="259" w:lineRule="auto"/>
        <w:jc w:val="left"/>
        <w:rPr>
          <w:rFonts w:eastAsia="MS Mincho" w:cs="Times New Roman"/>
        </w:rPr>
      </w:pPr>
      <w:r w:rsidRPr="002736C9">
        <w:rPr>
          <w:rFonts w:eastAsia="MS Mincho" w:cs="Times New Roman"/>
        </w:rPr>
        <w:t>Partner with their local resource and referral agency to connect families in need of care. The R&amp;R can help link them to available care facilities in their area.</w:t>
      </w:r>
    </w:p>
    <w:p w14:paraId="3F336487" w14:textId="77777777" w:rsidR="002736C9" w:rsidRPr="002736C9" w:rsidRDefault="002736C9" w:rsidP="002736C9">
      <w:pPr>
        <w:widowControl/>
        <w:numPr>
          <w:ilvl w:val="0"/>
          <w:numId w:val="45"/>
        </w:numPr>
        <w:kinsoku/>
        <w:autoSpaceDE/>
        <w:autoSpaceDN/>
        <w:spacing w:after="240" w:line="259" w:lineRule="auto"/>
        <w:jc w:val="left"/>
        <w:rPr>
          <w:rFonts w:eastAsia="MS Mincho" w:cs="Times New Roman"/>
        </w:rPr>
      </w:pPr>
      <w:r w:rsidRPr="002736C9">
        <w:rPr>
          <w:rFonts w:eastAsia="MS Mincho" w:cs="Times New Roman"/>
        </w:rPr>
        <w:t xml:space="preserve">Inform families that they can call the statewide consumer education hotline at 1-800-KIDS-793 or go to the website at </w:t>
      </w:r>
      <w:hyperlink r:id="rId16" w:tooltip="Statewide consumer education" w:history="1">
        <w:r w:rsidRPr="002736C9">
          <w:rPr>
            <w:rFonts w:eastAsia="MS Mincho" w:cs="Times New Roman"/>
            <w:color w:val="0000FF"/>
            <w:u w:val="single"/>
          </w:rPr>
          <w:t>https://rrnetwork.org/</w:t>
        </w:r>
      </w:hyperlink>
      <w:r w:rsidRPr="002736C9">
        <w:rPr>
          <w:rFonts w:eastAsia="MS Mincho" w:cs="Times New Roman"/>
          <w:color w:val="0000FF"/>
        </w:rPr>
        <w:t xml:space="preserve"> </w:t>
      </w:r>
      <w:r w:rsidRPr="002736C9">
        <w:rPr>
          <w:rFonts w:eastAsia="MS Mincho" w:cs="Times New Roman"/>
        </w:rPr>
        <w:lastRenderedPageBreak/>
        <w:t>and</w:t>
      </w:r>
      <w:r w:rsidRPr="002736C9">
        <w:rPr>
          <w:rFonts w:eastAsia="MS Mincho" w:cs="Times New Roman"/>
          <w:color w:val="0000FF"/>
        </w:rPr>
        <w:t xml:space="preserve"> </w:t>
      </w:r>
      <w:hyperlink r:id="rId17" w:tooltip="Child care information" w:history="1">
        <w:r w:rsidRPr="002736C9">
          <w:rPr>
            <w:rFonts w:eastAsia="MS Mincho" w:cs="Times New Roman"/>
            <w:color w:val="0000FF"/>
            <w:u w:val="single"/>
          </w:rPr>
          <w:t>https://rrnetwork.org/family-services/find-child-care</w:t>
        </w:r>
      </w:hyperlink>
      <w:r w:rsidRPr="002736C9">
        <w:rPr>
          <w:rFonts w:eastAsia="MS Mincho" w:cs="Times New Roman"/>
        </w:rPr>
        <w:t xml:space="preserve"> for additional information.</w:t>
      </w:r>
    </w:p>
    <w:p w14:paraId="31A455B4" w14:textId="77777777" w:rsidR="002736C9" w:rsidRPr="002736C9" w:rsidRDefault="002736C9" w:rsidP="002736C9">
      <w:pPr>
        <w:widowControl/>
        <w:numPr>
          <w:ilvl w:val="0"/>
          <w:numId w:val="45"/>
        </w:numPr>
        <w:kinsoku/>
        <w:autoSpaceDE/>
        <w:autoSpaceDN/>
        <w:spacing w:after="240" w:line="259" w:lineRule="auto"/>
        <w:jc w:val="left"/>
        <w:rPr>
          <w:rFonts w:eastAsia="MS Mincho" w:cs="Times New Roman"/>
        </w:rPr>
      </w:pPr>
      <w:r w:rsidRPr="002736C9">
        <w:rPr>
          <w:rFonts w:eastAsia="MS Mincho" w:cs="Times New Roman"/>
        </w:rPr>
        <w:t>Provide families with a list of known local programs that remain open for services.</w:t>
      </w:r>
    </w:p>
    <w:p w14:paraId="087898E2" w14:textId="77777777" w:rsidR="002736C9" w:rsidRPr="002736C9" w:rsidRDefault="002736C9" w:rsidP="002736C9">
      <w:pPr>
        <w:widowControl/>
        <w:numPr>
          <w:ilvl w:val="0"/>
          <w:numId w:val="45"/>
        </w:numPr>
        <w:kinsoku/>
        <w:autoSpaceDE/>
        <w:autoSpaceDN/>
        <w:spacing w:after="240" w:line="259" w:lineRule="auto"/>
        <w:jc w:val="left"/>
        <w:rPr>
          <w:rFonts w:eastAsia="MS Mincho" w:cs="Times New Roman"/>
        </w:rPr>
      </w:pPr>
      <w:r w:rsidRPr="002736C9">
        <w:rPr>
          <w:rFonts w:eastAsia="MS Mincho" w:cs="Times New Roman"/>
        </w:rPr>
        <w:t>Collaborate with their Local Planning Council and other local childcare entities to ensure continuity of services to families in need of childcare.</w:t>
      </w:r>
    </w:p>
    <w:p w14:paraId="158DDC50" w14:textId="77777777" w:rsidR="002736C9" w:rsidRPr="002736C9" w:rsidRDefault="002736C9" w:rsidP="002736C9">
      <w:pPr>
        <w:widowControl/>
        <w:numPr>
          <w:ilvl w:val="0"/>
          <w:numId w:val="45"/>
        </w:numPr>
        <w:kinsoku/>
        <w:autoSpaceDE/>
        <w:autoSpaceDN/>
        <w:spacing w:after="240" w:line="259" w:lineRule="auto"/>
        <w:jc w:val="left"/>
        <w:rPr>
          <w:rFonts w:eastAsia="MS Mincho" w:cs="Times New Roman"/>
        </w:rPr>
      </w:pPr>
      <w:r w:rsidRPr="002736C9">
        <w:rPr>
          <w:rFonts w:eastAsia="MS Mincho" w:cs="Times New Roman"/>
        </w:rPr>
        <w:t>Work with the regional CCL office, which may have a list of facilities that are open, to identify providers that can serve children at this time.</w:t>
      </w:r>
    </w:p>
    <w:p w14:paraId="7E49A41A"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LEAs that are considering physically closing should follow this guidance, as well as consult with the local public health department and state guidance prior to physically closing.</w:t>
      </w:r>
    </w:p>
    <w:p w14:paraId="6A297EBE" w14:textId="77777777" w:rsidR="002736C9" w:rsidRPr="002736C9" w:rsidRDefault="002736C9" w:rsidP="002736C9">
      <w:pPr>
        <w:widowControl/>
        <w:kinsoku/>
        <w:autoSpaceDE/>
        <w:autoSpaceDN/>
        <w:spacing w:before="480" w:after="240" w:line="259" w:lineRule="auto"/>
        <w:jc w:val="left"/>
        <w:rPr>
          <w:rFonts w:eastAsia="MS Mincho" w:cs="Times New Roman"/>
        </w:rPr>
      </w:pPr>
      <w:r w:rsidRPr="002736C9">
        <w:rPr>
          <w:rFonts w:eastAsia="MS Mincho" w:cs="Times New Roman"/>
        </w:rPr>
        <w:t>Key Considerations:</w:t>
      </w:r>
    </w:p>
    <w:p w14:paraId="54F01E42"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In current times, schools play roles supporting their community needs beyond education. According to the Center for Disease Control and Prevention’s (CDC) Considerations for School Closures, the lack of supervision of students during unexpected and prolonged school closures can have a major economic and productivity impact on families and communities. In addition, school closures can create an even greater negative impact on the healthcare field whose critical workers during a pandemic depend on school time for their children's supervision.</w:t>
      </w:r>
    </w:p>
    <w:p w14:paraId="1AC59EA6"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As a result, LEAs that have physically closed, and those that are considering physically closing, need to consider multiple factors prior and during closure related to providing supervision of children during ordinary school hours. Specifically, LEAs will need to consider:</w:t>
      </w:r>
    </w:p>
    <w:p w14:paraId="2A640386"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hint="eastAsia"/>
          <w:b/>
        </w:rPr>
        <w:t>Family Needs.</w:t>
      </w:r>
      <w:r w:rsidRPr="002736C9">
        <w:rPr>
          <w:rFonts w:eastAsia="MS Mincho" w:cs="Times New Roman" w:hint="eastAsia"/>
        </w:rPr>
        <w:t xml:space="preserve"> The LEAs will need to consider the needs of families in the district for supervision of children during ordinary school hours. For example, if the school district does not provide supervision, do families have other options? </w:t>
      </w:r>
    </w:p>
    <w:p w14:paraId="59E7EE84"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hint="eastAsia"/>
          <w:b/>
        </w:rPr>
        <w:t>Early Learning and Care Programs Operating on an LEA Campus.</w:t>
      </w:r>
      <w:r w:rsidRPr="002736C9">
        <w:rPr>
          <w:rFonts w:eastAsia="MS Mincho" w:cs="Times New Roman" w:hint="eastAsia"/>
        </w:rPr>
        <w:t xml:space="preserve"> The LEA will need to consider how a physical closure will affect any early learning and care program on their campus, and how closure of those facilities, combined with a closure of the schools</w:t>
      </w:r>
      <w:r w:rsidRPr="002736C9">
        <w:rPr>
          <w:rFonts w:eastAsia="MS Mincho" w:cs="Times New Roman"/>
        </w:rPr>
        <w:t xml:space="preserve"> will affect families. The </w:t>
      </w:r>
      <w:r w:rsidRPr="002736C9">
        <w:rPr>
          <w:rFonts w:eastAsia="MS Mincho" w:cs="Times New Roman"/>
        </w:rPr>
        <w:lastRenderedPageBreak/>
        <w:t>LEA will need to consider how to support full or partial continuation of critical early learning and care programs.</w:t>
      </w:r>
    </w:p>
    <w:p w14:paraId="31B618B1"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hint="eastAsia"/>
          <w:b/>
        </w:rPr>
        <w:t>LEA Facilities as a Community Resource.</w:t>
      </w:r>
      <w:r w:rsidRPr="002736C9">
        <w:rPr>
          <w:rFonts w:eastAsia="MS Mincho" w:cs="Times New Roman" w:hint="eastAsia"/>
        </w:rPr>
        <w:t xml:space="preserve"> The LEA will also need to consider whether LEA facilities can be used during a physical closure to provide essential pop-up child care services to address the needs of working families, in particular, the needs of </w:t>
      </w:r>
      <w:r w:rsidRPr="002736C9">
        <w:rPr>
          <w:rFonts w:eastAsia="MS Mincho" w:cs="Times New Roman"/>
        </w:rPr>
        <w:t xml:space="preserve">parents who are health workers, emergency response personnel, key governmental staff, and child care workers. </w:t>
      </w:r>
    </w:p>
    <w:p w14:paraId="31DE16DE"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hint="eastAsia"/>
          <w:b/>
        </w:rPr>
        <w:t xml:space="preserve">Working </w:t>
      </w:r>
      <w:proofErr w:type="gramStart"/>
      <w:r w:rsidRPr="002736C9">
        <w:rPr>
          <w:rFonts w:eastAsia="MS Mincho" w:cs="Times New Roman" w:hint="eastAsia"/>
          <w:b/>
        </w:rPr>
        <w:t>With</w:t>
      </w:r>
      <w:proofErr w:type="gramEnd"/>
      <w:r w:rsidRPr="002736C9">
        <w:rPr>
          <w:rFonts w:eastAsia="MS Mincho" w:cs="Times New Roman" w:hint="eastAsia"/>
          <w:b/>
        </w:rPr>
        <w:t xml:space="preserve"> Community Partners.</w:t>
      </w:r>
      <w:r w:rsidRPr="002736C9">
        <w:rPr>
          <w:rFonts w:eastAsia="MS Mincho" w:cs="Times New Roman" w:hint="eastAsia"/>
        </w:rPr>
        <w:t xml:space="preserve"> The LEA will need to consider to what extent it can work with community partners to provide supervision of children during ordinary school hours. For example, the LEA will need to consider how to partner with local early </w:t>
      </w:r>
      <w:r w:rsidRPr="002736C9">
        <w:rPr>
          <w:rFonts w:eastAsia="MS Mincho" w:cs="Times New Roman"/>
        </w:rPr>
        <w:t>learning and care agencies, including the local Resource and Referral Agency, to ensure children receive supervision during school hours.</w:t>
      </w:r>
    </w:p>
    <w:p w14:paraId="302010F3"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hint="eastAsia"/>
          <w:b/>
        </w:rPr>
        <w:t>Child Age.</w:t>
      </w:r>
      <w:r w:rsidRPr="002736C9">
        <w:rPr>
          <w:rFonts w:eastAsia="MS Mincho" w:cs="Times New Roman" w:hint="eastAsia"/>
        </w:rPr>
        <w:t xml:space="preserve"> LEAs should take the age of their students into consideration when determining how to provide supervision of children during school hours, and ensure that the arrangements made are developmentally appropriate. </w:t>
      </w:r>
    </w:p>
    <w:p w14:paraId="59370CFF"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hint="eastAsia"/>
          <w:b/>
        </w:rPr>
        <w:t>Collaborating with State and Local Government Entities.</w:t>
      </w:r>
      <w:r w:rsidRPr="002736C9">
        <w:rPr>
          <w:rFonts w:eastAsia="MS Mincho" w:cs="Times New Roman" w:hint="eastAsia"/>
        </w:rPr>
        <w:t xml:space="preserve"> The LEA will need to collaborate with state and local government entities when determining how to provide supervision of children during ordinary school hours. For example, if an LEA opens its space</w:t>
      </w:r>
      <w:r w:rsidRPr="002736C9">
        <w:rPr>
          <w:rFonts w:eastAsia="MS Mincho" w:cs="Times New Roman"/>
        </w:rPr>
        <w:t xml:space="preserve"> up for a pop-up child care center, it will need to work with the regional office for the California Department of Social Services’ Community Care Licensing Division to ensure that the space is meeting state standards. Contact information for the Community Care Licensing Regional Offices May be found here: </w:t>
      </w:r>
      <w:hyperlink r:id="rId18" w:tooltip="CDSS" w:history="1">
        <w:r w:rsidRPr="002736C9">
          <w:rPr>
            <w:rFonts w:eastAsia="MS Mincho" w:cs="Times New Roman"/>
            <w:color w:val="0000FF"/>
            <w:u w:val="single"/>
          </w:rPr>
          <w:t>https://www.cdss.ca.gov/Portals/9/CCLD/Community%20Care%20Licensing%20Division%20Child%20Care%20Offices.pdf</w:t>
        </w:r>
      </w:hyperlink>
      <w:r w:rsidRPr="002736C9">
        <w:rPr>
          <w:rFonts w:eastAsia="MS Mincho" w:cs="Times New Roman"/>
        </w:rPr>
        <w:t>. Similarly, the LEA will also need to collaborate with state and local health authorities and follow relevant directives and guidelines.</w:t>
      </w:r>
    </w:p>
    <w:p w14:paraId="2FFA80DC" w14:textId="46B34286" w:rsidR="00BE1E6C" w:rsidRDefault="002736C9" w:rsidP="002736C9">
      <w:pPr>
        <w:widowControl/>
        <w:numPr>
          <w:ilvl w:val="0"/>
          <w:numId w:val="46"/>
        </w:numPr>
        <w:kinsoku/>
        <w:autoSpaceDE/>
        <w:autoSpaceDN/>
        <w:spacing w:after="240" w:line="259" w:lineRule="auto"/>
        <w:jc w:val="left"/>
        <w:rPr>
          <w:rFonts w:eastAsia="MS Mincho" w:cs="Times New Roman"/>
          <w:color w:val="0000FF"/>
        </w:rPr>
      </w:pPr>
      <w:r w:rsidRPr="002736C9">
        <w:rPr>
          <w:rFonts w:eastAsia="MS Mincho" w:cs="Times New Roman" w:hint="eastAsia"/>
          <w:b/>
        </w:rPr>
        <w:t>CDC Guidance.</w:t>
      </w:r>
      <w:r w:rsidRPr="002736C9">
        <w:rPr>
          <w:rFonts w:eastAsia="MS Mincho" w:cs="Times New Roman" w:hint="eastAsia"/>
        </w:rPr>
        <w:t xml:space="preserve"> To refer to the CDC</w:t>
      </w:r>
      <w:r w:rsidRPr="002736C9">
        <w:rPr>
          <w:rFonts w:eastAsia="MS Mincho" w:cs="Times New Roman" w:hint="eastAsia"/>
        </w:rPr>
        <w:t>’</w:t>
      </w:r>
      <w:r w:rsidRPr="002736C9">
        <w:rPr>
          <w:rFonts w:eastAsia="MS Mincho" w:cs="Times New Roman" w:hint="eastAsia"/>
        </w:rPr>
        <w:t xml:space="preserve">s guidance, please go to </w:t>
      </w:r>
      <w:hyperlink r:id="rId19" w:tooltip="CDC guidance" w:history="1">
        <w:r w:rsidRPr="002736C9">
          <w:rPr>
            <w:rFonts w:eastAsia="MS Mincho" w:cs="Times New Roman" w:hint="eastAsia"/>
            <w:color w:val="0000FF"/>
            <w:u w:val="single"/>
          </w:rPr>
          <w:t>https://www.cdc.gov/coronavirus/2019-ncov/downloads/considerations-for-school-closure.pdf</w:t>
        </w:r>
      </w:hyperlink>
      <w:r w:rsidR="00BE1E6C">
        <w:rPr>
          <w:rFonts w:eastAsia="MS Mincho" w:cs="Times New Roman"/>
          <w:color w:val="0000FF"/>
        </w:rPr>
        <w:t>.</w:t>
      </w:r>
      <w:r w:rsidR="00BE1E6C">
        <w:rPr>
          <w:rFonts w:eastAsia="MS Mincho" w:cs="Times New Roman"/>
          <w:color w:val="0000FF"/>
        </w:rPr>
        <w:br w:type="page"/>
      </w:r>
    </w:p>
    <w:p w14:paraId="382E32D1" w14:textId="77777777" w:rsidR="002736C9" w:rsidRPr="002736C9" w:rsidRDefault="002736C9" w:rsidP="002736C9">
      <w:pPr>
        <w:widowControl/>
        <w:kinsoku/>
        <w:autoSpaceDE/>
        <w:autoSpaceDN/>
        <w:spacing w:before="480" w:after="240" w:line="259" w:lineRule="auto"/>
        <w:jc w:val="left"/>
        <w:rPr>
          <w:rFonts w:eastAsia="MS Mincho" w:cs="Times New Roman"/>
        </w:rPr>
      </w:pPr>
      <w:r w:rsidRPr="002736C9">
        <w:rPr>
          <w:rFonts w:eastAsia="MS Mincho" w:cs="Times New Roman"/>
        </w:rPr>
        <w:lastRenderedPageBreak/>
        <w:t>PREVENTION AND PRECAUTIONS</w:t>
      </w:r>
    </w:p>
    <w:p w14:paraId="5F604CEC" w14:textId="46C06BFD"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 xml:space="preserve">Pursuant to prior guidance released, school administrators have or should immediately take steps to slow the spread of respiratory infectious diseases, including COVID-19, even when an LEA is closed but providing student supervision services. The CDE recommends implementing the following guidance, jointly developed by the CDE and the CDPH: </w:t>
      </w:r>
      <w:hyperlink r:id="rId20" w:tooltip="CDE and CDPH Guidance" w:history="1">
        <w:r w:rsidRPr="002736C9">
          <w:rPr>
            <w:rFonts w:eastAsia="MS Mincho" w:cs="Times New Roman"/>
            <w:color w:val="0000FF"/>
            <w:u w:val="single"/>
          </w:rPr>
          <w:t>https://www.cdph.ca.gov/Programs/CID/DCDC/CDPH%20Document%20Library/School%20Guidance_ADA%20Compliant_FINAL.pdf</w:t>
        </w:r>
      </w:hyperlink>
      <w:r>
        <w:rPr>
          <w:rFonts w:eastAsia="MS Mincho" w:cs="Times New Roman"/>
        </w:rPr>
        <w:t>.</w:t>
      </w:r>
      <w:r w:rsidRPr="002736C9">
        <w:rPr>
          <w:rFonts w:eastAsia="MS Mincho" w:cs="Times New Roman"/>
        </w:rPr>
        <w:t xml:space="preserve"> </w:t>
      </w:r>
    </w:p>
    <w:p w14:paraId="0C73E124" w14:textId="77777777" w:rsidR="002736C9" w:rsidRPr="002736C9" w:rsidRDefault="002736C9" w:rsidP="002736C9">
      <w:pPr>
        <w:widowControl/>
        <w:kinsoku/>
        <w:autoSpaceDE/>
        <w:autoSpaceDN/>
        <w:spacing w:before="480" w:after="240" w:line="259" w:lineRule="auto"/>
        <w:jc w:val="left"/>
        <w:rPr>
          <w:rFonts w:eastAsia="MS Mincho" w:cs="Times New Roman"/>
        </w:rPr>
      </w:pPr>
      <w:r w:rsidRPr="002736C9">
        <w:rPr>
          <w:rFonts w:eastAsia="MS Mincho" w:cs="Times New Roman"/>
        </w:rPr>
        <w:t>LEAVE OPTIONS FOR PARENTS WHO NEED TO MISS WORK TO CARE FOR THEIR CHILDREN IN THE EVENT OF SCHOOL CLOSURE</w:t>
      </w:r>
    </w:p>
    <w:p w14:paraId="5490C8AA"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Under state law, parents have the following options if they need to care for their children in the event of school closure:</w:t>
      </w:r>
    </w:p>
    <w:p w14:paraId="516F1080"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rPr>
        <w:t xml:space="preserve">If a school is closed by civil authorities due to COVID-19, a parent could use any available paid sick leave to be with their child as preventative care. In general terms, the state paid sick leave law requires employers to provide and allow employees to use at least 24 hours or three days of paid sick leave per year.  An employer’s policy may provide for more accrued leave than the minimum required by statute and must allow the employee to use what the employee earned in a six-month period as preventative care, if the employee so chooses.  In addition, the law provides that an employer may allow an employee to borrow against leave to be earned in the future. </w:t>
      </w:r>
    </w:p>
    <w:p w14:paraId="2CD8EA2C"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rPr>
        <w:t xml:space="preserve">Employees at worksites with 25 or more employees may also take up to 40 hours of leave per year for specific school-related emergencies, such as the closure of a child's school by civil authorities. Whether that leave is paid or unpaid depends on the employer’s paid leave, vacation, or other paid time off policies. Employers may require employees to use their vacation or paid time off benefits before they are allowed to take unpaid leave, but cannot mandate that employees use paid sick leave. </w:t>
      </w:r>
    </w:p>
    <w:p w14:paraId="189C7480"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rPr>
        <w:t>Where there is a medical certification from a physician or a written order from a state or local health officer that is specific to your family member’s situation regarding the school closure, a parent may be eligible for Paid Family Leave.</w:t>
      </w:r>
    </w:p>
    <w:p w14:paraId="452E1629"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rPr>
        <w:lastRenderedPageBreak/>
        <w:t xml:space="preserve">Parents who are unable to work due to the need to care for children or whose employer has temporarily allowed the parent to work less than full-time hours due to their child care situation may apply for unemployment benefits. Employment Development Department representatives will determine eligibility on a case-by-case basis. </w:t>
      </w:r>
    </w:p>
    <w:p w14:paraId="1414FD90"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 xml:space="preserve">For more information about eligibility under these state laws, please visit </w:t>
      </w:r>
      <w:hyperlink r:id="rId21" w:tooltip="Eligibility under state law" w:history="1">
        <w:r w:rsidRPr="002736C9">
          <w:rPr>
            <w:rFonts w:eastAsia="MS Mincho" w:cs="Times New Roman"/>
            <w:color w:val="0000FF"/>
            <w:u w:val="single"/>
          </w:rPr>
          <w:t>https://www.labor.ca.gov/coronavirus2019/</w:t>
        </w:r>
        <w:r w:rsidRPr="002736C9">
          <w:rPr>
            <w:rFonts w:eastAsia="MS Mincho" w:cs="Times New Roman"/>
            <w:u w:val="single"/>
          </w:rPr>
          <w:t>.</w:t>
        </w:r>
      </w:hyperlink>
    </w:p>
    <w:p w14:paraId="0450288D" w14:textId="77777777" w:rsidR="002736C9" w:rsidRPr="002736C9" w:rsidRDefault="002736C9" w:rsidP="002736C9">
      <w:pPr>
        <w:widowControl/>
        <w:kinsoku/>
        <w:autoSpaceDE/>
        <w:autoSpaceDN/>
        <w:spacing w:before="480" w:after="240" w:line="259" w:lineRule="auto"/>
        <w:jc w:val="left"/>
        <w:rPr>
          <w:rFonts w:eastAsia="MS Mincho" w:cs="Times New Roman"/>
        </w:rPr>
      </w:pPr>
      <w:r w:rsidRPr="002736C9">
        <w:rPr>
          <w:rFonts w:eastAsia="MS Mincho" w:cs="Times New Roman"/>
        </w:rPr>
        <w:t>CAL/OSHA GUIDANCE REGARDING CHILDCARE FACILITIES</w:t>
      </w:r>
    </w:p>
    <w:p w14:paraId="12305549"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 xml:space="preserve">Cal/OSHA has developed guidance for childcare programs on updating their Injury and Illness Prevention Programs to protect their employees and help prevent the spread of COVID-19 at their facilities.  Among other things, this guidance contains information on topics childcare program administrators should cover in training their employees on COVID-19, points to include in their curriculum to teach children about how they can help to prevent the spread of COVID-19, and what to do if a child shows symptoms of illness.  The guidance also advises childcare program administrators on communicating with parents and guardians about COVID-19: </w:t>
      </w:r>
    </w:p>
    <w:p w14:paraId="63447D80"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rPr>
        <w:t>Ensure information and communication can be provided in the primary languages of parents and guardians.</w:t>
      </w:r>
    </w:p>
    <w:p w14:paraId="558F893D"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rPr>
        <w:t>Obtain email addresses, and home, work and mobile phone numbers from parents and guardians of children at the facility so the facility can reach them at all times.</w:t>
      </w:r>
    </w:p>
    <w:p w14:paraId="7E90DF05"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rPr>
        <w:t>Create and test communication systems with parents and guardians, children at the facility, employees, facility management, and emergency medical services.</w:t>
      </w:r>
    </w:p>
    <w:p w14:paraId="16C8B84F"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rPr>
        <w:t>Provide parents and guardians with information from CDC on COVID-19 symptoms, transmission, prevention, and when to seek medical attention. Encourage parents and guardians to share the information with their children as appropriate.</w:t>
      </w:r>
    </w:p>
    <w:p w14:paraId="2D535AFC"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rPr>
        <w:t>Communicate with parents and guardians that children should stay at home if sick or if they have been in contact with a person who has tested positive for coronavirus.</w:t>
      </w:r>
    </w:p>
    <w:p w14:paraId="71D6366F" w14:textId="77777777" w:rsidR="002736C9" w:rsidRPr="002736C9" w:rsidRDefault="002736C9" w:rsidP="002736C9">
      <w:pPr>
        <w:widowControl/>
        <w:numPr>
          <w:ilvl w:val="0"/>
          <w:numId w:val="46"/>
        </w:numPr>
        <w:kinsoku/>
        <w:autoSpaceDE/>
        <w:autoSpaceDN/>
        <w:spacing w:after="240" w:line="259" w:lineRule="auto"/>
        <w:jc w:val="left"/>
        <w:rPr>
          <w:rFonts w:eastAsia="MS Mincho" w:cs="Times New Roman"/>
        </w:rPr>
      </w:pPr>
      <w:r w:rsidRPr="002736C9">
        <w:rPr>
          <w:rFonts w:eastAsia="MS Mincho" w:cs="Times New Roman"/>
        </w:rPr>
        <w:lastRenderedPageBreak/>
        <w:t xml:space="preserve">Recommend to parents and </w:t>
      </w:r>
      <w:proofErr w:type="gramStart"/>
      <w:r w:rsidRPr="002736C9">
        <w:rPr>
          <w:rFonts w:eastAsia="MS Mincho" w:cs="Times New Roman"/>
        </w:rPr>
        <w:t>guardians</w:t>
      </w:r>
      <w:proofErr w:type="gramEnd"/>
      <w:r w:rsidRPr="002736C9">
        <w:rPr>
          <w:rFonts w:eastAsia="MS Mincho" w:cs="Times New Roman"/>
        </w:rPr>
        <w:t xml:space="preserve"> voluntary methods to help screen their children for flu symptoms (for example, ask parents and guardians to take the temperature of their children every day before coming to childcare and to keep their children at home if their temperature is over 100.4 degrees Fahrenheit. Discuss this with parents each day when they leave their children at the facility to ensure no change in status. Ask the local health department for assistance with these methods. </w:t>
      </w:r>
    </w:p>
    <w:p w14:paraId="27FA3B17" w14:textId="0143D3B1"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Cal/OSHA’s guidance to childcare programs is available at:</w:t>
      </w:r>
      <w:r>
        <w:rPr>
          <w:rFonts w:eastAsia="MS Mincho" w:cs="Times New Roman"/>
        </w:rPr>
        <w:t xml:space="preserve"> </w:t>
      </w:r>
      <w:hyperlink r:id="rId22" w:history="1">
        <w:r w:rsidRPr="00673D87">
          <w:rPr>
            <w:rStyle w:val="Hyperlink"/>
            <w:rFonts w:eastAsia="MS Mincho" w:cs="Times New Roman"/>
          </w:rPr>
          <w:t>https://www.dir.ca.gov/dosh/Coronavirus/COVID-19-Infection-Prevention-in-Childcare-Programs-Guidance.pdf</w:t>
        </w:r>
      </w:hyperlink>
    </w:p>
    <w:p w14:paraId="45B9ACE2" w14:textId="77777777" w:rsidR="002736C9" w:rsidRPr="002736C9" w:rsidRDefault="002736C9" w:rsidP="002736C9">
      <w:pPr>
        <w:widowControl/>
        <w:kinsoku/>
        <w:autoSpaceDE/>
        <w:autoSpaceDN/>
        <w:spacing w:before="480" w:after="240" w:line="259" w:lineRule="auto"/>
        <w:jc w:val="left"/>
        <w:rPr>
          <w:rFonts w:eastAsia="MS Mincho" w:cs="Times New Roman"/>
        </w:rPr>
      </w:pPr>
      <w:r w:rsidRPr="002736C9">
        <w:rPr>
          <w:rFonts w:eastAsia="MS Mincho" w:cs="Times New Roman"/>
        </w:rPr>
        <w:t>TEMPORARY EMERGENCY CHILD CARE FACILITIES</w:t>
      </w:r>
    </w:p>
    <w:p w14:paraId="7F2A3789"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 xml:space="preserve">The Department of Support Services (CDSS), has established an emergency waiver for the operation of temporary child care facilities. This waiver is applicable to all employers needing to immediately provide temporary employer sponsored child care. This statewide waiver shall be in effect until the Governor’s Proclamation of a State of Emergency is no longer in effect, but may be extended depending on any future guidance from CDSS, Centers for Disease Control and Prevention (CDC), the Department of Public Health (DPH), and local health departments.  </w:t>
      </w:r>
    </w:p>
    <w:p w14:paraId="11A17005" w14:textId="71DC67A3"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 xml:space="preserve">Terms and conditions for temporary employer sponsored child care can be found here: </w:t>
      </w:r>
      <w:hyperlink r:id="rId23" w:tooltip="Terms and Conditions for child care" w:history="1">
        <w:r w:rsidRPr="002736C9">
          <w:rPr>
            <w:rFonts w:eastAsia="MS Mincho" w:cs="Times New Roman"/>
            <w:color w:val="0000FF"/>
            <w:u w:val="single"/>
          </w:rPr>
          <w:t>https://www.cdss.ca.gov/Portals/9/CCLD/PINs/2020/CCP/PIN_20-04-CCP.pdf</w:t>
        </w:r>
      </w:hyperlink>
      <w:r>
        <w:rPr>
          <w:rFonts w:eastAsia="MS Mincho" w:cs="Times New Roman"/>
          <w:color w:val="0000FF"/>
        </w:rPr>
        <w:t>.</w:t>
      </w:r>
    </w:p>
    <w:p w14:paraId="79531CFF" w14:textId="77777777" w:rsidR="002736C9" w:rsidRPr="002736C9" w:rsidRDefault="002736C9" w:rsidP="002736C9">
      <w:pPr>
        <w:widowControl/>
        <w:kinsoku/>
        <w:autoSpaceDE/>
        <w:autoSpaceDN/>
        <w:spacing w:before="480" w:after="240" w:line="259" w:lineRule="auto"/>
        <w:jc w:val="left"/>
        <w:rPr>
          <w:rFonts w:eastAsia="MS Mincho" w:cs="Times New Roman"/>
        </w:rPr>
      </w:pPr>
      <w:r w:rsidRPr="002736C9">
        <w:rPr>
          <w:rFonts w:eastAsia="MS Mincho" w:cs="Times New Roman"/>
        </w:rPr>
        <w:t>SUBSIDIZED CHILD CARE PROVIDERS</w:t>
      </w:r>
    </w:p>
    <w:p w14:paraId="048C50C9"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On March 16th, the Legislature passed SB 117 that included provisions to ensure continuity of payments to state-subsidized childcare and development programs, subject to guidance from the Superintendent of Public Instruction.</w:t>
      </w:r>
    </w:p>
    <w:p w14:paraId="1603E319" w14:textId="77777777" w:rsidR="002736C9" w:rsidRPr="002736C9" w:rsidRDefault="002736C9" w:rsidP="002736C9">
      <w:pPr>
        <w:widowControl/>
        <w:kinsoku/>
        <w:autoSpaceDE/>
        <w:autoSpaceDN/>
        <w:spacing w:after="240" w:line="259" w:lineRule="auto"/>
        <w:jc w:val="left"/>
        <w:rPr>
          <w:rFonts w:eastAsia="MS Mincho" w:cs="Times New Roman"/>
        </w:rPr>
      </w:pPr>
      <w:r w:rsidRPr="002736C9">
        <w:rPr>
          <w:rFonts w:eastAsia="MS Mincho" w:cs="Times New Roman"/>
        </w:rPr>
        <w:t xml:space="preserve">Specifically, the bill allows the SSPI to issue guidance to waive certain attendance and reporting requirements imposed on child care and development programs in light of the fact that programs are being impacted by COVID-19. These waivers would apply to fiscal year 2019-20 and would apply to the Alternative Payment, Migrant Child Care, California State Preschool Program, General Child Care, Family Child Care Home Education Networks, </w:t>
      </w:r>
      <w:r w:rsidRPr="002736C9">
        <w:rPr>
          <w:rFonts w:eastAsia="MS Mincho" w:cs="Times New Roman"/>
        </w:rPr>
        <w:lastRenderedPageBreak/>
        <w:t xml:space="preserve">Care for Children with Severe Disabilities, and the CalWORKs Stage 1, 2, and 3 programs. </w:t>
      </w:r>
    </w:p>
    <w:p w14:paraId="2E2BF2C6" w14:textId="77777777" w:rsidR="002736C9" w:rsidRPr="002736C9" w:rsidRDefault="002736C9" w:rsidP="002736C9">
      <w:pPr>
        <w:widowControl/>
        <w:kinsoku/>
        <w:autoSpaceDE/>
        <w:autoSpaceDN/>
        <w:spacing w:after="480" w:line="259" w:lineRule="auto"/>
        <w:jc w:val="left"/>
        <w:rPr>
          <w:rFonts w:eastAsia="MS Mincho" w:cs="Times New Roman"/>
        </w:rPr>
      </w:pPr>
      <w:r w:rsidRPr="002736C9">
        <w:rPr>
          <w:rFonts w:eastAsia="MS Mincho" w:cs="Times New Roman"/>
        </w:rPr>
        <w:t>Additional information is forthcoming to address early learning and care provider payments, contracting and reporting requirements. Specifically, the CDE is in the process of developing a management bulletin to give guidance on these bills, which will be released no later than the evening of March 17th. The CDE will additionally be developing a resource page which will include answers to frequently asked questions, the management bulletin for the recently passed legislation, and other relevant resources.</w:t>
      </w:r>
    </w:p>
    <w:p w14:paraId="119524D7" w14:textId="221CE127" w:rsidR="002B5C0D" w:rsidRPr="002736C9" w:rsidRDefault="002736C9" w:rsidP="002736C9">
      <w:pPr>
        <w:widowControl/>
        <w:kinsoku/>
        <w:autoSpaceDE/>
        <w:autoSpaceDN/>
        <w:spacing w:after="240" w:line="259" w:lineRule="auto"/>
        <w:jc w:val="center"/>
        <w:rPr>
          <w:rFonts w:ascii="Arial" w:eastAsia="MS Mincho" w:hAnsi="Arial" w:cs="Times New Roman"/>
        </w:rPr>
      </w:pPr>
      <w:r w:rsidRPr="002736C9">
        <w:rPr>
          <w:rFonts w:eastAsia="MS Mincho" w:cs="Times New Roman"/>
        </w:rPr>
        <w:t>###</w:t>
      </w:r>
    </w:p>
    <w:sectPr w:rsidR="002B5C0D" w:rsidRPr="002736C9" w:rsidSect="00F05CCE">
      <w:headerReference w:type="default" r:id="rId24"/>
      <w:footerReference w:type="default" r:id="rId25"/>
      <w:type w:val="continuous"/>
      <w:pgSz w:w="12240" w:h="15840" w:code="1"/>
      <w:pgMar w:top="1440" w:right="1440" w:bottom="1440" w:left="1440" w:header="480" w:footer="48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4A0A0" w14:textId="77777777" w:rsidR="00F3109F" w:rsidRDefault="00F3109F" w:rsidP="00BB3FE0">
      <w:r>
        <w:separator/>
      </w:r>
    </w:p>
    <w:p w14:paraId="4F02DCA9" w14:textId="77777777" w:rsidR="00F3109F" w:rsidRDefault="00F3109F" w:rsidP="00BB3FE0"/>
    <w:p w14:paraId="3BD824A0" w14:textId="77777777" w:rsidR="00F3109F" w:rsidRDefault="00F3109F" w:rsidP="00BB3FE0"/>
  </w:endnote>
  <w:endnote w:type="continuationSeparator" w:id="0">
    <w:p w14:paraId="56B4885D" w14:textId="77777777" w:rsidR="00F3109F" w:rsidRDefault="00F3109F" w:rsidP="00BB3FE0">
      <w:r>
        <w:continuationSeparator/>
      </w:r>
    </w:p>
    <w:p w14:paraId="66E038AA" w14:textId="77777777" w:rsidR="00F3109F" w:rsidRDefault="00F3109F" w:rsidP="00BB3FE0"/>
    <w:p w14:paraId="42EACCA4" w14:textId="77777777" w:rsidR="00F3109F" w:rsidRDefault="00F3109F" w:rsidP="00BB3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E601B55A-7566-4FE6-A4BA-102EDC57D531}"/>
    <w:embedBold r:id="rId2" w:fontKey="{55C932FF-869C-4BE1-8770-1A3BAF612955}"/>
    <w:embedItalic r:id="rId3" w:fontKey="{9518BC7B-922B-481C-83AD-759F801049AF}"/>
    <w:embedBoldItalic r:id="rId4" w:fontKey="{BADABB92-0CE0-4CCD-B4D0-9E682CFD8C75}"/>
  </w:font>
  <w:font w:name="MS Mincho">
    <w:altName w:val="ＭＳ 明朝"/>
    <w:panose1 w:val="02020609040205080304"/>
    <w:charset w:val="80"/>
    <w:family w:val="modern"/>
    <w:pitch w:val="fixed"/>
    <w:sig w:usb0="E00002FF" w:usb1="6AC7FDFB" w:usb2="08000012" w:usb3="00000000" w:csb0="0002009F" w:csb1="00000000"/>
    <w:embedRegular r:id="rId5" w:subsetted="1" w:fontKey="{8C295E5B-8C91-4F4A-B72D-DF207D48F018}"/>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283561"/>
      <w:docPartObj>
        <w:docPartGallery w:val="Page Numbers (Bottom of Page)"/>
        <w:docPartUnique/>
      </w:docPartObj>
    </w:sdtPr>
    <w:sdtEndPr>
      <w:rPr>
        <w:noProof/>
      </w:rPr>
    </w:sdtEndPr>
    <w:sdtContent>
      <w:p w14:paraId="0ECB58F0" w14:textId="5C1D203E" w:rsidR="00104401" w:rsidRDefault="005E2724" w:rsidP="002736C9">
        <w:pPr>
          <w:pStyle w:val="Footer"/>
          <w:jc w:val="center"/>
        </w:pPr>
        <w:r>
          <w:fldChar w:fldCharType="begin"/>
        </w:r>
        <w:r>
          <w:instrText xml:space="preserve"> PAGE   \* MERGEFORMAT </w:instrText>
        </w:r>
        <w:r>
          <w:fldChar w:fldCharType="separate"/>
        </w:r>
        <w:r w:rsidR="005453C9">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F67CA" w14:textId="77777777" w:rsidR="00F3109F" w:rsidRDefault="00F3109F" w:rsidP="00BB3FE0">
      <w:r>
        <w:separator/>
      </w:r>
    </w:p>
    <w:p w14:paraId="19DD917E" w14:textId="77777777" w:rsidR="00F3109F" w:rsidRDefault="00F3109F" w:rsidP="00BB3FE0"/>
    <w:p w14:paraId="642351D5" w14:textId="77777777" w:rsidR="00F3109F" w:rsidRDefault="00F3109F" w:rsidP="00BB3FE0"/>
  </w:footnote>
  <w:footnote w:type="continuationSeparator" w:id="0">
    <w:p w14:paraId="4462DA62" w14:textId="77777777" w:rsidR="00F3109F" w:rsidRDefault="00F3109F" w:rsidP="00BB3FE0">
      <w:r>
        <w:continuationSeparator/>
      </w:r>
    </w:p>
    <w:p w14:paraId="1F60B107" w14:textId="77777777" w:rsidR="00F3109F" w:rsidRDefault="00F3109F" w:rsidP="00BB3FE0"/>
    <w:p w14:paraId="5B7421B3" w14:textId="77777777" w:rsidR="00F3109F" w:rsidRDefault="00F3109F" w:rsidP="00BB3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DF82" w14:textId="77777777" w:rsidR="00460CE2" w:rsidRDefault="00460CE2" w:rsidP="00BB3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74B4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9E3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5266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A06E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28E11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D4BD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22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18E7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4AA5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A690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36E7F"/>
    <w:multiLevelType w:val="multilevel"/>
    <w:tmpl w:val="8D602E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EB15A5"/>
    <w:multiLevelType w:val="multilevel"/>
    <w:tmpl w:val="04E89C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08F31159"/>
    <w:multiLevelType w:val="multilevel"/>
    <w:tmpl w:val="8EB4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6D395F"/>
    <w:multiLevelType w:val="multilevel"/>
    <w:tmpl w:val="1F86B122"/>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B492FF3"/>
    <w:multiLevelType w:val="hybridMultilevel"/>
    <w:tmpl w:val="28D85F16"/>
    <w:lvl w:ilvl="0" w:tplc="4B321EC8">
      <w:numFmt w:val="bullet"/>
      <w:lvlText w:val="•"/>
      <w:lvlJc w:val="left"/>
      <w:pPr>
        <w:ind w:left="1080" w:hanging="72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63050C"/>
    <w:multiLevelType w:val="hybridMultilevel"/>
    <w:tmpl w:val="A456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315252"/>
    <w:multiLevelType w:val="hybridMultilevel"/>
    <w:tmpl w:val="C0E6A96A"/>
    <w:lvl w:ilvl="0" w:tplc="0409000F">
      <w:start w:val="1"/>
      <w:numFmt w:val="decimal"/>
      <w:lvlText w:val="%1."/>
      <w:lvlJc w:val="left"/>
      <w:pPr>
        <w:tabs>
          <w:tab w:val="num" w:pos="1680"/>
        </w:tabs>
        <w:ind w:left="1680" w:hanging="360"/>
      </w:p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7" w15:restartNumberingAfterBreak="0">
    <w:nsid w:val="0EEF1051"/>
    <w:multiLevelType w:val="hybridMultilevel"/>
    <w:tmpl w:val="4A1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133F07"/>
    <w:multiLevelType w:val="hybridMultilevel"/>
    <w:tmpl w:val="98C6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0167F"/>
    <w:multiLevelType w:val="hybridMultilevel"/>
    <w:tmpl w:val="5A92F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16E2085"/>
    <w:multiLevelType w:val="multilevel"/>
    <w:tmpl w:val="2548BC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88C1FE0"/>
    <w:multiLevelType w:val="multilevel"/>
    <w:tmpl w:val="3336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90B97"/>
    <w:multiLevelType w:val="hybridMultilevel"/>
    <w:tmpl w:val="AFE2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E4F1B"/>
    <w:multiLevelType w:val="hybridMultilevel"/>
    <w:tmpl w:val="2922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B6D41"/>
    <w:multiLevelType w:val="hybridMultilevel"/>
    <w:tmpl w:val="51A0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8122D"/>
    <w:multiLevelType w:val="hybridMultilevel"/>
    <w:tmpl w:val="F0BC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54475"/>
    <w:multiLevelType w:val="hybridMultilevel"/>
    <w:tmpl w:val="120A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12FD0"/>
    <w:multiLevelType w:val="hybridMultilevel"/>
    <w:tmpl w:val="0AA2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4A00C7"/>
    <w:multiLevelType w:val="hybridMultilevel"/>
    <w:tmpl w:val="0FDA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63FE8"/>
    <w:multiLevelType w:val="multilevel"/>
    <w:tmpl w:val="462EB2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53A5111"/>
    <w:multiLevelType w:val="hybridMultilevel"/>
    <w:tmpl w:val="61682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769CA"/>
    <w:multiLevelType w:val="hybridMultilevel"/>
    <w:tmpl w:val="9544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02D7A"/>
    <w:multiLevelType w:val="hybridMultilevel"/>
    <w:tmpl w:val="96082358"/>
    <w:lvl w:ilvl="0" w:tplc="0409000F">
      <w:start w:val="1"/>
      <w:numFmt w:val="decimal"/>
      <w:lvlText w:val="%1."/>
      <w:lvlJc w:val="left"/>
      <w:pPr>
        <w:tabs>
          <w:tab w:val="num" w:pos="1680"/>
        </w:tabs>
        <w:ind w:left="1680" w:hanging="360"/>
      </w:p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3" w15:restartNumberingAfterBreak="0">
    <w:nsid w:val="64781664"/>
    <w:multiLevelType w:val="hybridMultilevel"/>
    <w:tmpl w:val="9376B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930EA"/>
    <w:multiLevelType w:val="hybridMultilevel"/>
    <w:tmpl w:val="6B68E3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E91352"/>
    <w:multiLevelType w:val="multilevel"/>
    <w:tmpl w:val="CA00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862230"/>
    <w:multiLevelType w:val="multilevel"/>
    <w:tmpl w:val="896EB2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CA674C7"/>
    <w:multiLevelType w:val="hybridMultilevel"/>
    <w:tmpl w:val="F5869C26"/>
    <w:lvl w:ilvl="0" w:tplc="0E368488">
      <w:numFmt w:val="bullet"/>
      <w:lvlText w:val="-"/>
      <w:lvlJc w:val="left"/>
      <w:pPr>
        <w:ind w:left="430" w:hanging="360"/>
      </w:pPr>
      <w:rPr>
        <w:rFonts w:ascii="Century Gothic" w:eastAsia="Times New Roman" w:hAnsi="Century Gothic" w:cstheme="minorHAns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8" w15:restartNumberingAfterBreak="0">
    <w:nsid w:val="6E370375"/>
    <w:multiLevelType w:val="hybridMultilevel"/>
    <w:tmpl w:val="9E58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F487A"/>
    <w:multiLevelType w:val="hybridMultilevel"/>
    <w:tmpl w:val="575E0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931F85"/>
    <w:multiLevelType w:val="multilevel"/>
    <w:tmpl w:val="ECBEC8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3C50AE5"/>
    <w:multiLevelType w:val="hybridMultilevel"/>
    <w:tmpl w:val="5B623BE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F">
      <w:start w:val="1"/>
      <w:numFmt w:val="decimal"/>
      <w:lvlText w:val="%3."/>
      <w:lvlJc w:val="left"/>
      <w:pPr>
        <w:ind w:left="2280" w:hanging="360"/>
      </w:pPr>
      <w:rPr>
        <w:rFont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15:restartNumberingAfterBreak="0">
    <w:nsid w:val="741A4F2A"/>
    <w:multiLevelType w:val="hybridMultilevel"/>
    <w:tmpl w:val="6398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409E7"/>
    <w:multiLevelType w:val="multilevel"/>
    <w:tmpl w:val="0666E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A84C0E"/>
    <w:multiLevelType w:val="hybridMultilevel"/>
    <w:tmpl w:val="F9888480"/>
    <w:lvl w:ilvl="0" w:tplc="4B321EC8">
      <w:numFmt w:val="bullet"/>
      <w:lvlText w:val="•"/>
      <w:lvlJc w:val="left"/>
      <w:pPr>
        <w:ind w:left="1080" w:hanging="72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E4C2C"/>
    <w:multiLevelType w:val="hybridMultilevel"/>
    <w:tmpl w:val="0EAA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32"/>
  </w:num>
  <w:num w:numId="13">
    <w:abstractNumId w:val="18"/>
  </w:num>
  <w:num w:numId="14">
    <w:abstractNumId w:val="33"/>
  </w:num>
  <w:num w:numId="15">
    <w:abstractNumId w:val="34"/>
  </w:num>
  <w:num w:numId="16">
    <w:abstractNumId w:val="25"/>
  </w:num>
  <w:num w:numId="17">
    <w:abstractNumId w:val="38"/>
  </w:num>
  <w:num w:numId="18">
    <w:abstractNumId w:val="27"/>
  </w:num>
  <w:num w:numId="19">
    <w:abstractNumId w:val="42"/>
  </w:num>
  <w:num w:numId="20">
    <w:abstractNumId w:val="24"/>
  </w:num>
  <w:num w:numId="21">
    <w:abstractNumId w:val="22"/>
  </w:num>
  <w:num w:numId="22">
    <w:abstractNumId w:val="26"/>
  </w:num>
  <w:num w:numId="23">
    <w:abstractNumId w:val="28"/>
  </w:num>
  <w:num w:numId="24">
    <w:abstractNumId w:val="41"/>
  </w:num>
  <w:num w:numId="25">
    <w:abstractNumId w:val="17"/>
  </w:num>
  <w:num w:numId="26">
    <w:abstractNumId w:val="30"/>
  </w:num>
  <w:num w:numId="27">
    <w:abstractNumId w:val="12"/>
  </w:num>
  <w:num w:numId="28">
    <w:abstractNumId w:val="21"/>
  </w:num>
  <w:num w:numId="29">
    <w:abstractNumId w:val="23"/>
  </w:num>
  <w:num w:numId="30">
    <w:abstractNumId w:val="45"/>
  </w:num>
  <w:num w:numId="31">
    <w:abstractNumId w:val="43"/>
  </w:num>
  <w:num w:numId="32">
    <w:abstractNumId w:val="35"/>
  </w:num>
  <w:num w:numId="33">
    <w:abstractNumId w:val="10"/>
  </w:num>
  <w:num w:numId="34">
    <w:abstractNumId w:val="15"/>
  </w:num>
  <w:num w:numId="35">
    <w:abstractNumId w:val="37"/>
  </w:num>
  <w:num w:numId="36">
    <w:abstractNumId w:val="39"/>
  </w:num>
  <w:num w:numId="37">
    <w:abstractNumId w:val="20"/>
  </w:num>
  <w:num w:numId="38">
    <w:abstractNumId w:val="29"/>
  </w:num>
  <w:num w:numId="39">
    <w:abstractNumId w:val="40"/>
  </w:num>
  <w:num w:numId="40">
    <w:abstractNumId w:val="36"/>
  </w:num>
  <w:num w:numId="41">
    <w:abstractNumId w:val="11"/>
  </w:num>
  <w:num w:numId="42">
    <w:abstractNumId w:val="13"/>
  </w:num>
  <w:num w:numId="43">
    <w:abstractNumId w:val="19"/>
  </w:num>
  <w:num w:numId="44">
    <w:abstractNumId w:val="31"/>
  </w:num>
  <w:num w:numId="45">
    <w:abstractNumId w:val="14"/>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TrueTypeFonts/>
  <w:saveSubset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FE"/>
    <w:rsid w:val="00010296"/>
    <w:rsid w:val="000118B8"/>
    <w:rsid w:val="000675A7"/>
    <w:rsid w:val="000717A6"/>
    <w:rsid w:val="0009093D"/>
    <w:rsid w:val="0009128C"/>
    <w:rsid w:val="00092253"/>
    <w:rsid w:val="0009445E"/>
    <w:rsid w:val="00096E70"/>
    <w:rsid w:val="000D295B"/>
    <w:rsid w:val="000E48BF"/>
    <w:rsid w:val="000F59EF"/>
    <w:rsid w:val="0010029C"/>
    <w:rsid w:val="00104401"/>
    <w:rsid w:val="001061EA"/>
    <w:rsid w:val="001166E3"/>
    <w:rsid w:val="00131419"/>
    <w:rsid w:val="0013238D"/>
    <w:rsid w:val="00132A09"/>
    <w:rsid w:val="0014042E"/>
    <w:rsid w:val="00147DF2"/>
    <w:rsid w:val="00155954"/>
    <w:rsid w:val="001853BD"/>
    <w:rsid w:val="001B0AC2"/>
    <w:rsid w:val="001B30ED"/>
    <w:rsid w:val="001B4125"/>
    <w:rsid w:val="001C2530"/>
    <w:rsid w:val="001C64A5"/>
    <w:rsid w:val="002018D8"/>
    <w:rsid w:val="00211960"/>
    <w:rsid w:val="00220951"/>
    <w:rsid w:val="0022707F"/>
    <w:rsid w:val="00234654"/>
    <w:rsid w:val="00234EA0"/>
    <w:rsid w:val="002736C9"/>
    <w:rsid w:val="00282D8B"/>
    <w:rsid w:val="002A042F"/>
    <w:rsid w:val="002B5C0D"/>
    <w:rsid w:val="002C0C4F"/>
    <w:rsid w:val="002C5249"/>
    <w:rsid w:val="002F5ADD"/>
    <w:rsid w:val="002F6596"/>
    <w:rsid w:val="003118D1"/>
    <w:rsid w:val="003237CF"/>
    <w:rsid w:val="00331520"/>
    <w:rsid w:val="003319B9"/>
    <w:rsid w:val="0033244C"/>
    <w:rsid w:val="00344D3A"/>
    <w:rsid w:val="00357BF3"/>
    <w:rsid w:val="003641F2"/>
    <w:rsid w:val="003937DD"/>
    <w:rsid w:val="003C2BEA"/>
    <w:rsid w:val="003C5F94"/>
    <w:rsid w:val="003D2CC3"/>
    <w:rsid w:val="003D34BD"/>
    <w:rsid w:val="003E6627"/>
    <w:rsid w:val="003E6BAB"/>
    <w:rsid w:val="003F07C2"/>
    <w:rsid w:val="003F78EF"/>
    <w:rsid w:val="00425DA2"/>
    <w:rsid w:val="00425DB2"/>
    <w:rsid w:val="00447275"/>
    <w:rsid w:val="00450D67"/>
    <w:rsid w:val="004543BC"/>
    <w:rsid w:val="00460CE2"/>
    <w:rsid w:val="00462923"/>
    <w:rsid w:val="0046562E"/>
    <w:rsid w:val="0049047A"/>
    <w:rsid w:val="0049158E"/>
    <w:rsid w:val="004A2331"/>
    <w:rsid w:val="004B23EC"/>
    <w:rsid w:val="004C3E81"/>
    <w:rsid w:val="004D0204"/>
    <w:rsid w:val="004D22C5"/>
    <w:rsid w:val="004D4EAF"/>
    <w:rsid w:val="004F5DC5"/>
    <w:rsid w:val="005018C7"/>
    <w:rsid w:val="005453C9"/>
    <w:rsid w:val="005539A0"/>
    <w:rsid w:val="005561F8"/>
    <w:rsid w:val="00556F05"/>
    <w:rsid w:val="00560796"/>
    <w:rsid w:val="0056470D"/>
    <w:rsid w:val="0056794C"/>
    <w:rsid w:val="005878F5"/>
    <w:rsid w:val="005B07A7"/>
    <w:rsid w:val="005B477E"/>
    <w:rsid w:val="005B53BE"/>
    <w:rsid w:val="005C36F1"/>
    <w:rsid w:val="005D1ECE"/>
    <w:rsid w:val="005D4166"/>
    <w:rsid w:val="005E2724"/>
    <w:rsid w:val="005F044F"/>
    <w:rsid w:val="005F0AE0"/>
    <w:rsid w:val="005F6BB1"/>
    <w:rsid w:val="005F7ABF"/>
    <w:rsid w:val="0060257B"/>
    <w:rsid w:val="0061140D"/>
    <w:rsid w:val="006335FE"/>
    <w:rsid w:val="006529F7"/>
    <w:rsid w:val="00672503"/>
    <w:rsid w:val="006810AF"/>
    <w:rsid w:val="006825E0"/>
    <w:rsid w:val="00694155"/>
    <w:rsid w:val="00695AE4"/>
    <w:rsid w:val="006A4EAE"/>
    <w:rsid w:val="006A70B2"/>
    <w:rsid w:val="006B42C9"/>
    <w:rsid w:val="006C3BE3"/>
    <w:rsid w:val="006D3A5C"/>
    <w:rsid w:val="006F0974"/>
    <w:rsid w:val="00740B3B"/>
    <w:rsid w:val="0075484E"/>
    <w:rsid w:val="00755811"/>
    <w:rsid w:val="00763282"/>
    <w:rsid w:val="00766B87"/>
    <w:rsid w:val="00783080"/>
    <w:rsid w:val="007C17F2"/>
    <w:rsid w:val="007C6A5D"/>
    <w:rsid w:val="007D10AD"/>
    <w:rsid w:val="007D1C60"/>
    <w:rsid w:val="007D7378"/>
    <w:rsid w:val="007E22AD"/>
    <w:rsid w:val="008130D4"/>
    <w:rsid w:val="0082602B"/>
    <w:rsid w:val="00837213"/>
    <w:rsid w:val="00863DC5"/>
    <w:rsid w:val="00865763"/>
    <w:rsid w:val="008744F4"/>
    <w:rsid w:val="00882D7E"/>
    <w:rsid w:val="00897BA0"/>
    <w:rsid w:val="008A124F"/>
    <w:rsid w:val="008B5745"/>
    <w:rsid w:val="008C6836"/>
    <w:rsid w:val="008D1B68"/>
    <w:rsid w:val="008F27B0"/>
    <w:rsid w:val="008F55B8"/>
    <w:rsid w:val="0090217D"/>
    <w:rsid w:val="009210F8"/>
    <w:rsid w:val="009218C6"/>
    <w:rsid w:val="009318D4"/>
    <w:rsid w:val="009438AF"/>
    <w:rsid w:val="00943E0B"/>
    <w:rsid w:val="00951BAE"/>
    <w:rsid w:val="009657D7"/>
    <w:rsid w:val="00971699"/>
    <w:rsid w:val="00981897"/>
    <w:rsid w:val="00981CA6"/>
    <w:rsid w:val="00984504"/>
    <w:rsid w:val="00995CB7"/>
    <w:rsid w:val="00995ED7"/>
    <w:rsid w:val="009978A8"/>
    <w:rsid w:val="009A16C3"/>
    <w:rsid w:val="009A67B7"/>
    <w:rsid w:val="009B129F"/>
    <w:rsid w:val="009C4956"/>
    <w:rsid w:val="009E0AEC"/>
    <w:rsid w:val="00A06424"/>
    <w:rsid w:val="00A1127A"/>
    <w:rsid w:val="00A25B41"/>
    <w:rsid w:val="00A328C2"/>
    <w:rsid w:val="00A33675"/>
    <w:rsid w:val="00A351E4"/>
    <w:rsid w:val="00A60472"/>
    <w:rsid w:val="00A839A7"/>
    <w:rsid w:val="00A9641D"/>
    <w:rsid w:val="00AB383B"/>
    <w:rsid w:val="00AC1A1D"/>
    <w:rsid w:val="00AC3A59"/>
    <w:rsid w:val="00AC6E29"/>
    <w:rsid w:val="00AE6DD5"/>
    <w:rsid w:val="00AE72F7"/>
    <w:rsid w:val="00B10D14"/>
    <w:rsid w:val="00B244B5"/>
    <w:rsid w:val="00B2695F"/>
    <w:rsid w:val="00B3214C"/>
    <w:rsid w:val="00B55BE8"/>
    <w:rsid w:val="00B57B42"/>
    <w:rsid w:val="00B6686A"/>
    <w:rsid w:val="00B71B64"/>
    <w:rsid w:val="00B81473"/>
    <w:rsid w:val="00B82E4A"/>
    <w:rsid w:val="00B85927"/>
    <w:rsid w:val="00B86BDF"/>
    <w:rsid w:val="00B92B15"/>
    <w:rsid w:val="00B97BC0"/>
    <w:rsid w:val="00BB0526"/>
    <w:rsid w:val="00BB3FE0"/>
    <w:rsid w:val="00BC3E9F"/>
    <w:rsid w:val="00BC4F0F"/>
    <w:rsid w:val="00BD7D7F"/>
    <w:rsid w:val="00BE1E6C"/>
    <w:rsid w:val="00BE2489"/>
    <w:rsid w:val="00BF5234"/>
    <w:rsid w:val="00BF5FA6"/>
    <w:rsid w:val="00C00E50"/>
    <w:rsid w:val="00C05B90"/>
    <w:rsid w:val="00C203B0"/>
    <w:rsid w:val="00C26DBC"/>
    <w:rsid w:val="00C30EDA"/>
    <w:rsid w:val="00C339A9"/>
    <w:rsid w:val="00C35BD1"/>
    <w:rsid w:val="00C61239"/>
    <w:rsid w:val="00C63F0F"/>
    <w:rsid w:val="00C740A6"/>
    <w:rsid w:val="00C878C7"/>
    <w:rsid w:val="00CD25D2"/>
    <w:rsid w:val="00CD3D81"/>
    <w:rsid w:val="00CE3235"/>
    <w:rsid w:val="00CF2323"/>
    <w:rsid w:val="00CF753D"/>
    <w:rsid w:val="00D0538B"/>
    <w:rsid w:val="00D22C46"/>
    <w:rsid w:val="00D242AE"/>
    <w:rsid w:val="00D248EA"/>
    <w:rsid w:val="00D26CE6"/>
    <w:rsid w:val="00D35123"/>
    <w:rsid w:val="00D4190D"/>
    <w:rsid w:val="00D44614"/>
    <w:rsid w:val="00D457FC"/>
    <w:rsid w:val="00D469D5"/>
    <w:rsid w:val="00D607F2"/>
    <w:rsid w:val="00DA06F0"/>
    <w:rsid w:val="00DC0214"/>
    <w:rsid w:val="00DE7EB4"/>
    <w:rsid w:val="00E010AF"/>
    <w:rsid w:val="00E0667F"/>
    <w:rsid w:val="00E1589B"/>
    <w:rsid w:val="00E300F2"/>
    <w:rsid w:val="00E3691E"/>
    <w:rsid w:val="00E550FE"/>
    <w:rsid w:val="00E6056E"/>
    <w:rsid w:val="00E66278"/>
    <w:rsid w:val="00E83D8D"/>
    <w:rsid w:val="00E930EF"/>
    <w:rsid w:val="00E97351"/>
    <w:rsid w:val="00EA0C3C"/>
    <w:rsid w:val="00EB3897"/>
    <w:rsid w:val="00EB6C4B"/>
    <w:rsid w:val="00EE005D"/>
    <w:rsid w:val="00F05CCE"/>
    <w:rsid w:val="00F05FD2"/>
    <w:rsid w:val="00F223E6"/>
    <w:rsid w:val="00F237F4"/>
    <w:rsid w:val="00F3109F"/>
    <w:rsid w:val="00F43395"/>
    <w:rsid w:val="00F53F7B"/>
    <w:rsid w:val="00F70FEE"/>
    <w:rsid w:val="00F82D86"/>
    <w:rsid w:val="00F91403"/>
    <w:rsid w:val="00F957C0"/>
    <w:rsid w:val="00FA3245"/>
    <w:rsid w:val="00FB4595"/>
    <w:rsid w:val="00FC25B8"/>
    <w:rsid w:val="00FC4164"/>
    <w:rsid w:val="00FD6885"/>
    <w:rsid w:val="00FF7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3DF6B"/>
  <w15:docId w15:val="{DC98EFF1-F3FD-475B-83BC-9202798B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FE0"/>
    <w:pPr>
      <w:widowControl w:val="0"/>
      <w:kinsoku w:val="0"/>
      <w:autoSpaceDE w:val="0"/>
      <w:autoSpaceDN w:val="0"/>
      <w:jc w:val="both"/>
    </w:pPr>
    <w:rPr>
      <w:rFonts w:ascii="Century Gothic" w:hAnsi="Century Gothic" w:cs="Arial"/>
      <w:sz w:val="24"/>
      <w:szCs w:val="24"/>
    </w:rPr>
  </w:style>
  <w:style w:type="paragraph" w:styleId="Heading1">
    <w:name w:val="heading 1"/>
    <w:basedOn w:val="Header"/>
    <w:next w:val="Normal"/>
    <w:qFormat/>
    <w:rsid w:val="00BB3FE0"/>
    <w:pPr>
      <w:jc w:val="center"/>
      <w:outlineLvl w:val="0"/>
    </w:pPr>
    <w:rPr>
      <w:b/>
    </w:rPr>
  </w:style>
  <w:style w:type="paragraph" w:styleId="Heading2">
    <w:name w:val="heading 2"/>
    <w:basedOn w:val="Normal"/>
    <w:next w:val="Normal"/>
    <w:qFormat/>
    <w:pPr>
      <w:keepNext/>
      <w:spacing w:before="240" w:after="60"/>
      <w:outlineLvl w:val="1"/>
    </w:pPr>
    <w:rPr>
      <w:rFonts w:ascii="Arial" w:hAnsi="Arial"/>
      <w:b/>
      <w:bCs/>
      <w:i/>
      <w:iCs/>
      <w:sz w:val="28"/>
      <w:szCs w:val="28"/>
    </w:rPr>
  </w:style>
  <w:style w:type="paragraph" w:styleId="Heading3">
    <w:name w:val="heading 3"/>
    <w:basedOn w:val="Normal"/>
    <w:next w:val="Normal"/>
    <w:qFormat/>
    <w:pPr>
      <w:keepNext/>
      <w:spacing w:before="240" w:after="60"/>
      <w:outlineLvl w:val="2"/>
    </w:pPr>
    <w:rPr>
      <w:rFonts w:ascii="Arial" w:hAnsi="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3FE0"/>
    <w:pPr>
      <w:tabs>
        <w:tab w:val="left" w:pos="3240"/>
      </w:tabs>
      <w:ind w:left="1440" w:firstLine="1710"/>
      <w:jc w:val="center"/>
    </w:pPr>
    <w:rPr>
      <w:color w:val="000000"/>
      <w:szCs w:val="28"/>
    </w:rPr>
  </w:style>
  <w:style w:type="paragraph" w:styleId="Subtitle">
    <w:name w:val="Subtitle"/>
    <w:basedOn w:val="Normal"/>
    <w:qFormat/>
    <w:pPr>
      <w:jc w:val="center"/>
    </w:pPr>
    <w:rPr>
      <w:color w:val="333399"/>
      <w:sz w:val="44"/>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szCs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uiPriority w:val="99"/>
    <w:semiHidden/>
    <w:rPr>
      <w:sz w:val="16"/>
      <w:szCs w:val="16"/>
    </w:rPr>
  </w:style>
  <w:style w:type="paragraph" w:styleId="ListParagraph">
    <w:name w:val="List Paragraph"/>
    <w:basedOn w:val="Normal"/>
    <w:uiPriority w:val="34"/>
    <w:qFormat/>
    <w:rsid w:val="00E3691E"/>
    <w:pPr>
      <w:spacing w:after="200" w:line="276" w:lineRule="auto"/>
      <w:ind w:left="720"/>
      <w:contextualSpacing/>
    </w:pPr>
    <w:rPr>
      <w:rFonts w:ascii="Calibri" w:eastAsia="Calibri" w:hAnsi="Calibri"/>
      <w:sz w:val="22"/>
      <w:szCs w:val="22"/>
    </w:rPr>
  </w:style>
  <w:style w:type="paragraph" w:customStyle="1" w:styleId="Default">
    <w:name w:val="Default"/>
    <w:rsid w:val="00E3691E"/>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E3691E"/>
    <w:rPr>
      <w:rFonts w:ascii="Tahoma" w:hAnsi="Tahoma" w:cs="Tahoma"/>
      <w:sz w:val="16"/>
      <w:szCs w:val="16"/>
    </w:rPr>
  </w:style>
  <w:style w:type="character" w:customStyle="1" w:styleId="BalloonTextChar">
    <w:name w:val="Balloon Text Char"/>
    <w:link w:val="BalloonText"/>
    <w:rsid w:val="00E3691E"/>
    <w:rPr>
      <w:rFonts w:ascii="Tahoma" w:hAnsi="Tahoma" w:cs="Tahoma"/>
      <w:sz w:val="16"/>
      <w:szCs w:val="16"/>
    </w:rPr>
  </w:style>
  <w:style w:type="character" w:customStyle="1" w:styleId="FooterChar">
    <w:name w:val="Footer Char"/>
    <w:basedOn w:val="DefaultParagraphFont"/>
    <w:link w:val="Footer"/>
    <w:uiPriority w:val="99"/>
    <w:rsid w:val="00AC3A59"/>
    <w:rPr>
      <w:sz w:val="24"/>
      <w:szCs w:val="24"/>
    </w:rPr>
  </w:style>
  <w:style w:type="table" w:styleId="TableGrid">
    <w:name w:val="Table Grid"/>
    <w:basedOn w:val="TableNormal"/>
    <w:rsid w:val="00AC3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561F8"/>
    <w:rPr>
      <w:sz w:val="24"/>
      <w:szCs w:val="24"/>
    </w:rPr>
  </w:style>
  <w:style w:type="character" w:customStyle="1" w:styleId="CommentTextChar">
    <w:name w:val="Comment Text Char"/>
    <w:basedOn w:val="DefaultParagraphFont"/>
    <w:link w:val="CommentText"/>
    <w:uiPriority w:val="99"/>
    <w:semiHidden/>
    <w:rsid w:val="003237CF"/>
  </w:style>
  <w:style w:type="paragraph" w:styleId="Revision">
    <w:name w:val="Revision"/>
    <w:hidden/>
    <w:uiPriority w:val="99"/>
    <w:semiHidden/>
    <w:rsid w:val="00A9641D"/>
    <w:rPr>
      <w:sz w:val="24"/>
      <w:szCs w:val="24"/>
    </w:rPr>
  </w:style>
  <w:style w:type="paragraph" w:styleId="CommentSubject">
    <w:name w:val="annotation subject"/>
    <w:basedOn w:val="CommentText"/>
    <w:next w:val="CommentText"/>
    <w:link w:val="CommentSubjectChar"/>
    <w:semiHidden/>
    <w:unhideWhenUsed/>
    <w:rsid w:val="00D242AE"/>
    <w:rPr>
      <w:b/>
      <w:bCs/>
    </w:rPr>
  </w:style>
  <w:style w:type="character" w:customStyle="1" w:styleId="CommentSubjectChar">
    <w:name w:val="Comment Subject Char"/>
    <w:basedOn w:val="CommentTextChar"/>
    <w:link w:val="CommentSubject"/>
    <w:semiHidden/>
    <w:rsid w:val="00D242AE"/>
    <w:rPr>
      <w:b/>
      <w:bCs/>
    </w:rPr>
  </w:style>
  <w:style w:type="character" w:styleId="Strong">
    <w:name w:val="Strong"/>
    <w:basedOn w:val="DefaultParagraphFont"/>
    <w:uiPriority w:val="22"/>
    <w:qFormat/>
    <w:rsid w:val="00B86BDF"/>
    <w:rPr>
      <w:b/>
      <w:bCs/>
    </w:rPr>
  </w:style>
  <w:style w:type="character" w:styleId="UnresolvedMention">
    <w:name w:val="Unresolved Mention"/>
    <w:basedOn w:val="DefaultParagraphFont"/>
    <w:uiPriority w:val="99"/>
    <w:semiHidden/>
    <w:unhideWhenUsed/>
    <w:rsid w:val="00FD6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7837">
      <w:bodyDiv w:val="1"/>
      <w:marLeft w:val="0"/>
      <w:marRight w:val="0"/>
      <w:marTop w:val="0"/>
      <w:marBottom w:val="0"/>
      <w:divBdr>
        <w:top w:val="none" w:sz="0" w:space="0" w:color="auto"/>
        <w:left w:val="none" w:sz="0" w:space="0" w:color="auto"/>
        <w:bottom w:val="none" w:sz="0" w:space="0" w:color="auto"/>
        <w:right w:val="none" w:sz="0" w:space="0" w:color="auto"/>
      </w:divBdr>
    </w:div>
    <w:div w:id="204147659">
      <w:bodyDiv w:val="1"/>
      <w:marLeft w:val="0"/>
      <w:marRight w:val="0"/>
      <w:marTop w:val="0"/>
      <w:marBottom w:val="0"/>
      <w:divBdr>
        <w:top w:val="none" w:sz="0" w:space="0" w:color="auto"/>
        <w:left w:val="none" w:sz="0" w:space="0" w:color="auto"/>
        <w:bottom w:val="none" w:sz="0" w:space="0" w:color="auto"/>
        <w:right w:val="none" w:sz="0" w:space="0" w:color="auto"/>
      </w:divBdr>
    </w:div>
    <w:div w:id="460416972">
      <w:bodyDiv w:val="1"/>
      <w:marLeft w:val="0"/>
      <w:marRight w:val="0"/>
      <w:marTop w:val="0"/>
      <w:marBottom w:val="0"/>
      <w:divBdr>
        <w:top w:val="none" w:sz="0" w:space="0" w:color="auto"/>
        <w:left w:val="none" w:sz="0" w:space="0" w:color="auto"/>
        <w:bottom w:val="none" w:sz="0" w:space="0" w:color="auto"/>
        <w:right w:val="none" w:sz="0" w:space="0" w:color="auto"/>
      </w:divBdr>
    </w:div>
    <w:div w:id="1040016358">
      <w:bodyDiv w:val="1"/>
      <w:marLeft w:val="0"/>
      <w:marRight w:val="0"/>
      <w:marTop w:val="0"/>
      <w:marBottom w:val="0"/>
      <w:divBdr>
        <w:top w:val="none" w:sz="0" w:space="0" w:color="auto"/>
        <w:left w:val="none" w:sz="0" w:space="0" w:color="auto"/>
        <w:bottom w:val="none" w:sz="0" w:space="0" w:color="auto"/>
        <w:right w:val="none" w:sz="0" w:space="0" w:color="auto"/>
      </w:divBdr>
    </w:div>
    <w:div w:id="1109394862">
      <w:bodyDiv w:val="1"/>
      <w:marLeft w:val="0"/>
      <w:marRight w:val="0"/>
      <w:marTop w:val="0"/>
      <w:marBottom w:val="0"/>
      <w:divBdr>
        <w:top w:val="none" w:sz="0" w:space="0" w:color="auto"/>
        <w:left w:val="none" w:sz="0" w:space="0" w:color="auto"/>
        <w:bottom w:val="none" w:sz="0" w:space="0" w:color="auto"/>
        <w:right w:val="none" w:sz="0" w:space="0" w:color="auto"/>
      </w:divBdr>
    </w:div>
    <w:div w:id="1189493478">
      <w:bodyDiv w:val="1"/>
      <w:marLeft w:val="0"/>
      <w:marRight w:val="0"/>
      <w:marTop w:val="0"/>
      <w:marBottom w:val="0"/>
      <w:divBdr>
        <w:top w:val="none" w:sz="0" w:space="0" w:color="auto"/>
        <w:left w:val="none" w:sz="0" w:space="0" w:color="auto"/>
        <w:bottom w:val="none" w:sz="0" w:space="0" w:color="auto"/>
        <w:right w:val="none" w:sz="0" w:space="0" w:color="auto"/>
      </w:divBdr>
    </w:div>
    <w:div w:id="1323505733">
      <w:bodyDiv w:val="1"/>
      <w:marLeft w:val="0"/>
      <w:marRight w:val="0"/>
      <w:marTop w:val="0"/>
      <w:marBottom w:val="0"/>
      <w:divBdr>
        <w:top w:val="none" w:sz="0" w:space="0" w:color="auto"/>
        <w:left w:val="none" w:sz="0" w:space="0" w:color="auto"/>
        <w:bottom w:val="none" w:sz="0" w:space="0" w:color="auto"/>
        <w:right w:val="none" w:sz="0" w:space="0" w:color="auto"/>
      </w:divBdr>
    </w:div>
    <w:div w:id="1424257440">
      <w:bodyDiv w:val="1"/>
      <w:marLeft w:val="0"/>
      <w:marRight w:val="0"/>
      <w:marTop w:val="0"/>
      <w:marBottom w:val="0"/>
      <w:divBdr>
        <w:top w:val="none" w:sz="0" w:space="0" w:color="auto"/>
        <w:left w:val="none" w:sz="0" w:space="0" w:color="auto"/>
        <w:bottom w:val="none" w:sz="0" w:space="0" w:color="auto"/>
        <w:right w:val="none" w:sz="0" w:space="0" w:color="auto"/>
      </w:divBdr>
    </w:div>
    <w:div w:id="1482040238">
      <w:bodyDiv w:val="1"/>
      <w:marLeft w:val="0"/>
      <w:marRight w:val="0"/>
      <w:marTop w:val="0"/>
      <w:marBottom w:val="0"/>
      <w:divBdr>
        <w:top w:val="none" w:sz="0" w:space="0" w:color="auto"/>
        <w:left w:val="none" w:sz="0" w:space="0" w:color="auto"/>
        <w:bottom w:val="none" w:sz="0" w:space="0" w:color="auto"/>
        <w:right w:val="none" w:sz="0" w:space="0" w:color="auto"/>
      </w:divBdr>
    </w:div>
    <w:div w:id="1592660448">
      <w:bodyDiv w:val="1"/>
      <w:marLeft w:val="0"/>
      <w:marRight w:val="0"/>
      <w:marTop w:val="0"/>
      <w:marBottom w:val="0"/>
      <w:divBdr>
        <w:top w:val="none" w:sz="0" w:space="0" w:color="auto"/>
        <w:left w:val="none" w:sz="0" w:space="0" w:color="auto"/>
        <w:bottom w:val="none" w:sz="0" w:space="0" w:color="auto"/>
        <w:right w:val="none" w:sz="0" w:space="0" w:color="auto"/>
      </w:divBdr>
    </w:div>
    <w:div w:id="1777290215">
      <w:bodyDiv w:val="1"/>
      <w:marLeft w:val="0"/>
      <w:marRight w:val="0"/>
      <w:marTop w:val="0"/>
      <w:marBottom w:val="0"/>
      <w:divBdr>
        <w:top w:val="none" w:sz="0" w:space="0" w:color="auto"/>
        <w:left w:val="none" w:sz="0" w:space="0" w:color="auto"/>
        <w:bottom w:val="none" w:sz="0" w:space="0" w:color="auto"/>
        <w:right w:val="none" w:sz="0" w:space="0" w:color="auto"/>
      </w:divBdr>
    </w:div>
    <w:div w:id="184825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rnetwork.org/" TargetMode="External"/><Relationship Id="rId18" Type="http://schemas.openxmlformats.org/officeDocument/2006/relationships/hyperlink" Target="https://www.cdss.ca.gov/Portals/9/CCLD/Community%20Care%20Licensing%20Division%20Child%20Care%20Offic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bor.ca.gov/coronavirus2019/" TargetMode="External"/><Relationship Id="rId7" Type="http://schemas.openxmlformats.org/officeDocument/2006/relationships/settings" Target="settings.xml"/><Relationship Id="rId12" Type="http://schemas.openxmlformats.org/officeDocument/2006/relationships/hyperlink" Target="https://www.gov.ca.gov/wp-content/uploads/2020/03/3.13.20-EO-N-26-20-Schools.pdf" TargetMode="External"/><Relationship Id="rId17" Type="http://schemas.openxmlformats.org/officeDocument/2006/relationships/hyperlink" Target="https://rrnetwork.org/family-services/find-child-care%2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rnetwork.org/%20" TargetMode="External"/><Relationship Id="rId20" Type="http://schemas.openxmlformats.org/officeDocument/2006/relationships/hyperlink" Target="https://www.cdph.ca.gov/Programs/CID/DCDC/CDPH%20Document%20Library/School%20Guidance_ADA%20Compliant_FINAL.pdf%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dss.ca.gov/Portals/9/CCLD/Community%20Care%20Licensing%20Division%20Child%20Care%20Offices.pdf" TargetMode="External"/><Relationship Id="rId23" Type="http://schemas.openxmlformats.org/officeDocument/2006/relationships/hyperlink" Target="https://www.cdss.ca.gov/Portals/9/CCLD/PINs/2020/CCP/PIN_20-04-CCP.pdf" TargetMode="External"/><Relationship Id="rId10" Type="http://schemas.openxmlformats.org/officeDocument/2006/relationships/endnotes" Target="endnotes.xml"/><Relationship Id="rId19" Type="http://schemas.openxmlformats.org/officeDocument/2006/relationships/hyperlink" Target="https://www.cdc.gov/coronavirus/2019-ncov/downloads/considerations-for-school-closur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rnetwork.org/family-services/find-child-care%20" TargetMode="External"/><Relationship Id="rId22" Type="http://schemas.openxmlformats.org/officeDocument/2006/relationships/hyperlink" Target="https://www.dir.ca.gov/dosh/Coronavirus/COVID-19-Infection-Prevention-in-Childcare-Programs-Guidance.pdf"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8AF8602C77E14AAA96627DAC73F84F" ma:contentTypeVersion="2" ma:contentTypeDescription="Create a new document." ma:contentTypeScope="" ma:versionID="a3079b5b76e0eb2a38e85f5d355c99cc">
  <xsd:schema xmlns:xsd="http://www.w3.org/2001/XMLSchema" xmlns:xs="http://www.w3.org/2001/XMLSchema" xmlns:p="http://schemas.microsoft.com/office/2006/metadata/properties" xmlns:ns2="be4e5ba1-045a-445e-9a99-cc8ea4c4eea4" targetNamespace="http://schemas.microsoft.com/office/2006/metadata/properties" ma:root="true" ma:fieldsID="8248898363808852eb5afb40c50d1251" ns2:_="">
    <xsd:import namespace="be4e5ba1-045a-445e-9a99-cc8ea4c4eea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e5ba1-045a-445e-9a99-cc8ea4c4e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01DB2-B3EA-4666-BDE7-9157DB882BB0}">
  <ds:schemaRefs>
    <ds:schemaRef ds:uri="http://schemas.microsoft.com/sharepoint/v3/contenttype/forms"/>
  </ds:schemaRefs>
</ds:datastoreItem>
</file>

<file path=customXml/itemProps2.xml><?xml version="1.0" encoding="utf-8"?>
<ds:datastoreItem xmlns:ds="http://schemas.openxmlformats.org/officeDocument/2006/customXml" ds:itemID="{B5A11689-DBE1-45CA-BBD1-0729AB3DF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e5ba1-045a-445e-9a99-cc8ea4c4e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C4BE7-22AA-45D0-813C-95C7BD1B4B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BA8B10-3C77-48B8-BB11-8F24DD728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CDPH Letterhead</vt:lpstr>
    </vt:vector>
  </TitlesOfParts>
  <Manager>Program Support Branch</Manager>
  <Company>CDPH</Company>
  <LinksUpToDate>false</LinksUpToDate>
  <CharactersWithSpaces>16191</CharactersWithSpaces>
  <SharedDoc>false</SharedDoc>
  <HLinks>
    <vt:vector size="6" baseType="variant">
      <vt:variant>
        <vt:i4>6684798</vt:i4>
      </vt:variant>
      <vt:variant>
        <vt:i4>0</vt:i4>
      </vt:variant>
      <vt:variant>
        <vt:i4>0</vt:i4>
      </vt:variant>
      <vt:variant>
        <vt:i4>5</vt:i4>
      </vt:variant>
      <vt:variant>
        <vt:lpwstr>http://www.cdph.ca.gov/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Guidance for Child Care and Student Supervision - Health (CA Dept of Education)</dc:title>
  <dc:subject>This document is intended to be statewide guidance to help both individuals and caregivers inform their decision making as school closures due to COVID become more prevalent.</dc:subject>
  <dc:creator>CDPH</dc:creator>
  <cp:keywords>letterhead, state seal, CDPH logo</cp:keywords>
  <cp:lastModifiedBy>Clayton Silva</cp:lastModifiedBy>
  <cp:revision>2</cp:revision>
  <cp:lastPrinted>2015-03-16T22:53:00Z</cp:lastPrinted>
  <dcterms:created xsi:type="dcterms:W3CDTF">2020-03-18T00:12:00Z</dcterms:created>
  <dcterms:modified xsi:type="dcterms:W3CDTF">2020-03-18T00:12:00Z</dcterms:modified>
  <cp:category>Correspondence IntrAnet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0x010100118AF8602C77E14AAA96627DAC73F84F</vt:lpwstr>
  </property>
  <property fmtid="{D5CDD505-2E9C-101B-9397-08002B2CF9AE}" pid="4" name="Order">
    <vt:r8>380900</vt:r8>
  </property>
</Properties>
</file>