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6B6A" w14:textId="64B9E72B" w:rsidR="007428B8" w:rsidRDefault="00BB7FD0" w:rsidP="00CA41A9">
      <w:pPr>
        <w:pStyle w:val="Heading1"/>
      </w:pPr>
      <w:r w:rsidRPr="00871436">
        <w:t>Workforce Readiness Excerpts from the 202</w:t>
      </w:r>
      <w:r w:rsidR="00FF56BA">
        <w:t>4–27</w:t>
      </w:r>
      <w:r w:rsidRPr="00871436">
        <w:t xml:space="preserve"> </w:t>
      </w:r>
      <w:r w:rsidR="00FF56BA">
        <w:br/>
        <w:t xml:space="preserve">Federal </w:t>
      </w:r>
      <w:r w:rsidRPr="00871436">
        <w:t xml:space="preserve">Perkins </w:t>
      </w:r>
      <w:r w:rsidR="00FF56BA">
        <w:t xml:space="preserve">V </w:t>
      </w:r>
      <w:r w:rsidRPr="00871436">
        <w:t>State Plan</w:t>
      </w:r>
    </w:p>
    <w:p w14:paraId="3431BDAC" w14:textId="35E7CA9B" w:rsidR="00FF56BA" w:rsidRPr="00FF56BA" w:rsidRDefault="00FF56BA" w:rsidP="00CA41A9">
      <w:pPr>
        <w:spacing w:after="480" w:line="240" w:lineRule="auto"/>
        <w:rPr>
          <w:rFonts w:eastAsia="Aptos" w:cs="Arial"/>
          <w:szCs w:val="24"/>
        </w:rPr>
      </w:pPr>
      <w:r w:rsidRPr="00FF56BA">
        <w:rPr>
          <w:rFonts w:eastAsia="Aptos" w:cs="Arial"/>
          <w:szCs w:val="24"/>
        </w:rPr>
        <w:t xml:space="preserve">The Federal Strengthening Career and Technical Education (CTE) for the 21st Century Act (Perkins V) legislation requires states to submit a State Plan to the U.S. Department of Education. The plan describes what activities will be undertaken to improve, enhance, and expand high-quality CTE programs throughout California. The </w:t>
      </w:r>
      <w:hyperlink r:id="rId7" w:history="1">
        <w:r w:rsidRPr="00FF56BA">
          <w:rPr>
            <w:rFonts w:eastAsia="Aptos" w:cs="Arial"/>
            <w:color w:val="0000FF"/>
            <w:szCs w:val="24"/>
            <w:u w:val="single"/>
          </w:rPr>
          <w:t>2024–27 Federal Perkins V State Plan</w:t>
        </w:r>
      </w:hyperlink>
      <w:r w:rsidRPr="00FF56BA">
        <w:rPr>
          <w:rFonts w:eastAsia="Aptos" w:cs="Arial"/>
          <w:szCs w:val="24"/>
        </w:rPr>
        <w:t xml:space="preserve"> was fully approved in Summer 2024.</w:t>
      </w:r>
    </w:p>
    <w:tbl>
      <w:tblPr>
        <w:tblStyle w:val="TableGrid"/>
        <w:tblW w:w="9450" w:type="dxa"/>
        <w:tblInd w:w="-5" w:type="dxa"/>
        <w:tblLook w:val="04A0" w:firstRow="1" w:lastRow="0" w:firstColumn="1" w:lastColumn="0" w:noHBand="0" w:noVBand="1"/>
        <w:tblDescription w:val="Excerpts from the 2024-27 Federal Strengthening Career and Technical Education for the 21st Century Act (Perkins V) State Plan"/>
      </w:tblPr>
      <w:tblGrid>
        <w:gridCol w:w="1170"/>
        <w:gridCol w:w="8280"/>
      </w:tblGrid>
      <w:tr w:rsidR="002C24D2" w14:paraId="49B9EABA" w14:textId="77777777" w:rsidTr="00241ABA">
        <w:trPr>
          <w:cantSplit/>
          <w:trHeight w:val="360"/>
          <w:tblHeader/>
        </w:trPr>
        <w:tc>
          <w:tcPr>
            <w:tcW w:w="1170" w:type="dxa"/>
          </w:tcPr>
          <w:p w14:paraId="5CBCF594" w14:textId="77777777" w:rsidR="002C24D2" w:rsidRDefault="002C24D2" w:rsidP="009E0430">
            <w:pPr>
              <w:spacing w:before="120" w:after="120"/>
              <w:jc w:val="center"/>
            </w:pPr>
            <w:r>
              <w:t>Page</w:t>
            </w:r>
          </w:p>
        </w:tc>
        <w:tc>
          <w:tcPr>
            <w:tcW w:w="8280" w:type="dxa"/>
          </w:tcPr>
          <w:p w14:paraId="58262081" w14:textId="77777777" w:rsidR="002C24D2" w:rsidRDefault="002C24D2" w:rsidP="00871436">
            <w:pPr>
              <w:spacing w:before="120" w:after="120"/>
            </w:pPr>
            <w:r>
              <w:t>Language</w:t>
            </w:r>
          </w:p>
        </w:tc>
      </w:tr>
      <w:tr w:rsidR="002C24D2" w14:paraId="10241107" w14:textId="77777777" w:rsidTr="001250CB">
        <w:trPr>
          <w:cantSplit/>
        </w:trPr>
        <w:tc>
          <w:tcPr>
            <w:tcW w:w="1170" w:type="dxa"/>
          </w:tcPr>
          <w:p w14:paraId="7C6EB0B1" w14:textId="035D9B02" w:rsidR="002C24D2" w:rsidRDefault="00FF56BA" w:rsidP="009E0430">
            <w:pPr>
              <w:spacing w:before="120" w:after="120"/>
              <w:jc w:val="center"/>
            </w:pPr>
            <w:r>
              <w:t>17</w:t>
            </w:r>
          </w:p>
        </w:tc>
        <w:tc>
          <w:tcPr>
            <w:tcW w:w="8280" w:type="dxa"/>
          </w:tcPr>
          <w:p w14:paraId="3D7D6F4F" w14:textId="50F78684" w:rsidR="002C24D2" w:rsidRDefault="00FF56BA" w:rsidP="00FC0968">
            <w:pPr>
              <w:spacing w:before="120" w:after="120" w:line="259" w:lineRule="auto"/>
            </w:pPr>
            <w:r w:rsidRPr="00FF56BA">
              <w:rPr>
                <w:b/>
                <w:bCs/>
              </w:rPr>
              <w:t>Opportunity Programs:</w:t>
            </w:r>
            <w:r>
              <w:t xml:space="preserve"> </w:t>
            </w:r>
            <w:r w:rsidR="00241ABA" w:rsidRPr="00F25F3C">
              <w:t>Students in continuation education, opportunity education, county community and court schools</w:t>
            </w:r>
            <w:r w:rsidR="00241ABA">
              <w:t xml:space="preserve"> and</w:t>
            </w:r>
            <w:r w:rsidR="00241ABA" w:rsidRPr="00F25F3C">
              <w:t xml:space="preserve"> district community day schools</w:t>
            </w:r>
            <w:r w:rsidR="00241ABA">
              <w:t xml:space="preserve"> </w:t>
            </w:r>
            <w:r w:rsidR="00241ABA" w:rsidRPr="00F25F3C">
              <w:t>may be overcoming attendance and/or behavioral challenges. It is important to have a framework of supportive interventions that are designed to be educational and developmental, rather than be punitive, particularly when these supportive interventions are considered within the larger context of workforce readiness. Opportunity program students serve to benefit the most when CTE is coupled with these supportive interventions such as credit recovery and independent study programs. How students in opportunity programs can achieve success through CTE will be examined more deeply under Perkins V implementation.</w:t>
            </w:r>
          </w:p>
        </w:tc>
      </w:tr>
      <w:tr w:rsidR="002C24D2" w14:paraId="1A7F26C9" w14:textId="77777777" w:rsidTr="001250CB">
        <w:trPr>
          <w:cantSplit/>
        </w:trPr>
        <w:tc>
          <w:tcPr>
            <w:tcW w:w="1170" w:type="dxa"/>
          </w:tcPr>
          <w:p w14:paraId="52ADFF86" w14:textId="2430B91A" w:rsidR="002C24D2" w:rsidRDefault="00FF56BA" w:rsidP="009E0430">
            <w:pPr>
              <w:spacing w:before="120" w:after="120"/>
              <w:jc w:val="center"/>
            </w:pPr>
            <w:r>
              <w:t>17</w:t>
            </w:r>
          </w:p>
        </w:tc>
        <w:tc>
          <w:tcPr>
            <w:tcW w:w="8280" w:type="dxa"/>
          </w:tcPr>
          <w:p w14:paraId="7830AA8B" w14:textId="69BD5C51" w:rsidR="002C24D2" w:rsidRDefault="002C24D2" w:rsidP="00FC0968">
            <w:pPr>
              <w:spacing w:before="120" w:after="120" w:line="259" w:lineRule="auto"/>
            </w:pPr>
            <w:bookmarkStart w:id="0" w:name="_Hlk29969491"/>
            <w:r>
              <w:t>The s</w:t>
            </w:r>
            <w:r w:rsidRPr="006F432E">
              <w:rPr>
                <w:rFonts w:cs="Arial"/>
              </w:rPr>
              <w:t>chool-to-</w:t>
            </w:r>
            <w:r>
              <w:rPr>
                <w:rFonts w:cs="Arial"/>
              </w:rPr>
              <w:t>p</w:t>
            </w:r>
            <w:r w:rsidRPr="006F432E">
              <w:rPr>
                <w:rFonts w:cs="Arial"/>
              </w:rPr>
              <w:t xml:space="preserve">rison </w:t>
            </w:r>
            <w:r>
              <w:rPr>
                <w:rFonts w:cs="Arial"/>
              </w:rPr>
              <w:t>p</w:t>
            </w:r>
            <w:r w:rsidRPr="006F432E">
              <w:rPr>
                <w:rFonts w:cs="Arial"/>
              </w:rPr>
              <w:t>ipeline could be significan</w:t>
            </w:r>
            <w:r>
              <w:rPr>
                <w:rFonts w:cs="Arial"/>
              </w:rPr>
              <w:t>tly reduced if students who had</w:t>
            </w:r>
            <w:r w:rsidRPr="006F432E">
              <w:rPr>
                <w:rFonts w:cs="Arial"/>
              </w:rPr>
              <w:t xml:space="preserve"> repeatedly presented attendance </w:t>
            </w:r>
            <w:r>
              <w:rPr>
                <w:rFonts w:cs="Arial"/>
              </w:rPr>
              <w:t>or</w:t>
            </w:r>
            <w:r w:rsidRPr="006F432E">
              <w:rPr>
                <w:rFonts w:cs="Arial"/>
              </w:rPr>
              <w:t xml:space="preserve"> other behavioral challenges </w:t>
            </w:r>
            <w:r>
              <w:rPr>
                <w:rFonts w:cs="Arial"/>
              </w:rPr>
              <w:t>we</w:t>
            </w:r>
            <w:r w:rsidRPr="006F432E">
              <w:rPr>
                <w:rFonts w:cs="Arial"/>
              </w:rPr>
              <w:t>re supported</w:t>
            </w:r>
            <w:r>
              <w:rPr>
                <w:rFonts w:cs="Arial"/>
              </w:rPr>
              <w:t xml:space="preserve"> even more strongly through a combination of an educational framework that integrates CTE</w:t>
            </w:r>
            <w:r w:rsidR="002A06B2">
              <w:rPr>
                <w:rFonts w:cs="Arial"/>
              </w:rPr>
              <w:t xml:space="preserve"> </w:t>
            </w:r>
            <w:r>
              <w:rPr>
                <w:rFonts w:cs="Arial"/>
              </w:rPr>
              <w:t>into the basic curriculum framework along with co-requisite supporting interventions.</w:t>
            </w:r>
            <w:r w:rsidRPr="006F432E">
              <w:rPr>
                <w:rFonts w:cs="Arial"/>
              </w:rPr>
              <w:t xml:space="preserve"> </w:t>
            </w:r>
            <w:r>
              <w:rPr>
                <w:rFonts w:cs="Arial"/>
              </w:rPr>
              <w:t xml:space="preserve">In particular, such students could </w:t>
            </w:r>
            <w:r w:rsidRPr="006F432E">
              <w:rPr>
                <w:rFonts w:cs="Arial"/>
              </w:rPr>
              <w:t xml:space="preserve">successfully develop workforce readiness skills </w:t>
            </w:r>
            <w:r>
              <w:rPr>
                <w:rFonts w:cs="Arial"/>
              </w:rPr>
              <w:t xml:space="preserve">that would minimize </w:t>
            </w:r>
            <w:r w:rsidRPr="006F432E">
              <w:rPr>
                <w:rFonts w:cs="Arial"/>
              </w:rPr>
              <w:t xml:space="preserve">attendance </w:t>
            </w:r>
            <w:r>
              <w:rPr>
                <w:rFonts w:cs="Arial"/>
              </w:rPr>
              <w:t>or</w:t>
            </w:r>
            <w:r w:rsidRPr="006F432E">
              <w:rPr>
                <w:rFonts w:cs="Arial"/>
              </w:rPr>
              <w:t xml:space="preserve"> other behavioral challenges </w:t>
            </w:r>
            <w:r>
              <w:rPr>
                <w:rFonts w:cs="Arial"/>
              </w:rPr>
              <w:t>and prepare these students for success and to make greater contributions to the workforce than likely without these skills</w:t>
            </w:r>
            <w:bookmarkEnd w:id="0"/>
            <w:r>
              <w:rPr>
                <w:rFonts w:cs="Arial"/>
              </w:rPr>
              <w:t>.</w:t>
            </w:r>
          </w:p>
          <w:p w14:paraId="7E0B81CA" w14:textId="1B159239" w:rsidR="00CA41A9" w:rsidRPr="00CA41A9" w:rsidRDefault="002C24D2" w:rsidP="00FC0968">
            <w:pPr>
              <w:spacing w:before="120" w:after="120"/>
            </w:pPr>
            <w:r>
              <w:t>More broadly, in a tight labor market, f</w:t>
            </w:r>
            <w:r w:rsidRPr="004522C6">
              <w:t>raming chronic absenteeism rates and incidences of behavioral challenges as showing a lack of development in workforce readiness skills can have a significant impact on reducing the likelihood that a student will drop out of school. Continu</w:t>
            </w:r>
            <w:r>
              <w:t>ing</w:t>
            </w:r>
            <w:r w:rsidRPr="004522C6">
              <w:t xml:space="preserve"> education, opportunity education, district community day schools, and county court and community schools have also shown promise as effective educational options that incorporate a focus on CTE</w:t>
            </w:r>
            <w:r w:rsidR="00FC0968">
              <w:t>.</w:t>
            </w:r>
            <w:r w:rsidR="00CA41A9">
              <w:tab/>
            </w:r>
          </w:p>
        </w:tc>
      </w:tr>
      <w:tr w:rsidR="00FC0968" w14:paraId="0D455207" w14:textId="77777777" w:rsidTr="001250CB">
        <w:trPr>
          <w:cantSplit/>
        </w:trPr>
        <w:tc>
          <w:tcPr>
            <w:tcW w:w="1170" w:type="dxa"/>
          </w:tcPr>
          <w:p w14:paraId="1AFF9F00" w14:textId="5E949790" w:rsidR="00FC0968" w:rsidRDefault="00FC0968" w:rsidP="00FC0968">
            <w:pPr>
              <w:spacing w:before="120" w:after="120"/>
              <w:jc w:val="center"/>
            </w:pPr>
            <w:r>
              <w:lastRenderedPageBreak/>
              <w:t>8</w:t>
            </w:r>
            <w:r w:rsidR="00676A76">
              <w:t>7–88</w:t>
            </w:r>
          </w:p>
        </w:tc>
        <w:tc>
          <w:tcPr>
            <w:tcW w:w="8280" w:type="dxa"/>
          </w:tcPr>
          <w:p w14:paraId="48E691C4" w14:textId="77777777" w:rsidR="00FC0968" w:rsidRDefault="00FC0968" w:rsidP="00FC0968">
            <w:pPr>
              <w:spacing w:before="120" w:after="120" w:line="259" w:lineRule="auto"/>
              <w:rPr>
                <w:rFonts w:eastAsia="Calibri" w:cs="Times New Roman"/>
              </w:rPr>
            </w:pPr>
            <w:r w:rsidRPr="00054543">
              <w:rPr>
                <w:rFonts w:eastAsia="Calibri" w:cs="Times New Roman"/>
              </w:rPr>
              <w:t>Stakeholders noted the lack of awareness and underutilization of existing resources, the lack of funding for studen</w:t>
            </w:r>
            <w:r>
              <w:rPr>
                <w:rFonts w:eastAsia="Calibri" w:cs="Times New Roman"/>
              </w:rPr>
              <w:t>ts before they become “at-promise,”</w:t>
            </w:r>
            <w:r w:rsidRPr="00054543">
              <w:rPr>
                <w:rFonts w:eastAsia="Calibri" w:cs="Times New Roman"/>
              </w:rPr>
              <w:t xml:space="preserve"> and the lack of partnering between agencies as obstacles.</w:t>
            </w:r>
            <w:r>
              <w:rPr>
                <w:rFonts w:eastAsia="Calibri" w:cs="Times New Roman"/>
              </w:rPr>
              <w:t xml:space="preserve"> They</w:t>
            </w:r>
            <w:r w:rsidRPr="00054543">
              <w:rPr>
                <w:rFonts w:eastAsia="Calibri" w:cs="Times New Roman"/>
              </w:rPr>
              <w:t xml:space="preserve"> identified educator mindsets and approaches to special populations as a barrier. They also noted lack of training and lack of a way to assess students in small subgroups as obstacles. It is crucial that</w:t>
            </w:r>
            <w:r>
              <w:rPr>
                <w:rFonts w:eastAsia="Calibri" w:cs="Times New Roman"/>
              </w:rPr>
              <w:t>, instead of seeing these challenges as obstacles,</w:t>
            </w:r>
            <w:r w:rsidRPr="00054543">
              <w:rPr>
                <w:rFonts w:eastAsia="Calibri" w:cs="Times New Roman"/>
              </w:rPr>
              <w:t xml:space="preserve"> educators see </w:t>
            </w:r>
            <w:r>
              <w:rPr>
                <w:rFonts w:eastAsia="Calibri" w:cs="Times New Roman"/>
              </w:rPr>
              <w:t>them</w:t>
            </w:r>
            <w:r w:rsidRPr="00054543">
              <w:rPr>
                <w:rFonts w:eastAsia="Calibri" w:cs="Times New Roman"/>
              </w:rPr>
              <w:t xml:space="preserve"> as yet-to-be-developed workforce readiness skills, and see themselves as responsible for and capable of teaching these skills to the students presenting these challenges. There are instances where this is becoming a better</w:t>
            </w:r>
            <w:r>
              <w:rPr>
                <w:rFonts w:eastAsia="Calibri" w:cs="Times New Roman"/>
              </w:rPr>
              <w:t>-</w:t>
            </w:r>
            <w:r w:rsidRPr="00054543">
              <w:rPr>
                <w:rFonts w:eastAsia="Calibri" w:cs="Times New Roman"/>
              </w:rPr>
              <w:t>understood practice, but much PD</w:t>
            </w:r>
            <w:r>
              <w:rPr>
                <w:rFonts w:eastAsia="Calibri" w:cs="Times New Roman"/>
              </w:rPr>
              <w:t xml:space="preserve"> [professional development]</w:t>
            </w:r>
            <w:r w:rsidRPr="00054543">
              <w:rPr>
                <w:rFonts w:eastAsia="Calibri" w:cs="Times New Roman"/>
              </w:rPr>
              <w:t xml:space="preserve"> is needed to expand the prevalence of this approach. Stakeholders suggested that PD is also needed to address overall issues of bias and equity.</w:t>
            </w:r>
          </w:p>
          <w:p w14:paraId="5072F21B" w14:textId="77777777" w:rsidR="00FC0968" w:rsidRPr="00FC0968" w:rsidRDefault="00FC0968" w:rsidP="00FC0968">
            <w:pPr>
              <w:spacing w:before="120" w:after="120" w:line="259" w:lineRule="auto"/>
              <w:rPr>
                <w:rFonts w:eastAsia="Calibri" w:cs="Times New Roman"/>
              </w:rPr>
            </w:pPr>
            <w:r w:rsidRPr="00054543">
              <w:rPr>
                <w:rFonts w:eastAsia="Calibri" w:cs="Times New Roman"/>
              </w:rPr>
              <w:t>Stakeholder</w:t>
            </w:r>
            <w:r>
              <w:rPr>
                <w:rFonts w:eastAsia="Calibri" w:cs="Times New Roman"/>
              </w:rPr>
              <w:t xml:space="preserve">s </w:t>
            </w:r>
            <w:r w:rsidRPr="00054543">
              <w:rPr>
                <w:rFonts w:eastAsia="Calibri" w:cs="Times New Roman"/>
              </w:rPr>
              <w:t xml:space="preserve">focused primarily on how to access services that support student success. Comments described both supports </w:t>
            </w:r>
            <w:r>
              <w:rPr>
                <w:rFonts w:eastAsia="Calibri" w:cs="Times New Roman"/>
              </w:rPr>
              <w:t xml:space="preserve">that are </w:t>
            </w:r>
            <w:r w:rsidRPr="00054543">
              <w:rPr>
                <w:rFonts w:eastAsia="Calibri" w:cs="Times New Roman"/>
              </w:rPr>
              <w:t>currently provided and supports that are needed, including case management, tutorials, and counselors, as well as better understanding of resources available for student support</w:t>
            </w:r>
            <w:r>
              <w:rPr>
                <w:rFonts w:eastAsia="Calibri" w:cs="Times New Roman"/>
              </w:rPr>
              <w:t>s</w:t>
            </w:r>
            <w:r w:rsidRPr="00054543">
              <w:rPr>
                <w:rFonts w:eastAsia="Calibri" w:cs="Times New Roman"/>
              </w:rPr>
              <w:t xml:space="preserve"> and of students’ learning preferences.</w:t>
            </w:r>
            <w:r>
              <w:rPr>
                <w:rFonts w:eastAsia="Calibri" w:cs="Times New Roman"/>
              </w:rPr>
              <w:t xml:space="preserve"> </w:t>
            </w:r>
            <w:r w:rsidRPr="00054543">
              <w:rPr>
                <w:rFonts w:eastAsia="Calibri" w:cs="Times New Roman"/>
              </w:rPr>
              <w:t xml:space="preserve">Stakeholders offered a wide range of suggestions to improve supports for students, including academic supports, coaching and mentoring, scheduling flexibility to accommodate work and school, and skills certification. They also noted the need to understand individual student strengths and </w:t>
            </w:r>
            <w:r>
              <w:rPr>
                <w:rFonts w:eastAsia="Calibri" w:cs="Times New Roman"/>
              </w:rPr>
              <w:t xml:space="preserve">to </w:t>
            </w:r>
            <w:r w:rsidRPr="00FC0968">
              <w:rPr>
                <w:rFonts w:eastAsia="Calibri" w:cs="Times New Roman"/>
              </w:rPr>
              <w:t>improve access to workplace experiences.</w:t>
            </w:r>
          </w:p>
          <w:p w14:paraId="5E480DC6" w14:textId="64BED0D8" w:rsidR="00FC0968" w:rsidRDefault="00FC0968" w:rsidP="00FC0968">
            <w:pPr>
              <w:spacing w:before="120" w:after="120" w:line="259" w:lineRule="auto"/>
            </w:pPr>
            <w:r w:rsidRPr="00FC0968">
              <w:t>Stakeholders recommended educating employers about working with diverse students; providing wage supports; and partnering with employers to help them provide authentic WBL [work-based learning] opportunities and employment to all students. They suggested supporting students in accessing job opportunities and apprenticeships, and noted the importance of relationship building and partnerships among employers, educators, and nonprofit entities. Stakeholders also noted liability concerns of employers, as well as a lack of understanding of disabilities and limited hours of employment, as obstacles to providing WBL opportunities for students.</w:t>
            </w:r>
          </w:p>
        </w:tc>
      </w:tr>
      <w:tr w:rsidR="00FC0968" w14:paraId="798CE18E" w14:textId="77777777" w:rsidTr="00CA41A9">
        <w:trPr>
          <w:cantSplit/>
        </w:trPr>
        <w:tc>
          <w:tcPr>
            <w:tcW w:w="1170" w:type="dxa"/>
          </w:tcPr>
          <w:p w14:paraId="37689C01" w14:textId="33C5FB0E" w:rsidR="00FC0968" w:rsidRDefault="00FC0968" w:rsidP="00FC0968">
            <w:pPr>
              <w:spacing w:before="120" w:after="120"/>
              <w:jc w:val="center"/>
            </w:pPr>
            <w:r>
              <w:lastRenderedPageBreak/>
              <w:t>8</w:t>
            </w:r>
            <w:r w:rsidR="00676A76">
              <w:t>8</w:t>
            </w:r>
          </w:p>
        </w:tc>
        <w:tc>
          <w:tcPr>
            <w:tcW w:w="8280" w:type="dxa"/>
          </w:tcPr>
          <w:p w14:paraId="43359473" w14:textId="77777777" w:rsidR="00FC0968" w:rsidRPr="00530391" w:rsidRDefault="00FC0968" w:rsidP="00FC0968">
            <w:pPr>
              <w:spacing w:before="120" w:after="120" w:line="259" w:lineRule="auto"/>
              <w:rPr>
                <w:rFonts w:eastAsia="Calibri" w:cs="Times New Roman"/>
              </w:rPr>
            </w:pPr>
            <w:r w:rsidRPr="00054543">
              <w:rPr>
                <w:rFonts w:eastAsia="Calibri" w:cs="Times New Roman"/>
              </w:rPr>
              <w:t xml:space="preserve">Some specific recommended strategies </w:t>
            </w:r>
            <w:r>
              <w:rPr>
                <w:rFonts w:eastAsia="Calibri" w:cs="Times New Roman"/>
              </w:rPr>
              <w:t>for preparing special populations for further learning i</w:t>
            </w:r>
            <w:r w:rsidRPr="00054543">
              <w:rPr>
                <w:rFonts w:eastAsia="Calibri" w:cs="Times New Roman"/>
              </w:rPr>
              <w:t>nclude partnering with community-based organizations and other public agencies to address such issues as homelessness and probation and to create “academic bridge programs” that would include both academic support and career exploration opportunities, as well as support</w:t>
            </w:r>
            <w:r>
              <w:rPr>
                <w:rFonts w:eastAsia="Calibri" w:cs="Times New Roman"/>
              </w:rPr>
              <w:t xml:space="preserve"> with</w:t>
            </w:r>
            <w:r w:rsidRPr="00054543">
              <w:rPr>
                <w:rFonts w:eastAsia="Calibri" w:cs="Times New Roman"/>
              </w:rPr>
              <w:t xml:space="preserve"> navigating educational and employment systems. </w:t>
            </w:r>
            <w:r>
              <w:rPr>
                <w:rFonts w:eastAsia="Calibri" w:cs="Times New Roman"/>
              </w:rPr>
              <w:t>Stakeholders</w:t>
            </w:r>
            <w:r w:rsidRPr="00054543">
              <w:rPr>
                <w:rFonts w:eastAsia="Calibri" w:cs="Times New Roman"/>
              </w:rPr>
              <w:t xml:space="preserve"> also suggested creating “safe zones” for lesbian, gay, bisexual, transgender, and queer (or questioning) students</w:t>
            </w:r>
            <w:r>
              <w:rPr>
                <w:rFonts w:eastAsia="Calibri" w:cs="Times New Roman"/>
              </w:rPr>
              <w:t>;</w:t>
            </w:r>
            <w:r w:rsidRPr="00054543">
              <w:rPr>
                <w:rFonts w:eastAsia="Calibri" w:cs="Times New Roman"/>
              </w:rPr>
              <w:t xml:space="preserve"> addressing the needs of homeless students</w:t>
            </w:r>
            <w:r>
              <w:rPr>
                <w:rFonts w:eastAsia="Calibri" w:cs="Times New Roman"/>
              </w:rPr>
              <w:t>;</w:t>
            </w:r>
            <w:r w:rsidRPr="00054543">
              <w:rPr>
                <w:rFonts w:eastAsia="Calibri" w:cs="Times New Roman"/>
              </w:rPr>
              <w:t xml:space="preserve"> and </w:t>
            </w:r>
            <w:r>
              <w:rPr>
                <w:rFonts w:eastAsia="Calibri" w:cs="Times New Roman"/>
              </w:rPr>
              <w:t>increasing</w:t>
            </w:r>
            <w:r w:rsidRPr="00054543">
              <w:rPr>
                <w:rFonts w:eastAsia="Calibri" w:cs="Times New Roman"/>
              </w:rPr>
              <w:t xml:space="preserve"> engagement with parents and families. To fund these efforts, stakeholders recommended braiding funds and improving alignment across </w:t>
            </w:r>
            <w:r>
              <w:rPr>
                <w:rFonts w:eastAsia="Calibri" w:cs="Times New Roman"/>
              </w:rPr>
              <w:t>S</w:t>
            </w:r>
            <w:r w:rsidRPr="00054543">
              <w:rPr>
                <w:rFonts w:eastAsia="Calibri" w:cs="Times New Roman"/>
              </w:rPr>
              <w:t xml:space="preserve">tate agencies and programs, including </w:t>
            </w:r>
            <w:r>
              <w:rPr>
                <w:rFonts w:eastAsia="Calibri" w:cs="Times New Roman"/>
              </w:rPr>
              <w:t xml:space="preserve">the </w:t>
            </w:r>
            <w:r w:rsidRPr="00054543">
              <w:rPr>
                <w:rFonts w:eastAsia="Calibri" w:cs="Times New Roman"/>
              </w:rPr>
              <w:t xml:space="preserve">Department of Rehabilitation, </w:t>
            </w:r>
            <w:r>
              <w:rPr>
                <w:rFonts w:eastAsia="Calibri" w:cs="Times New Roman"/>
              </w:rPr>
              <w:t xml:space="preserve">the </w:t>
            </w:r>
            <w:r w:rsidRPr="00054543">
              <w:rPr>
                <w:rFonts w:eastAsia="Calibri" w:cs="Times New Roman"/>
              </w:rPr>
              <w:t>Health and Human Services</w:t>
            </w:r>
            <w:r>
              <w:rPr>
                <w:rFonts w:eastAsia="Calibri" w:cs="Times New Roman"/>
              </w:rPr>
              <w:t xml:space="preserve"> Agency</w:t>
            </w:r>
            <w:r w:rsidRPr="00054543">
              <w:rPr>
                <w:rFonts w:eastAsia="Calibri" w:cs="Times New Roman"/>
              </w:rPr>
              <w:t>, and Student Attendance Review Boards.</w:t>
            </w:r>
          </w:p>
        </w:tc>
      </w:tr>
      <w:tr w:rsidR="00FC0968" w14:paraId="6912390C" w14:textId="77777777" w:rsidTr="001250CB">
        <w:trPr>
          <w:cantSplit/>
        </w:trPr>
        <w:tc>
          <w:tcPr>
            <w:tcW w:w="1170" w:type="dxa"/>
          </w:tcPr>
          <w:p w14:paraId="2CB6065D" w14:textId="3ECC74ED" w:rsidR="00FC0968" w:rsidRDefault="00FC0968" w:rsidP="00FC0968">
            <w:pPr>
              <w:spacing w:before="120" w:after="120"/>
              <w:jc w:val="center"/>
            </w:pPr>
            <w:r>
              <w:t>92</w:t>
            </w:r>
          </w:p>
        </w:tc>
        <w:tc>
          <w:tcPr>
            <w:tcW w:w="8280" w:type="dxa"/>
          </w:tcPr>
          <w:p w14:paraId="5E1EE856" w14:textId="466959A9" w:rsidR="00FC0968" w:rsidRDefault="00FC0968" w:rsidP="00FC0968">
            <w:pPr>
              <w:spacing w:before="120" w:after="120" w:line="259" w:lineRule="auto"/>
            </w:pPr>
            <w:r w:rsidRPr="009222B8">
              <w:rPr>
                <w:b/>
              </w:rPr>
              <w:t>Pupil Personnel Services (PPS) Credentialing for School Counseling, School Psychology, School Social Work, and Child Welfare and Attendance:</w:t>
            </w:r>
            <w:r>
              <w:t xml:space="preserve"> </w:t>
            </w:r>
            <w:r w:rsidRPr="009F558B">
              <w:t>School counselors also play a role in supporting student access to CTE coursework.</w:t>
            </w:r>
            <w:r>
              <w:t xml:space="preserve"> The CCTC [Commission on Teacher Credentialing] issues a PPS credential to individuals to work as school counselors, among other support personnel. While this credential is not specific to CTE, PPS candidates are prepared to work both individually and collectively to:</w:t>
            </w:r>
          </w:p>
          <w:p w14:paraId="62C4212D" w14:textId="77777777" w:rsidR="00FC0968" w:rsidRDefault="00FC0968" w:rsidP="00FC0968">
            <w:pPr>
              <w:pStyle w:val="ListParagraph"/>
              <w:numPr>
                <w:ilvl w:val="0"/>
                <w:numId w:val="2"/>
              </w:numPr>
              <w:spacing w:after="120" w:line="240" w:lineRule="auto"/>
              <w:ind w:left="1170" w:hanging="450"/>
            </w:pPr>
            <w:r>
              <w:t>Develop and support successful learning and promote the healthy development and resilience of all students.</w:t>
            </w:r>
          </w:p>
          <w:p w14:paraId="1939B7CE" w14:textId="4EB948F5" w:rsidR="00FC0968" w:rsidRDefault="00FC0968" w:rsidP="00FC0968">
            <w:pPr>
              <w:pStyle w:val="ListParagraph"/>
              <w:numPr>
                <w:ilvl w:val="0"/>
                <w:numId w:val="2"/>
              </w:numPr>
              <w:spacing w:after="120" w:line="240" w:lineRule="auto"/>
              <w:ind w:left="1170" w:hanging="450"/>
            </w:pPr>
            <w:r>
              <w:t>Advance the academic, social/emotional, and career/transitional learning of students in the pre-kindergarten through grade twelve Pre-K–12 [pre-kindergarten through grade twelve] school system.</w:t>
            </w:r>
          </w:p>
          <w:p w14:paraId="0D0DFC7A" w14:textId="77777777" w:rsidR="00FC0968" w:rsidRDefault="00FC0968" w:rsidP="00FC0968">
            <w:pPr>
              <w:pStyle w:val="ListParagraph"/>
              <w:numPr>
                <w:ilvl w:val="0"/>
                <w:numId w:val="2"/>
              </w:numPr>
              <w:spacing w:after="120" w:line="240" w:lineRule="auto"/>
              <w:ind w:left="1170" w:hanging="450"/>
            </w:pPr>
            <w:r>
              <w:t>Identify factors associated with prevention and intervention strategies to support academic achievement and ensure equitable access to resources promoting academic achievement, college and career development, and social/emotional development for every student, such as: motivation, student efficacy, time management, study skills, constructive problem solving, and teacher-student rapport.</w:t>
            </w:r>
          </w:p>
          <w:p w14:paraId="6C9B9402" w14:textId="77777777" w:rsidR="00FC0968" w:rsidRPr="00FF56BA" w:rsidRDefault="00FC0968" w:rsidP="00FC0968">
            <w:pPr>
              <w:pStyle w:val="ListParagraph"/>
              <w:numPr>
                <w:ilvl w:val="0"/>
                <w:numId w:val="2"/>
              </w:numPr>
              <w:spacing w:after="120" w:line="240" w:lineRule="auto"/>
              <w:ind w:left="1080"/>
            </w:pPr>
            <w:r w:rsidRPr="00FF56BA">
              <w:t>Establish a school-wide career and college culture throughout pre-K–12 schools.</w:t>
            </w:r>
          </w:p>
          <w:p w14:paraId="564D285C" w14:textId="2789F9B4" w:rsidR="00FC0968" w:rsidRDefault="00FC0968" w:rsidP="00FC0968">
            <w:pPr>
              <w:pStyle w:val="ListParagraph"/>
              <w:numPr>
                <w:ilvl w:val="0"/>
                <w:numId w:val="2"/>
              </w:numPr>
              <w:spacing w:after="120" w:line="240" w:lineRule="auto"/>
              <w:ind w:left="1170" w:hanging="450"/>
            </w:pPr>
            <w:r w:rsidRPr="00FF56BA">
              <w:t>Understand and advise students about local and national career and job market trends as well as various post-graduate options, including CTE pathways and certifications.</w:t>
            </w:r>
          </w:p>
        </w:tc>
      </w:tr>
    </w:tbl>
    <w:p w14:paraId="17A2175D" w14:textId="375B83DC" w:rsidR="002627F6" w:rsidRDefault="002627F6" w:rsidP="00241ABA">
      <w:pPr>
        <w:tabs>
          <w:tab w:val="left" w:pos="7470"/>
        </w:tabs>
        <w:spacing w:before="240" w:after="0"/>
      </w:pPr>
      <w:r>
        <w:t>California Department of Education</w:t>
      </w:r>
      <w:r>
        <w:tab/>
      </w:r>
      <w:r w:rsidR="00FF56BA">
        <w:t>September 2025</w:t>
      </w:r>
    </w:p>
    <w:sectPr w:rsidR="002627F6" w:rsidSect="00241ABA">
      <w:footerReference w:type="default" r:id="rId8"/>
      <w:pgSz w:w="12240" w:h="15840"/>
      <w:pgMar w:top="129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F2C5" w14:textId="77777777" w:rsidR="00F83B23" w:rsidRDefault="00F83B23" w:rsidP="00650545">
      <w:pPr>
        <w:spacing w:after="0" w:line="240" w:lineRule="auto"/>
      </w:pPr>
      <w:r>
        <w:separator/>
      </w:r>
    </w:p>
  </w:endnote>
  <w:endnote w:type="continuationSeparator" w:id="0">
    <w:p w14:paraId="0829D7A7" w14:textId="77777777" w:rsidR="00F83B23" w:rsidRDefault="00F83B23" w:rsidP="0065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653270"/>
      <w:docPartObj>
        <w:docPartGallery w:val="Page Numbers (Bottom of Page)"/>
        <w:docPartUnique/>
      </w:docPartObj>
    </w:sdtPr>
    <w:sdtEndPr>
      <w:rPr>
        <w:noProof/>
      </w:rPr>
    </w:sdtEndPr>
    <w:sdtContent>
      <w:p w14:paraId="65962425" w14:textId="5F63521F" w:rsidR="002627F6" w:rsidRDefault="002627F6" w:rsidP="002A06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248E" w14:textId="77777777" w:rsidR="00F83B23" w:rsidRDefault="00F83B23" w:rsidP="00650545">
      <w:pPr>
        <w:spacing w:after="0" w:line="240" w:lineRule="auto"/>
      </w:pPr>
      <w:r>
        <w:separator/>
      </w:r>
    </w:p>
  </w:footnote>
  <w:footnote w:type="continuationSeparator" w:id="0">
    <w:p w14:paraId="0148CFE7" w14:textId="77777777" w:rsidR="00F83B23" w:rsidRDefault="00F83B23" w:rsidP="00650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773F0"/>
    <w:multiLevelType w:val="hybridMultilevel"/>
    <w:tmpl w:val="43A81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81296E"/>
    <w:multiLevelType w:val="hybridMultilevel"/>
    <w:tmpl w:val="FF2AAA84"/>
    <w:lvl w:ilvl="0" w:tplc="3D0EB218">
      <w:start w:val="1"/>
      <w:numFmt w:val="bullet"/>
      <w:pStyle w:val="ListParagraph"/>
      <w:lvlText w:val=""/>
      <w:lvlJc w:val="left"/>
      <w:pPr>
        <w:ind w:left="720" w:hanging="360"/>
      </w:pPr>
      <w:rPr>
        <w:rFonts w:ascii="Symbol" w:hAnsi="Symbol" w:hint="default"/>
      </w:rPr>
    </w:lvl>
    <w:lvl w:ilvl="1" w:tplc="2FB8FD4E">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472165">
    <w:abstractNumId w:val="1"/>
  </w:num>
  <w:num w:numId="2" w16cid:durableId="650210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proofState w:spelling="clean" w:grammar="clean"/>
  <w:documentProtection w:edit="readOnly" w:enforcement="1" w:cryptProviderType="rsaAES" w:cryptAlgorithmClass="hash" w:cryptAlgorithmType="typeAny" w:cryptAlgorithmSid="14" w:cryptSpinCount="100000" w:hash="xIhpI0vZtCUv1Nrmlh8tPLCqP5HphHCIdsHMGy9w+nNhYW6pKrs66F6cv6UmnjCj8vHFSQt4mSIM+aTQvtYNWQ==" w:salt="bp4pJVe6NdMzt1pHVOgn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D0"/>
    <w:rsid w:val="00012B1B"/>
    <w:rsid w:val="00031E7C"/>
    <w:rsid w:val="0005501B"/>
    <w:rsid w:val="000D6B0D"/>
    <w:rsid w:val="000F4F57"/>
    <w:rsid w:val="001250CB"/>
    <w:rsid w:val="001522EE"/>
    <w:rsid w:val="001627B6"/>
    <w:rsid w:val="00165D84"/>
    <w:rsid w:val="001A0CA5"/>
    <w:rsid w:val="00233D62"/>
    <w:rsid w:val="00241ABA"/>
    <w:rsid w:val="002627F6"/>
    <w:rsid w:val="00263F4C"/>
    <w:rsid w:val="00280791"/>
    <w:rsid w:val="002A06B2"/>
    <w:rsid w:val="002C24D2"/>
    <w:rsid w:val="002C6D77"/>
    <w:rsid w:val="002E4CB5"/>
    <w:rsid w:val="003D490F"/>
    <w:rsid w:val="003D56CE"/>
    <w:rsid w:val="004226DC"/>
    <w:rsid w:val="004270C9"/>
    <w:rsid w:val="00431EF4"/>
    <w:rsid w:val="00437083"/>
    <w:rsid w:val="004462F0"/>
    <w:rsid w:val="00495F80"/>
    <w:rsid w:val="004E19B4"/>
    <w:rsid w:val="00524364"/>
    <w:rsid w:val="00530391"/>
    <w:rsid w:val="00567E15"/>
    <w:rsid w:val="00571140"/>
    <w:rsid w:val="005B6ACF"/>
    <w:rsid w:val="00650545"/>
    <w:rsid w:val="00655B67"/>
    <w:rsid w:val="00676A76"/>
    <w:rsid w:val="00677C51"/>
    <w:rsid w:val="0068224D"/>
    <w:rsid w:val="006C0F2C"/>
    <w:rsid w:val="007428B8"/>
    <w:rsid w:val="00747E82"/>
    <w:rsid w:val="007743CC"/>
    <w:rsid w:val="00776DD2"/>
    <w:rsid w:val="007B4FEF"/>
    <w:rsid w:val="007F214F"/>
    <w:rsid w:val="00871436"/>
    <w:rsid w:val="008803F1"/>
    <w:rsid w:val="00890241"/>
    <w:rsid w:val="008C71BA"/>
    <w:rsid w:val="008C7CC0"/>
    <w:rsid w:val="008F131C"/>
    <w:rsid w:val="0090386F"/>
    <w:rsid w:val="0097563E"/>
    <w:rsid w:val="009E0430"/>
    <w:rsid w:val="00A70EC2"/>
    <w:rsid w:val="00B15771"/>
    <w:rsid w:val="00B254DC"/>
    <w:rsid w:val="00B42F2C"/>
    <w:rsid w:val="00B61EFE"/>
    <w:rsid w:val="00B66E91"/>
    <w:rsid w:val="00B71A3A"/>
    <w:rsid w:val="00BB7FD0"/>
    <w:rsid w:val="00BD359C"/>
    <w:rsid w:val="00C352CE"/>
    <w:rsid w:val="00C73FBF"/>
    <w:rsid w:val="00C86687"/>
    <w:rsid w:val="00CA41A9"/>
    <w:rsid w:val="00CA50B2"/>
    <w:rsid w:val="00CE750E"/>
    <w:rsid w:val="00CF73A1"/>
    <w:rsid w:val="00D20A26"/>
    <w:rsid w:val="00D33FB5"/>
    <w:rsid w:val="00D47DAB"/>
    <w:rsid w:val="00DB6379"/>
    <w:rsid w:val="00DB6740"/>
    <w:rsid w:val="00DE76EF"/>
    <w:rsid w:val="00E62FAF"/>
    <w:rsid w:val="00EA5131"/>
    <w:rsid w:val="00EA5BDA"/>
    <w:rsid w:val="00EE190D"/>
    <w:rsid w:val="00EE5FEB"/>
    <w:rsid w:val="00F0233D"/>
    <w:rsid w:val="00F56246"/>
    <w:rsid w:val="00F83B23"/>
    <w:rsid w:val="00FB2014"/>
    <w:rsid w:val="00FC0968"/>
    <w:rsid w:val="00FE3007"/>
    <w:rsid w:val="00FE53B8"/>
    <w:rsid w:val="00FF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FE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CA41A9"/>
    <w:pPr>
      <w:keepNext/>
      <w:keepLines/>
      <w:spacing w:after="24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1A9"/>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table" w:styleId="TableGrid">
    <w:name w:val="Table Grid"/>
    <w:basedOn w:val="TableNormal"/>
    <w:uiPriority w:val="39"/>
    <w:rsid w:val="0087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w:basedOn w:val="Normal"/>
    <w:link w:val="ListParagraphChar"/>
    <w:uiPriority w:val="34"/>
    <w:qFormat/>
    <w:rsid w:val="00650545"/>
    <w:pPr>
      <w:numPr>
        <w:ilvl w:val="1"/>
        <w:numId w:val="1"/>
      </w:numPr>
      <w:spacing w:after="240" w:line="400" w:lineRule="atLeast"/>
      <w:ind w:left="720"/>
    </w:pPr>
    <w:rPr>
      <w:szCs w:val="24"/>
    </w:rPr>
  </w:style>
  <w:style w:type="character" w:styleId="Hyperlink">
    <w:name w:val="Hyperlink"/>
    <w:basedOn w:val="DefaultParagraphFont"/>
    <w:uiPriority w:val="99"/>
    <w:unhideWhenUsed/>
    <w:rsid w:val="00650545"/>
    <w:rPr>
      <w:color w:val="0000FF"/>
      <w:u w:val="single"/>
    </w:rPr>
  </w:style>
  <w:style w:type="paragraph" w:styleId="FootnoteText">
    <w:name w:val="footnote text"/>
    <w:basedOn w:val="Normal"/>
    <w:link w:val="FootnoteTextChar"/>
    <w:uiPriority w:val="99"/>
    <w:rsid w:val="00650545"/>
    <w:pPr>
      <w:keepLines/>
      <w:tabs>
        <w:tab w:val="left" w:pos="360"/>
      </w:tabs>
      <w:suppressAutoHyphens/>
      <w:autoSpaceDE w:val="0"/>
      <w:autoSpaceDN w:val="0"/>
      <w:adjustRightInd w:val="0"/>
      <w:spacing w:after="120" w:line="300" w:lineRule="atLeast"/>
      <w:ind w:left="360" w:hanging="360"/>
      <w:textAlignment w:val="center"/>
    </w:pPr>
    <w:rPr>
      <w:rFonts w:eastAsia="Times New Roman" w:cs="Calibri"/>
      <w:color w:val="000000" w:themeColor="text1"/>
      <w:spacing w:val="-2"/>
      <w:szCs w:val="24"/>
    </w:rPr>
  </w:style>
  <w:style w:type="character" w:customStyle="1" w:styleId="FootnoteTextChar">
    <w:name w:val="Footnote Text Char"/>
    <w:basedOn w:val="DefaultParagraphFont"/>
    <w:link w:val="FootnoteText"/>
    <w:uiPriority w:val="99"/>
    <w:rsid w:val="00650545"/>
    <w:rPr>
      <w:rFonts w:ascii="Arial" w:eastAsia="Times New Roman" w:hAnsi="Arial" w:cs="Calibri"/>
      <w:color w:val="000000" w:themeColor="text1"/>
      <w:spacing w:val="-2"/>
      <w:sz w:val="24"/>
      <w:szCs w:val="24"/>
    </w:rPr>
  </w:style>
  <w:style w:type="character" w:styleId="FootnoteReference">
    <w:name w:val="footnote reference"/>
    <w:basedOn w:val="DefaultParagraphFont"/>
    <w:uiPriority w:val="99"/>
    <w:unhideWhenUsed/>
    <w:rsid w:val="00650545"/>
    <w:rPr>
      <w:vertAlign w:val="superscript"/>
    </w:rPr>
  </w:style>
  <w:style w:type="character" w:customStyle="1" w:styleId="ListParagraphChar">
    <w:name w:val="List Paragraph Char"/>
    <w:aliases w:val="list Char"/>
    <w:basedOn w:val="DefaultParagraphFont"/>
    <w:link w:val="ListParagraph"/>
    <w:uiPriority w:val="34"/>
    <w:locked/>
    <w:rsid w:val="00650545"/>
    <w:rPr>
      <w:rFonts w:ascii="Arial" w:hAnsi="Arial"/>
      <w:sz w:val="24"/>
      <w:szCs w:val="24"/>
    </w:rPr>
  </w:style>
  <w:style w:type="paragraph" w:styleId="NormalWeb">
    <w:name w:val="Normal (Web)"/>
    <w:basedOn w:val="Normal"/>
    <w:uiPriority w:val="99"/>
    <w:semiHidden/>
    <w:unhideWhenUsed/>
    <w:rsid w:val="00CE750E"/>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262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F6"/>
    <w:rPr>
      <w:rFonts w:ascii="Arial" w:hAnsi="Arial"/>
      <w:sz w:val="24"/>
    </w:rPr>
  </w:style>
  <w:style w:type="paragraph" w:styleId="Footer">
    <w:name w:val="footer"/>
    <w:basedOn w:val="Normal"/>
    <w:link w:val="FooterChar"/>
    <w:uiPriority w:val="99"/>
    <w:unhideWhenUsed/>
    <w:rsid w:val="00262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F6"/>
    <w:rPr>
      <w:rFonts w:ascii="Arial" w:hAnsi="Arial"/>
      <w:sz w:val="24"/>
    </w:rPr>
  </w:style>
  <w:style w:type="character" w:styleId="FollowedHyperlink">
    <w:name w:val="FollowedHyperlink"/>
    <w:basedOn w:val="DefaultParagraphFont"/>
    <w:uiPriority w:val="99"/>
    <w:semiHidden/>
    <w:unhideWhenUsed/>
    <w:rsid w:val="00BD359C"/>
    <w:rPr>
      <w:color w:val="954F72" w:themeColor="followedHyperlink"/>
      <w:u w:val="single"/>
    </w:rPr>
  </w:style>
  <w:style w:type="paragraph" w:styleId="Quote">
    <w:name w:val="Quote"/>
    <w:basedOn w:val="Normal"/>
    <w:next w:val="Normal"/>
    <w:link w:val="QuoteChar"/>
    <w:uiPriority w:val="29"/>
    <w:qFormat/>
    <w:rsid w:val="00FF56BA"/>
    <w:pPr>
      <w:spacing w:before="160"/>
      <w:jc w:val="center"/>
    </w:pPr>
    <w:rPr>
      <w:i/>
      <w:iCs/>
      <w:color w:val="404040" w:themeColor="text1" w:themeTint="BF"/>
    </w:rPr>
  </w:style>
  <w:style w:type="character" w:customStyle="1" w:styleId="QuoteChar">
    <w:name w:val="Quote Char"/>
    <w:basedOn w:val="DefaultParagraphFont"/>
    <w:link w:val="Quote"/>
    <w:uiPriority w:val="29"/>
    <w:rsid w:val="00FF56BA"/>
    <w:rPr>
      <w:rFonts w:ascii="Arial" w:hAnsi="Arial"/>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7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e.ca.gov/ci/ct/gi/documents/cwpjacapr24item01att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6009</Characters>
  <Application>Microsoft Office Word</Application>
  <DocSecurity>8</DocSecurity>
  <Lines>113</Lines>
  <Paragraphs>23</Paragraphs>
  <ScaleCrop>false</ScaleCrop>
  <HeadingPairs>
    <vt:vector size="2" baseType="variant">
      <vt:variant>
        <vt:lpstr>Title</vt:lpstr>
      </vt:variant>
      <vt:variant>
        <vt:i4>1</vt:i4>
      </vt:variant>
    </vt:vector>
  </HeadingPairs>
  <TitlesOfParts>
    <vt:vector size="1" baseType="lpstr">
      <vt:lpstr>Workforce Readiness Excerpts from the 2024-27 Perkins V State Plan - State Plan (CA Dept of Education)</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Readiness Excerpts from the 2024-27 Perkins V State Plan - State Plan (CA Dept of Education)</dc:title>
  <dc:subject>2024-27 Perkins V State Plan Excerpts Re Workforce Readiness</dc:subject>
  <dc:creator/>
  <cp:keywords>state plan, perkins, workforce readiness</cp:keywords>
  <dc:description/>
  <cp:lastModifiedBy/>
  <cp:revision>1</cp:revision>
  <dcterms:created xsi:type="dcterms:W3CDTF">2025-10-01T19:26:00Z</dcterms:created>
  <dcterms:modified xsi:type="dcterms:W3CDTF">2025-10-24T19:09:00Z</dcterms:modified>
</cp:coreProperties>
</file>