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BE462" w14:textId="0DD619A1" w:rsidR="00B71CF7" w:rsidRPr="00C96618" w:rsidRDefault="0073746F" w:rsidP="00C96618">
      <w:pPr>
        <w:pStyle w:val="Heading1"/>
        <w:spacing w:before="0" w:after="240" w:line="240" w:lineRule="auto"/>
        <w:jc w:val="center"/>
        <w:rPr>
          <w:rFonts w:ascii="Arial" w:hAnsi="Arial" w:cs="Arial"/>
          <w:sz w:val="24"/>
          <w:szCs w:val="24"/>
        </w:rPr>
      </w:pPr>
      <w:bookmarkStart w:id="0" w:name="_aqk39v9enu9k" w:colFirst="0" w:colLast="0"/>
      <w:bookmarkEnd w:id="0"/>
      <w:r w:rsidRPr="00C96618">
        <w:rPr>
          <w:rFonts w:ascii="Arial" w:hAnsi="Arial" w:cs="Arial"/>
          <w:sz w:val="24"/>
          <w:szCs w:val="24"/>
        </w:rPr>
        <w:t>Sample Firearms Safety Memorandum</w:t>
      </w:r>
    </w:p>
    <w:p w14:paraId="23C335C1" w14:textId="25A84C10" w:rsidR="00B71CF7" w:rsidRPr="00C96618" w:rsidRDefault="0073746F" w:rsidP="00922ED0">
      <w:pPr>
        <w:spacing w:before="240" w:after="240" w:line="240" w:lineRule="auto"/>
        <w:jc w:val="both"/>
        <w:rPr>
          <w:rFonts w:ascii="Arial" w:hAnsi="Arial" w:cs="Arial"/>
          <w:b/>
        </w:rPr>
      </w:pPr>
      <w:r w:rsidRPr="00C96618">
        <w:rPr>
          <w:rFonts w:ascii="Arial" w:hAnsi="Arial" w:cs="Arial"/>
          <w:b/>
        </w:rPr>
        <w:t>To:</w:t>
      </w:r>
      <w:r w:rsidRPr="00C96618">
        <w:rPr>
          <w:rFonts w:ascii="Arial" w:hAnsi="Arial" w:cs="Arial"/>
        </w:rPr>
        <w:t xml:space="preserve"> Parents and Guardians of Students in the </w:t>
      </w:r>
      <w:r w:rsidR="003F7EAD">
        <w:rPr>
          <w:rFonts w:ascii="Arial" w:hAnsi="Arial" w:cs="Arial"/>
        </w:rPr>
        <w:fldChar w:fldCharType="begin">
          <w:ffData>
            <w:name w:val="Text1"/>
            <w:enabled/>
            <w:calcOnExit w:val="0"/>
            <w:helpText w:type="text" w:val="Insert Name of School District"/>
            <w:statusText w:type="text" w:val="Insert Name of School District]"/>
            <w:textInput>
              <w:default w:val="Insert Name of School District"/>
            </w:textInput>
          </w:ffData>
        </w:fldChar>
      </w:r>
      <w:bookmarkStart w:id="1" w:name="Text1"/>
      <w:r w:rsidR="003F7EAD">
        <w:rPr>
          <w:rFonts w:ascii="Arial" w:hAnsi="Arial" w:cs="Arial"/>
        </w:rPr>
        <w:instrText xml:space="preserve"> FORMTEXT </w:instrText>
      </w:r>
      <w:r w:rsidR="003F7EAD">
        <w:rPr>
          <w:rFonts w:ascii="Arial" w:hAnsi="Arial" w:cs="Arial"/>
        </w:rPr>
      </w:r>
      <w:r w:rsidR="003F7EAD">
        <w:rPr>
          <w:rFonts w:ascii="Arial" w:hAnsi="Arial" w:cs="Arial"/>
        </w:rPr>
        <w:fldChar w:fldCharType="separate"/>
      </w:r>
      <w:r w:rsidR="003F7EAD">
        <w:rPr>
          <w:rFonts w:ascii="Arial" w:hAnsi="Arial" w:cs="Arial"/>
          <w:noProof/>
        </w:rPr>
        <w:t>Insert Name of School District</w:t>
      </w:r>
      <w:r w:rsidR="003F7EAD">
        <w:rPr>
          <w:rFonts w:ascii="Arial" w:hAnsi="Arial" w:cs="Arial"/>
        </w:rPr>
        <w:fldChar w:fldCharType="end"/>
      </w:r>
      <w:bookmarkEnd w:id="1"/>
    </w:p>
    <w:p w14:paraId="642233F3" w14:textId="5B688E5E" w:rsidR="00B71CF7" w:rsidRPr="00C96618" w:rsidRDefault="0073746F" w:rsidP="00C96618">
      <w:pPr>
        <w:spacing w:after="240" w:line="240" w:lineRule="auto"/>
        <w:jc w:val="both"/>
        <w:rPr>
          <w:rFonts w:ascii="Arial" w:hAnsi="Arial" w:cs="Arial"/>
          <w:b/>
        </w:rPr>
      </w:pPr>
      <w:r w:rsidRPr="00C96618">
        <w:rPr>
          <w:rFonts w:ascii="Arial" w:hAnsi="Arial" w:cs="Arial"/>
          <w:b/>
        </w:rPr>
        <w:t xml:space="preserve">From: </w:t>
      </w:r>
      <w:r w:rsidR="003F7EAD">
        <w:rPr>
          <w:rFonts w:ascii="Arial" w:hAnsi="Arial" w:cs="Arial"/>
          <w:b/>
        </w:rPr>
        <w:fldChar w:fldCharType="begin">
          <w:ffData>
            <w:name w:val="Text2"/>
            <w:enabled/>
            <w:calcOnExit w:val="0"/>
            <w:helpText w:type="text" w:val="Insert Name of Superintendent"/>
            <w:statusText w:type="text" w:val="Insert Name of Superintendent"/>
            <w:textInput>
              <w:default w:val="Insert Name of Superintendent"/>
            </w:textInput>
          </w:ffData>
        </w:fldChar>
      </w:r>
      <w:bookmarkStart w:id="2" w:name="Text2"/>
      <w:r w:rsidR="003F7EAD">
        <w:rPr>
          <w:rFonts w:ascii="Arial" w:hAnsi="Arial" w:cs="Arial"/>
          <w:b/>
        </w:rPr>
        <w:instrText xml:space="preserve"> FORMTEXT </w:instrText>
      </w:r>
      <w:r w:rsidR="003F7EAD">
        <w:rPr>
          <w:rFonts w:ascii="Arial" w:hAnsi="Arial" w:cs="Arial"/>
          <w:b/>
        </w:rPr>
      </w:r>
      <w:r w:rsidR="003F7EAD">
        <w:rPr>
          <w:rFonts w:ascii="Arial" w:hAnsi="Arial" w:cs="Arial"/>
          <w:b/>
        </w:rPr>
        <w:fldChar w:fldCharType="separate"/>
      </w:r>
      <w:r w:rsidR="003F7EAD">
        <w:rPr>
          <w:rFonts w:ascii="Arial" w:hAnsi="Arial" w:cs="Arial"/>
          <w:b/>
          <w:noProof/>
        </w:rPr>
        <w:t>Insert Name of Superintendent</w:t>
      </w:r>
      <w:r w:rsidR="003F7EAD">
        <w:rPr>
          <w:rFonts w:ascii="Arial" w:hAnsi="Arial" w:cs="Arial"/>
          <w:b/>
        </w:rPr>
        <w:fldChar w:fldCharType="end"/>
      </w:r>
      <w:bookmarkEnd w:id="2"/>
    </w:p>
    <w:p w14:paraId="0F2FD1A3" w14:textId="77777777" w:rsidR="00B71CF7" w:rsidRPr="00C96618" w:rsidRDefault="0073746F" w:rsidP="00DC7963">
      <w:pPr>
        <w:spacing w:line="240" w:lineRule="auto"/>
        <w:jc w:val="both"/>
        <w:rPr>
          <w:rFonts w:ascii="Arial" w:hAnsi="Arial" w:cs="Arial"/>
          <w:b/>
        </w:rPr>
      </w:pPr>
      <w:r w:rsidRPr="00C96618">
        <w:rPr>
          <w:rFonts w:ascii="Arial" w:hAnsi="Arial" w:cs="Arial"/>
          <w:b/>
        </w:rPr>
        <w:t>Subject: California Law Regarding Safe Storage of Firearms</w:t>
      </w:r>
    </w:p>
    <w:p w14:paraId="388A2452" w14:textId="77777777" w:rsidR="00B71CF7" w:rsidRPr="00C96618" w:rsidRDefault="00642C7F" w:rsidP="00DC7963">
      <w:pPr>
        <w:spacing w:line="240" w:lineRule="auto"/>
        <w:jc w:val="both"/>
        <w:rPr>
          <w:rFonts w:ascii="Arial" w:hAnsi="Arial" w:cs="Arial"/>
          <w:b/>
        </w:rPr>
      </w:pPr>
      <w:r>
        <w:rPr>
          <w:rFonts w:ascii="Arial" w:hAnsi="Arial" w:cs="Arial"/>
          <w:noProof/>
        </w:rPr>
        <w:pict w14:anchorId="178FE51F">
          <v:rect id="_x0000_i1025" style="width:468pt;height:.05pt" o:hralign="center" o:hrstd="t" o:hr="t" fillcolor="#a0a0a0" stroked="f"/>
        </w:pict>
      </w:r>
    </w:p>
    <w:p w14:paraId="26A029EB" w14:textId="60E5F037" w:rsidR="00B71CF7" w:rsidRPr="00C96618" w:rsidRDefault="0073746F" w:rsidP="00EF590E">
      <w:pPr>
        <w:spacing w:before="240" w:line="240" w:lineRule="auto"/>
        <w:rPr>
          <w:rFonts w:ascii="Arial" w:hAnsi="Arial" w:cs="Arial"/>
        </w:rPr>
      </w:pPr>
      <w:r w:rsidRPr="00C96618">
        <w:rPr>
          <w:rFonts w:ascii="Arial" w:hAnsi="Arial" w:cs="Arial"/>
        </w:rPr>
        <w:t xml:space="preserve">The purpose of this memorandum is to inform and to remind parents and legal guardians of all students in the </w:t>
      </w:r>
      <w:r w:rsidR="003F7EAD">
        <w:rPr>
          <w:rFonts w:ascii="Arial" w:hAnsi="Arial" w:cs="Arial"/>
        </w:rPr>
        <w:fldChar w:fldCharType="begin">
          <w:ffData>
            <w:name w:val="Text3"/>
            <w:enabled/>
            <w:calcOnExit w:val="0"/>
            <w:helpText w:type="text" w:val="Insert Name of School District"/>
            <w:statusText w:type="text" w:val="Insert Name of School District"/>
            <w:textInput>
              <w:default w:val="Insert Name of School District"/>
            </w:textInput>
          </w:ffData>
        </w:fldChar>
      </w:r>
      <w:bookmarkStart w:id="3" w:name="Text3"/>
      <w:r w:rsidR="003F7EAD">
        <w:rPr>
          <w:rFonts w:ascii="Arial" w:hAnsi="Arial" w:cs="Arial"/>
        </w:rPr>
        <w:instrText xml:space="preserve"> FORMTEXT </w:instrText>
      </w:r>
      <w:r w:rsidR="003F7EAD">
        <w:rPr>
          <w:rFonts w:ascii="Arial" w:hAnsi="Arial" w:cs="Arial"/>
        </w:rPr>
      </w:r>
      <w:r w:rsidR="003F7EAD">
        <w:rPr>
          <w:rFonts w:ascii="Arial" w:hAnsi="Arial" w:cs="Arial"/>
        </w:rPr>
        <w:fldChar w:fldCharType="separate"/>
      </w:r>
      <w:r w:rsidR="003F7EAD">
        <w:rPr>
          <w:rFonts w:ascii="Arial" w:hAnsi="Arial" w:cs="Arial"/>
          <w:noProof/>
        </w:rPr>
        <w:t>Insert Name of School District</w:t>
      </w:r>
      <w:r w:rsidR="003F7EAD">
        <w:rPr>
          <w:rFonts w:ascii="Arial" w:hAnsi="Arial" w:cs="Arial"/>
        </w:rPr>
        <w:fldChar w:fldCharType="end"/>
      </w:r>
      <w:bookmarkEnd w:id="3"/>
      <w:r w:rsidR="003F7EAD">
        <w:rPr>
          <w:rFonts w:ascii="Arial" w:hAnsi="Arial" w:cs="Arial"/>
        </w:rPr>
        <w:t xml:space="preserve"> </w:t>
      </w:r>
      <w:r w:rsidRPr="00C96618">
        <w:rPr>
          <w:rFonts w:ascii="Arial" w:hAnsi="Arial" w:cs="Arial"/>
        </w:rPr>
        <w:t xml:space="preserve">of their responsibilities for keeping firearms out of the hands of children as required by California law. </w:t>
      </w:r>
      <w:r w:rsidR="007B735F">
        <w:rPr>
          <w:rFonts w:ascii="Arial" w:hAnsi="Arial" w:cs="Arial"/>
          <w:color w:val="000000" w:themeColor="text1"/>
        </w:rPr>
        <w:t>Seveny</w:t>
      </w:r>
      <w:r w:rsidR="00D95903" w:rsidRPr="00D95903">
        <w:rPr>
          <w:rFonts w:ascii="Arial" w:hAnsi="Arial" w:cs="Arial"/>
          <w:color w:val="000000" w:themeColor="text1"/>
        </w:rPr>
        <w:t>-</w:t>
      </w:r>
      <w:r w:rsidR="007B735F">
        <w:rPr>
          <w:rFonts w:ascii="Arial" w:hAnsi="Arial" w:cs="Arial"/>
          <w:color w:val="000000" w:themeColor="text1"/>
        </w:rPr>
        <w:t>four</w:t>
      </w:r>
      <w:r w:rsidR="007B735F" w:rsidRPr="00D95903">
        <w:rPr>
          <w:rFonts w:ascii="Arial" w:hAnsi="Arial" w:cs="Arial"/>
          <w:color w:val="000000" w:themeColor="text1"/>
        </w:rPr>
        <w:t xml:space="preserve"> </w:t>
      </w:r>
      <w:r w:rsidR="00D95903" w:rsidRPr="00D95903">
        <w:rPr>
          <w:rFonts w:ascii="Arial" w:hAnsi="Arial" w:cs="Arial"/>
          <w:color w:val="000000" w:themeColor="text1"/>
        </w:rPr>
        <w:t>percent of children know where their parents’ firearms are stored, and 60 percent report that they have handled them</w:t>
      </w:r>
      <w:r w:rsidR="0038051A">
        <w:rPr>
          <w:rStyle w:val="FootnoteReference"/>
          <w:rFonts w:ascii="Arial" w:hAnsi="Arial" w:cs="Arial"/>
          <w:color w:val="000000" w:themeColor="text1"/>
        </w:rPr>
        <w:footnoteReference w:id="1"/>
      </w:r>
      <w:r w:rsidR="00D95903" w:rsidRPr="00D95903">
        <w:rPr>
          <w:rFonts w:ascii="Arial" w:hAnsi="Arial" w:cs="Arial"/>
          <w:color w:val="000000" w:themeColor="text1"/>
        </w:rPr>
        <w:t>. Sadly, over 80 percent of teens who have died by suicide used a firearm that belonged to someone in their home</w:t>
      </w:r>
      <w:r w:rsidR="0038051A">
        <w:rPr>
          <w:rStyle w:val="FootnoteReference"/>
          <w:rFonts w:ascii="Arial" w:hAnsi="Arial" w:cs="Arial"/>
          <w:color w:val="000000" w:themeColor="text1"/>
        </w:rPr>
        <w:footnoteReference w:id="2"/>
      </w:r>
      <w:r w:rsidR="00D95903" w:rsidRPr="00D95903">
        <w:rPr>
          <w:rFonts w:ascii="Arial" w:hAnsi="Arial" w:cs="Arial"/>
          <w:color w:val="000000" w:themeColor="text1"/>
        </w:rPr>
        <w:t>.</w:t>
      </w:r>
      <w:r w:rsidR="00D95903">
        <w:rPr>
          <w:color w:val="000000" w:themeColor="text1"/>
        </w:rPr>
        <w:t xml:space="preserve"> </w:t>
      </w:r>
      <w:r w:rsidRPr="00C96618">
        <w:rPr>
          <w:rFonts w:ascii="Arial" w:hAnsi="Arial" w:cs="Arial"/>
          <w:b/>
        </w:rPr>
        <w:t>These incidents can be easily prevented by storing firearms in a safe and secure manner, including keeping them locked up when not in use and storing them separately from ammunition.</w:t>
      </w:r>
    </w:p>
    <w:p w14:paraId="447B654B" w14:textId="77777777" w:rsidR="00B71CF7" w:rsidRPr="00C96618" w:rsidRDefault="0073746F" w:rsidP="00EF590E">
      <w:pPr>
        <w:spacing w:before="240" w:after="240" w:line="240" w:lineRule="auto"/>
        <w:rPr>
          <w:rFonts w:ascii="Arial" w:hAnsi="Arial" w:cs="Arial"/>
        </w:rPr>
      </w:pPr>
      <w:r w:rsidRPr="00C96618">
        <w:rPr>
          <w:rFonts w:ascii="Arial" w:hAnsi="Arial" w:cs="Arial"/>
        </w:rPr>
        <w:t>To help everyone understand their legal responsibilities, this memorandum spells out California law regarding the storage of firearms. Please take some time to review this memorandum and evaluate your own personal practices to assure that you and your family are in compliance with California law.</w:t>
      </w:r>
    </w:p>
    <w:p w14:paraId="4CE9C4A3" w14:textId="77777777" w:rsidR="00B71CF7" w:rsidRPr="00C96618" w:rsidRDefault="00D27151" w:rsidP="00EF590E">
      <w:pPr>
        <w:numPr>
          <w:ilvl w:val="0"/>
          <w:numId w:val="1"/>
        </w:numPr>
        <w:spacing w:after="240" w:line="240" w:lineRule="auto"/>
        <w:rPr>
          <w:rFonts w:ascii="Arial" w:hAnsi="Arial" w:cs="Arial"/>
        </w:rPr>
      </w:pPr>
      <w:r w:rsidRPr="00C96618">
        <w:rPr>
          <w:rFonts w:ascii="Arial" w:hAnsi="Arial" w:cs="Arial"/>
        </w:rPr>
        <w:t xml:space="preserve">With very limited exceptions, </w:t>
      </w:r>
      <w:r w:rsidR="0073746F" w:rsidRPr="00C96618">
        <w:rPr>
          <w:rFonts w:ascii="Arial" w:hAnsi="Arial" w:cs="Arial"/>
        </w:rPr>
        <w:t xml:space="preserve">California makes a person criminally liable for keeping any firearm, loaded or unloaded, </w:t>
      </w:r>
      <w:r w:rsidR="00482D07" w:rsidRPr="00C96618">
        <w:rPr>
          <w:rFonts w:ascii="Arial" w:hAnsi="Arial" w:cs="Arial"/>
        </w:rPr>
        <w:t xml:space="preserve">within any premises that are </w:t>
      </w:r>
      <w:r w:rsidR="0073746F" w:rsidRPr="00C96618">
        <w:rPr>
          <w:rFonts w:ascii="Arial" w:hAnsi="Arial" w:cs="Arial"/>
        </w:rPr>
        <w:t xml:space="preserve">under their custody and control where that person knows or reasonably should know that a child is likely to gain access to the firearm without the permission of the child’s parent or legal guardian, and the child obtains access to the firearm and thereby (1) causes death or injury to the child or any other person; (2) carries the firearm off the premises or to a public place, including to any preschool or school grades kindergarten through twelfth grade, or to any school-sponsored event, activity, or performance; </w:t>
      </w:r>
      <w:r w:rsidR="0073746F" w:rsidRPr="00C96618">
        <w:rPr>
          <w:rFonts w:ascii="Arial" w:hAnsi="Arial" w:cs="Arial"/>
          <w:b/>
        </w:rPr>
        <w:t>or</w:t>
      </w:r>
      <w:r w:rsidR="0073746F" w:rsidRPr="00C96618">
        <w:rPr>
          <w:rFonts w:ascii="Arial" w:hAnsi="Arial" w:cs="Arial"/>
        </w:rPr>
        <w:t xml:space="preserve"> (3) </w:t>
      </w:r>
      <w:r w:rsidRPr="00C96618">
        <w:rPr>
          <w:rFonts w:ascii="Arial" w:hAnsi="Arial" w:cs="Arial"/>
        </w:rPr>
        <w:t xml:space="preserve">unlawfully </w:t>
      </w:r>
      <w:r w:rsidR="0073746F" w:rsidRPr="00C96618">
        <w:rPr>
          <w:rFonts w:ascii="Arial" w:hAnsi="Arial" w:cs="Arial"/>
        </w:rPr>
        <w:t>brandishes the firearm to others.</w:t>
      </w:r>
      <w:r w:rsidR="0073746F" w:rsidRPr="00C96618">
        <w:rPr>
          <w:rFonts w:ascii="Arial" w:hAnsi="Arial" w:cs="Arial"/>
          <w:vertAlign w:val="superscript"/>
        </w:rPr>
        <w:footnoteReference w:id="3"/>
      </w:r>
      <w:r w:rsidR="0073746F" w:rsidRPr="00C96618">
        <w:rPr>
          <w:rFonts w:ascii="Arial" w:hAnsi="Arial" w:cs="Arial"/>
        </w:rPr>
        <w:t xml:space="preserve"> </w:t>
      </w:r>
    </w:p>
    <w:p w14:paraId="3F298B9D" w14:textId="77777777" w:rsidR="00B71CF7" w:rsidRPr="00C96618" w:rsidRDefault="0073746F" w:rsidP="00EF590E">
      <w:pPr>
        <w:numPr>
          <w:ilvl w:val="1"/>
          <w:numId w:val="1"/>
        </w:numPr>
        <w:spacing w:line="240" w:lineRule="auto"/>
        <w:rPr>
          <w:rFonts w:ascii="Arial" w:hAnsi="Arial" w:cs="Arial"/>
        </w:rPr>
      </w:pPr>
      <w:r w:rsidRPr="00EF590E">
        <w:rPr>
          <w:rFonts w:ascii="Arial" w:hAnsi="Arial" w:cs="Arial"/>
          <w:b/>
        </w:rPr>
        <w:t>Note:</w:t>
      </w:r>
      <w:r w:rsidRPr="00C96618">
        <w:rPr>
          <w:rFonts w:ascii="Arial" w:hAnsi="Arial" w:cs="Arial"/>
        </w:rPr>
        <w:t xml:space="preserve"> The criminal penalty may be significantly greater if someone dies or suffers great bodily injury as a result of the child gaining access to the firearm.</w:t>
      </w:r>
    </w:p>
    <w:p w14:paraId="37DDDD2D" w14:textId="77777777" w:rsidR="00870311" w:rsidRPr="00C96618" w:rsidRDefault="00870311" w:rsidP="00EF590E">
      <w:pPr>
        <w:spacing w:line="240" w:lineRule="auto"/>
        <w:ind w:left="1440"/>
        <w:rPr>
          <w:rFonts w:ascii="Arial" w:hAnsi="Arial" w:cs="Arial"/>
          <w:i/>
        </w:rPr>
      </w:pPr>
    </w:p>
    <w:p w14:paraId="557AEAB4" w14:textId="3071C099" w:rsidR="008C327F" w:rsidRPr="00C96618" w:rsidRDefault="00184B3C" w:rsidP="00EF590E">
      <w:pPr>
        <w:numPr>
          <w:ilvl w:val="0"/>
          <w:numId w:val="1"/>
        </w:numPr>
        <w:spacing w:after="240" w:line="240" w:lineRule="auto"/>
        <w:rPr>
          <w:rFonts w:ascii="Arial" w:hAnsi="Arial" w:cs="Arial"/>
        </w:rPr>
      </w:pPr>
      <w:r w:rsidRPr="00C96618">
        <w:rPr>
          <w:rFonts w:ascii="Arial" w:hAnsi="Arial" w:cs="Arial"/>
        </w:rPr>
        <w:t xml:space="preserve">With very limited exceptions, </w:t>
      </w:r>
      <w:r w:rsidR="0073746F" w:rsidRPr="00C96618">
        <w:rPr>
          <w:rFonts w:ascii="Arial" w:hAnsi="Arial" w:cs="Arial"/>
        </w:rPr>
        <w:t xml:space="preserve">California also makes it a crime for a person to negligently store or leave any firearm, loaded or unloaded, on their premises in a </w:t>
      </w:r>
      <w:r w:rsidR="0073746F" w:rsidRPr="00C96618">
        <w:rPr>
          <w:rFonts w:ascii="Arial" w:hAnsi="Arial" w:cs="Arial"/>
        </w:rPr>
        <w:lastRenderedPageBreak/>
        <w:t xml:space="preserve">location where the person knows or reasonably should know that a child </w:t>
      </w:r>
      <w:r w:rsidR="00A40106" w:rsidRPr="00C96618">
        <w:rPr>
          <w:rFonts w:ascii="Arial" w:hAnsi="Arial" w:cs="Arial"/>
        </w:rPr>
        <w:t xml:space="preserve">is likely to gain access to it </w:t>
      </w:r>
      <w:r w:rsidR="0073746F" w:rsidRPr="00C96618">
        <w:rPr>
          <w:rFonts w:ascii="Arial" w:hAnsi="Arial" w:cs="Arial"/>
        </w:rPr>
        <w:t xml:space="preserve">without the permission of the child’s parent or legal guardian, unless reasonable action is taken to secure the firearm against access by the child, even where a </w:t>
      </w:r>
      <w:r w:rsidR="007225A5">
        <w:rPr>
          <w:rFonts w:ascii="Arial" w:hAnsi="Arial" w:cs="Arial"/>
        </w:rPr>
        <w:t>child</w:t>
      </w:r>
      <w:r w:rsidR="007225A5" w:rsidRPr="00C96618">
        <w:rPr>
          <w:rFonts w:ascii="Arial" w:hAnsi="Arial" w:cs="Arial"/>
        </w:rPr>
        <w:t xml:space="preserve"> </w:t>
      </w:r>
      <w:r w:rsidR="0073746F" w:rsidRPr="00C96618">
        <w:rPr>
          <w:rFonts w:ascii="Arial" w:hAnsi="Arial" w:cs="Arial"/>
          <w:b/>
        </w:rPr>
        <w:t xml:space="preserve">never </w:t>
      </w:r>
      <w:r w:rsidR="0073746F" w:rsidRPr="00C96618">
        <w:rPr>
          <w:rFonts w:ascii="Arial" w:hAnsi="Arial" w:cs="Arial"/>
        </w:rPr>
        <w:t>actually accesses the firearm.</w:t>
      </w:r>
      <w:r w:rsidR="0073746F" w:rsidRPr="00C96618">
        <w:rPr>
          <w:rFonts w:ascii="Arial" w:hAnsi="Arial" w:cs="Arial"/>
          <w:vertAlign w:val="superscript"/>
        </w:rPr>
        <w:footnoteReference w:id="4"/>
      </w:r>
    </w:p>
    <w:p w14:paraId="678ACFAF" w14:textId="16F672AB" w:rsidR="008C327F" w:rsidRPr="00C96618" w:rsidRDefault="0073746F" w:rsidP="00EF590E">
      <w:pPr>
        <w:numPr>
          <w:ilvl w:val="0"/>
          <w:numId w:val="1"/>
        </w:numPr>
        <w:spacing w:after="240" w:line="240" w:lineRule="auto"/>
        <w:rPr>
          <w:rFonts w:ascii="Arial" w:hAnsi="Arial" w:cs="Arial"/>
        </w:rPr>
      </w:pPr>
      <w:r w:rsidRPr="00C96618">
        <w:rPr>
          <w:rFonts w:ascii="Arial" w:hAnsi="Arial" w:cs="Arial"/>
        </w:rPr>
        <w:t xml:space="preserve">In addition to potential fines and terms of imprisonment, as of January 1, 2020, a gun owner found criminally liable under these California laws </w:t>
      </w:r>
      <w:r w:rsidR="00CA68DE" w:rsidRPr="00C96618">
        <w:rPr>
          <w:rFonts w:ascii="Arial" w:hAnsi="Arial" w:cs="Arial"/>
        </w:rPr>
        <w:t>faces prohibitions</w:t>
      </w:r>
      <w:r w:rsidRPr="00C96618">
        <w:rPr>
          <w:rFonts w:ascii="Arial" w:hAnsi="Arial" w:cs="Arial"/>
        </w:rPr>
        <w:t xml:space="preserve"> from possessing, </w:t>
      </w:r>
      <w:r w:rsidR="00647FBA">
        <w:rPr>
          <w:rFonts w:ascii="Arial" w:hAnsi="Arial" w:cs="Arial"/>
        </w:rPr>
        <w:t xml:space="preserve">having custody or </w:t>
      </w:r>
      <w:r w:rsidRPr="00C96618">
        <w:rPr>
          <w:rFonts w:ascii="Arial" w:hAnsi="Arial" w:cs="Arial"/>
        </w:rPr>
        <w:t>control, owning, receiving, or purchasing a firearm for 10 years.</w:t>
      </w:r>
      <w:r w:rsidRPr="00C96618">
        <w:rPr>
          <w:rFonts w:ascii="Arial" w:hAnsi="Arial" w:cs="Arial"/>
          <w:vertAlign w:val="superscript"/>
        </w:rPr>
        <w:footnoteReference w:id="5"/>
      </w:r>
    </w:p>
    <w:p w14:paraId="534E53AD" w14:textId="77777777" w:rsidR="008C327F" w:rsidRPr="00C96618" w:rsidRDefault="0073746F" w:rsidP="00EF590E">
      <w:pPr>
        <w:numPr>
          <w:ilvl w:val="0"/>
          <w:numId w:val="1"/>
        </w:numPr>
        <w:spacing w:after="240" w:line="240" w:lineRule="auto"/>
        <w:rPr>
          <w:rFonts w:ascii="Arial" w:hAnsi="Arial" w:cs="Arial"/>
        </w:rPr>
      </w:pPr>
      <w:r w:rsidRPr="00C96618">
        <w:rPr>
          <w:rFonts w:ascii="Arial" w:hAnsi="Arial" w:cs="Arial"/>
        </w:rPr>
        <w:t>Finally, a parent or guardian may also be civilly liable for damages resulting from the discharge of a firearm by that person’s child or ward.</w:t>
      </w:r>
      <w:r w:rsidRPr="00C96618">
        <w:rPr>
          <w:rFonts w:ascii="Arial" w:hAnsi="Arial" w:cs="Arial"/>
          <w:vertAlign w:val="superscript"/>
        </w:rPr>
        <w:footnoteReference w:id="6"/>
      </w:r>
    </w:p>
    <w:p w14:paraId="7EECEB49" w14:textId="77777777" w:rsidR="00B71CF7" w:rsidRPr="00C96618" w:rsidRDefault="0073746F" w:rsidP="00EF590E">
      <w:pPr>
        <w:spacing w:after="240" w:line="240" w:lineRule="auto"/>
        <w:rPr>
          <w:rFonts w:ascii="Arial" w:hAnsi="Arial" w:cs="Arial"/>
        </w:rPr>
      </w:pPr>
      <w:r w:rsidRPr="004501B2">
        <w:rPr>
          <w:rFonts w:ascii="Arial" w:hAnsi="Arial" w:cs="Arial"/>
          <w:b/>
        </w:rPr>
        <w:t>Note:</w:t>
      </w:r>
      <w:r w:rsidRPr="00C96618">
        <w:rPr>
          <w:rFonts w:ascii="Arial" w:hAnsi="Arial" w:cs="Arial"/>
        </w:rPr>
        <w:t xml:space="preserve"> Your county or city may have additional restrictions regarding the safe storage of firearms. </w:t>
      </w:r>
    </w:p>
    <w:p w14:paraId="620B4EBF" w14:textId="77777777" w:rsidR="00B71CF7" w:rsidRPr="00C96618" w:rsidRDefault="0073746F" w:rsidP="00EF590E">
      <w:pPr>
        <w:spacing w:after="240" w:line="240" w:lineRule="auto"/>
        <w:rPr>
          <w:rFonts w:ascii="Arial" w:hAnsi="Arial" w:cs="Arial"/>
        </w:rPr>
      </w:pPr>
      <w:r w:rsidRPr="00C96618">
        <w:rPr>
          <w:rFonts w:ascii="Arial" w:hAnsi="Arial" w:cs="Arial"/>
        </w:rPr>
        <w:t>Thank you for helping to keep our children and schools safe. Remember that the easiest and safest way to comply with the law is to keep firearms in a locked container or secured with a locking device that renders the firearm inoperable.</w:t>
      </w:r>
    </w:p>
    <w:p w14:paraId="66D8DFB5" w14:textId="77777777" w:rsidR="00B71CF7" w:rsidRPr="00C96618" w:rsidRDefault="0073746F" w:rsidP="00EF590E">
      <w:pPr>
        <w:spacing w:after="720" w:line="240" w:lineRule="auto"/>
        <w:rPr>
          <w:rFonts w:ascii="Arial" w:hAnsi="Arial" w:cs="Arial"/>
        </w:rPr>
      </w:pPr>
      <w:r w:rsidRPr="00C96618">
        <w:rPr>
          <w:rFonts w:ascii="Arial" w:hAnsi="Arial" w:cs="Arial"/>
        </w:rPr>
        <w:t>Sincerely,</w:t>
      </w:r>
    </w:p>
    <w:p w14:paraId="290B194B" w14:textId="20290382" w:rsidR="00B71CF7" w:rsidRPr="00C96618" w:rsidRDefault="003F7EAD" w:rsidP="00EF590E">
      <w:pPr>
        <w:spacing w:line="240" w:lineRule="auto"/>
        <w:rPr>
          <w:rFonts w:ascii="Arial" w:hAnsi="Arial" w:cs="Arial"/>
          <w:b/>
        </w:rPr>
      </w:pPr>
      <w:r>
        <w:rPr>
          <w:rFonts w:ascii="Arial" w:hAnsi="Arial" w:cs="Arial"/>
          <w:b/>
        </w:rPr>
        <w:fldChar w:fldCharType="begin">
          <w:ffData>
            <w:name w:val="Text4"/>
            <w:enabled/>
            <w:calcOnExit w:val="0"/>
            <w:helpText w:type="text" w:val="Insert Name of Superintendent"/>
            <w:statusText w:type="text" w:val="Insert Name of Superintendent"/>
            <w:textInput>
              <w:default w:val="Insert Name of Superintendent"/>
            </w:textInput>
          </w:ffData>
        </w:fldChar>
      </w:r>
      <w:bookmarkStart w:id="4" w:name="Text4"/>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Insert Name of Superintendent</w:t>
      </w:r>
      <w:r>
        <w:rPr>
          <w:rFonts w:ascii="Arial" w:hAnsi="Arial" w:cs="Arial"/>
          <w:b/>
        </w:rPr>
        <w:fldChar w:fldCharType="end"/>
      </w:r>
      <w:bookmarkEnd w:id="4"/>
    </w:p>
    <w:p w14:paraId="29D6135C" w14:textId="12518E45" w:rsidR="00B71CF7" w:rsidRPr="00922ED0" w:rsidRDefault="0073746F" w:rsidP="00EF590E">
      <w:pPr>
        <w:spacing w:line="240" w:lineRule="auto"/>
        <w:jc w:val="right"/>
        <w:rPr>
          <w:rFonts w:ascii="Arial" w:hAnsi="Arial" w:cs="Arial"/>
        </w:rPr>
      </w:pPr>
      <w:r w:rsidRPr="00922ED0">
        <w:rPr>
          <w:rFonts w:ascii="Arial" w:hAnsi="Arial" w:cs="Arial"/>
        </w:rPr>
        <w:t xml:space="preserve">Date published: </w:t>
      </w:r>
      <w:r w:rsidR="00D9684B">
        <w:rPr>
          <w:rFonts w:ascii="Arial" w:hAnsi="Arial" w:cs="Arial"/>
        </w:rPr>
        <w:t>April 2025</w:t>
      </w:r>
    </w:p>
    <w:p w14:paraId="14B18458" w14:textId="77777777" w:rsidR="00B71CF7" w:rsidRPr="00C96618" w:rsidRDefault="0073746F" w:rsidP="00EF590E">
      <w:pPr>
        <w:spacing w:line="240" w:lineRule="auto"/>
        <w:jc w:val="right"/>
        <w:rPr>
          <w:rFonts w:ascii="Arial" w:hAnsi="Arial" w:cs="Arial"/>
        </w:rPr>
      </w:pPr>
      <w:r w:rsidRPr="00C96618">
        <w:rPr>
          <w:rFonts w:ascii="Arial" w:hAnsi="Arial" w:cs="Arial"/>
        </w:rPr>
        <w:t>California Department of Education</w:t>
      </w:r>
    </w:p>
    <w:p w14:paraId="792EE83A" w14:textId="77777777" w:rsidR="00B71CF7" w:rsidRPr="00C96618" w:rsidRDefault="00B71CF7" w:rsidP="00EF590E">
      <w:pPr>
        <w:spacing w:line="240" w:lineRule="auto"/>
        <w:rPr>
          <w:rFonts w:ascii="Arial" w:hAnsi="Arial" w:cs="Arial"/>
        </w:rPr>
      </w:pPr>
    </w:p>
    <w:sectPr w:rsidR="00B71CF7" w:rsidRPr="00C9661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83179" w14:textId="77777777" w:rsidR="00D46C5F" w:rsidRDefault="00D46C5F">
      <w:pPr>
        <w:spacing w:line="240" w:lineRule="auto"/>
      </w:pPr>
      <w:r>
        <w:separator/>
      </w:r>
    </w:p>
  </w:endnote>
  <w:endnote w:type="continuationSeparator" w:id="0">
    <w:p w14:paraId="2FF2B6FE" w14:textId="77777777" w:rsidR="00D46C5F" w:rsidRDefault="00D46C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9CD01" w14:textId="77777777" w:rsidR="00D46C5F" w:rsidRDefault="00D46C5F">
      <w:pPr>
        <w:spacing w:line="240" w:lineRule="auto"/>
      </w:pPr>
      <w:r>
        <w:separator/>
      </w:r>
    </w:p>
  </w:footnote>
  <w:footnote w:type="continuationSeparator" w:id="0">
    <w:p w14:paraId="01CF6B2C" w14:textId="77777777" w:rsidR="00D46C5F" w:rsidRDefault="00D46C5F">
      <w:pPr>
        <w:spacing w:line="240" w:lineRule="auto"/>
      </w:pPr>
      <w:r>
        <w:continuationSeparator/>
      </w:r>
    </w:p>
  </w:footnote>
  <w:footnote w:id="1">
    <w:p w14:paraId="2106B774" w14:textId="0E471791" w:rsidR="0038051A" w:rsidRPr="00B51319" w:rsidRDefault="0038051A">
      <w:pPr>
        <w:pStyle w:val="FootnoteText"/>
        <w:rPr>
          <w:rFonts w:ascii="Arial" w:hAnsi="Arial" w:cs="Arial"/>
          <w:sz w:val="24"/>
          <w:szCs w:val="24"/>
        </w:rPr>
      </w:pPr>
      <w:r w:rsidRPr="00B51319">
        <w:rPr>
          <w:rStyle w:val="FootnoteReference"/>
          <w:rFonts w:ascii="Arial" w:hAnsi="Arial" w:cs="Arial"/>
          <w:sz w:val="24"/>
          <w:szCs w:val="24"/>
        </w:rPr>
        <w:footnoteRef/>
      </w:r>
      <w:r w:rsidRPr="00B51319">
        <w:rPr>
          <w:rFonts w:ascii="Arial" w:hAnsi="Arial" w:cs="Arial"/>
          <w:sz w:val="24"/>
          <w:szCs w:val="24"/>
        </w:rPr>
        <w:t xml:space="preserve"> Baxley F, Miller M. Parental Misperceptions About Children and Firearms. </w:t>
      </w:r>
      <w:r w:rsidRPr="00B51319">
        <w:rPr>
          <w:rFonts w:ascii="Arial" w:hAnsi="Arial" w:cs="Arial"/>
          <w:i/>
          <w:iCs/>
          <w:sz w:val="24"/>
          <w:szCs w:val="24"/>
        </w:rPr>
        <w:t xml:space="preserve">Arch </w:t>
      </w:r>
      <w:proofErr w:type="spellStart"/>
      <w:r w:rsidRPr="00B51319">
        <w:rPr>
          <w:rFonts w:ascii="Arial" w:hAnsi="Arial" w:cs="Arial"/>
          <w:i/>
          <w:iCs/>
          <w:sz w:val="24"/>
          <w:szCs w:val="24"/>
        </w:rPr>
        <w:t>Pediatr</w:t>
      </w:r>
      <w:proofErr w:type="spellEnd"/>
      <w:r w:rsidRPr="00B51319">
        <w:rPr>
          <w:rFonts w:ascii="Arial" w:hAnsi="Arial" w:cs="Arial"/>
          <w:i/>
          <w:iCs/>
          <w:sz w:val="24"/>
          <w:szCs w:val="24"/>
        </w:rPr>
        <w:t xml:space="preserve"> </w:t>
      </w:r>
      <w:proofErr w:type="spellStart"/>
      <w:r w:rsidRPr="00B51319">
        <w:rPr>
          <w:rFonts w:ascii="Arial" w:hAnsi="Arial" w:cs="Arial"/>
          <w:i/>
          <w:iCs/>
          <w:sz w:val="24"/>
          <w:szCs w:val="24"/>
        </w:rPr>
        <w:t>Adolesc</w:t>
      </w:r>
      <w:proofErr w:type="spellEnd"/>
      <w:r w:rsidRPr="00B51319">
        <w:rPr>
          <w:rFonts w:ascii="Arial" w:hAnsi="Arial" w:cs="Arial"/>
          <w:i/>
          <w:iCs/>
          <w:sz w:val="24"/>
          <w:szCs w:val="24"/>
        </w:rPr>
        <w:t xml:space="preserve"> Med.</w:t>
      </w:r>
      <w:r w:rsidRPr="00B51319">
        <w:rPr>
          <w:rFonts w:ascii="Arial" w:hAnsi="Arial" w:cs="Arial"/>
          <w:sz w:val="24"/>
          <w:szCs w:val="24"/>
        </w:rPr>
        <w:t> 2006;160(5):542–547. doi:10.1001/archpedi.160.5.542</w:t>
      </w:r>
    </w:p>
  </w:footnote>
  <w:footnote w:id="2">
    <w:p w14:paraId="6C3C39B2" w14:textId="0C09C4FB" w:rsidR="0038051A" w:rsidRPr="00B51319" w:rsidRDefault="0038051A">
      <w:pPr>
        <w:pStyle w:val="FootnoteText"/>
        <w:rPr>
          <w:rFonts w:ascii="Arial" w:hAnsi="Arial" w:cs="Arial"/>
          <w:sz w:val="24"/>
          <w:szCs w:val="24"/>
        </w:rPr>
      </w:pPr>
      <w:r w:rsidRPr="00B51319">
        <w:rPr>
          <w:rStyle w:val="FootnoteReference"/>
          <w:rFonts w:ascii="Arial" w:hAnsi="Arial" w:cs="Arial"/>
          <w:sz w:val="24"/>
          <w:szCs w:val="24"/>
        </w:rPr>
        <w:footnoteRef/>
      </w:r>
      <w:r w:rsidRPr="00B51319">
        <w:rPr>
          <w:rFonts w:ascii="Arial" w:hAnsi="Arial" w:cs="Arial"/>
          <w:sz w:val="24"/>
          <w:szCs w:val="24"/>
        </w:rPr>
        <w:t xml:space="preserve"> Barber, C., Azrael, D., Clark, D. E., &amp; Hemenway, D. (2010). Who are the owners of firearms used in adolescent suicides?. </w:t>
      </w:r>
      <w:r w:rsidRPr="00B51319">
        <w:rPr>
          <w:rFonts w:ascii="Arial" w:hAnsi="Arial" w:cs="Arial"/>
          <w:i/>
          <w:iCs/>
          <w:sz w:val="24"/>
          <w:szCs w:val="24"/>
        </w:rPr>
        <w:t>Suicide &amp; life-threatening behavior</w:t>
      </w:r>
      <w:r w:rsidRPr="00B51319">
        <w:rPr>
          <w:rFonts w:ascii="Arial" w:hAnsi="Arial" w:cs="Arial"/>
          <w:sz w:val="24"/>
          <w:szCs w:val="24"/>
        </w:rPr>
        <w:t>, </w:t>
      </w:r>
      <w:r w:rsidRPr="00B51319">
        <w:rPr>
          <w:rFonts w:ascii="Arial" w:hAnsi="Arial" w:cs="Arial"/>
          <w:i/>
          <w:iCs/>
          <w:sz w:val="24"/>
          <w:szCs w:val="24"/>
        </w:rPr>
        <w:t>40</w:t>
      </w:r>
      <w:r w:rsidRPr="00B51319">
        <w:rPr>
          <w:rFonts w:ascii="Arial" w:hAnsi="Arial" w:cs="Arial"/>
          <w:sz w:val="24"/>
          <w:szCs w:val="24"/>
        </w:rPr>
        <w:t xml:space="preserve">(6), 609–611. </w:t>
      </w:r>
    </w:p>
  </w:footnote>
  <w:footnote w:id="3">
    <w:p w14:paraId="40E776BD" w14:textId="77777777" w:rsidR="00B71CF7" w:rsidRPr="004868EB" w:rsidRDefault="0073746F">
      <w:pPr>
        <w:spacing w:line="240" w:lineRule="auto"/>
        <w:rPr>
          <w:rFonts w:ascii="Arial" w:hAnsi="Arial" w:cs="Arial"/>
        </w:rPr>
      </w:pPr>
      <w:r w:rsidRPr="004868EB">
        <w:rPr>
          <w:rFonts w:ascii="Arial" w:hAnsi="Arial" w:cs="Arial"/>
          <w:vertAlign w:val="superscript"/>
        </w:rPr>
        <w:footnoteRef/>
      </w:r>
      <w:r w:rsidRPr="004868EB">
        <w:rPr>
          <w:rFonts w:ascii="Arial" w:hAnsi="Arial" w:cs="Arial"/>
        </w:rPr>
        <w:t xml:space="preserve"> </w:t>
      </w:r>
      <w:r w:rsidR="00D27151" w:rsidRPr="004868EB">
        <w:rPr>
          <w:rFonts w:ascii="Arial" w:hAnsi="Arial" w:cs="Arial"/>
        </w:rPr>
        <w:t xml:space="preserve">See </w:t>
      </w:r>
      <w:r w:rsidRPr="004868EB">
        <w:rPr>
          <w:rFonts w:ascii="Arial" w:hAnsi="Arial" w:cs="Arial"/>
        </w:rPr>
        <w:t xml:space="preserve">California Penal Code sections </w:t>
      </w:r>
      <w:r w:rsidR="00D27151" w:rsidRPr="004868EB">
        <w:rPr>
          <w:rFonts w:ascii="Arial" w:hAnsi="Arial" w:cs="Arial"/>
        </w:rPr>
        <w:t>25100 through 25125 and 25200 through 25220</w:t>
      </w:r>
      <w:r w:rsidRPr="004868EB">
        <w:rPr>
          <w:rFonts w:ascii="Arial" w:hAnsi="Arial" w:cs="Arial"/>
        </w:rPr>
        <w:t>.</w:t>
      </w:r>
    </w:p>
  </w:footnote>
  <w:footnote w:id="4">
    <w:p w14:paraId="0AC2FC6B" w14:textId="77777777" w:rsidR="00B71CF7" w:rsidRPr="004868EB" w:rsidRDefault="0073746F">
      <w:pPr>
        <w:spacing w:line="240" w:lineRule="auto"/>
        <w:rPr>
          <w:rFonts w:ascii="Arial" w:hAnsi="Arial" w:cs="Arial"/>
        </w:rPr>
      </w:pPr>
      <w:r w:rsidRPr="004868EB">
        <w:rPr>
          <w:rFonts w:ascii="Arial" w:hAnsi="Arial" w:cs="Arial"/>
          <w:vertAlign w:val="superscript"/>
        </w:rPr>
        <w:footnoteRef/>
      </w:r>
      <w:r w:rsidRPr="004868EB">
        <w:rPr>
          <w:rFonts w:ascii="Arial" w:hAnsi="Arial" w:cs="Arial"/>
        </w:rPr>
        <w:t xml:space="preserve"> </w:t>
      </w:r>
      <w:r w:rsidR="008C327F" w:rsidRPr="004868EB">
        <w:rPr>
          <w:rFonts w:ascii="Arial" w:hAnsi="Arial" w:cs="Arial"/>
          <w:i/>
        </w:rPr>
        <w:t>See</w:t>
      </w:r>
      <w:r w:rsidR="008C327F" w:rsidRPr="004868EB">
        <w:rPr>
          <w:rFonts w:ascii="Arial" w:hAnsi="Arial" w:cs="Arial"/>
        </w:rPr>
        <w:t xml:space="preserve"> </w:t>
      </w:r>
      <w:r w:rsidRPr="004868EB">
        <w:rPr>
          <w:rFonts w:ascii="Arial" w:hAnsi="Arial" w:cs="Arial"/>
        </w:rPr>
        <w:t>California Penal Code section 25100(c).</w:t>
      </w:r>
    </w:p>
  </w:footnote>
  <w:footnote w:id="5">
    <w:p w14:paraId="755A3A7B" w14:textId="0799CFBC" w:rsidR="00B71CF7" w:rsidRPr="004868EB" w:rsidRDefault="0073746F">
      <w:pPr>
        <w:spacing w:line="240" w:lineRule="auto"/>
        <w:rPr>
          <w:rFonts w:ascii="Arial" w:hAnsi="Arial" w:cs="Arial"/>
        </w:rPr>
      </w:pPr>
      <w:r w:rsidRPr="004868EB">
        <w:rPr>
          <w:rFonts w:ascii="Arial" w:hAnsi="Arial" w:cs="Arial"/>
          <w:vertAlign w:val="superscript"/>
        </w:rPr>
        <w:footnoteRef/>
      </w:r>
      <w:r w:rsidRPr="004868EB">
        <w:rPr>
          <w:rFonts w:ascii="Arial" w:hAnsi="Arial" w:cs="Arial"/>
        </w:rPr>
        <w:t xml:space="preserve"> </w:t>
      </w:r>
      <w:r w:rsidRPr="004868EB">
        <w:rPr>
          <w:rFonts w:ascii="Arial" w:hAnsi="Arial" w:cs="Arial"/>
          <w:i/>
        </w:rPr>
        <w:t xml:space="preserve">See </w:t>
      </w:r>
      <w:r w:rsidRPr="004868EB">
        <w:rPr>
          <w:rFonts w:ascii="Arial" w:hAnsi="Arial" w:cs="Arial"/>
        </w:rPr>
        <w:t xml:space="preserve">California </w:t>
      </w:r>
      <w:r w:rsidR="00647FBA">
        <w:rPr>
          <w:rFonts w:ascii="Arial" w:hAnsi="Arial" w:cs="Arial"/>
        </w:rPr>
        <w:t>Penal</w:t>
      </w:r>
      <w:r w:rsidR="00647FBA" w:rsidRPr="004868EB">
        <w:rPr>
          <w:rFonts w:ascii="Arial" w:hAnsi="Arial" w:cs="Arial"/>
        </w:rPr>
        <w:t xml:space="preserve"> </w:t>
      </w:r>
      <w:r w:rsidRPr="004868EB">
        <w:rPr>
          <w:rFonts w:ascii="Arial" w:hAnsi="Arial" w:cs="Arial"/>
        </w:rPr>
        <w:t xml:space="preserve">Code Section 29805.  </w:t>
      </w:r>
    </w:p>
  </w:footnote>
  <w:footnote w:id="6">
    <w:p w14:paraId="218287EE" w14:textId="77777777" w:rsidR="00B71CF7" w:rsidRDefault="0073746F">
      <w:pPr>
        <w:spacing w:line="240" w:lineRule="auto"/>
        <w:rPr>
          <w:sz w:val="20"/>
          <w:szCs w:val="20"/>
        </w:rPr>
      </w:pPr>
      <w:r w:rsidRPr="004868EB">
        <w:rPr>
          <w:rFonts w:ascii="Arial" w:hAnsi="Arial" w:cs="Arial"/>
          <w:vertAlign w:val="superscript"/>
        </w:rPr>
        <w:footnoteRef/>
      </w:r>
      <w:r w:rsidRPr="004868EB">
        <w:rPr>
          <w:rFonts w:ascii="Arial" w:hAnsi="Arial" w:cs="Arial"/>
        </w:rPr>
        <w:t xml:space="preserve"> </w:t>
      </w:r>
      <w:r w:rsidRPr="004868EB">
        <w:rPr>
          <w:rFonts w:ascii="Arial" w:hAnsi="Arial" w:cs="Arial"/>
          <w:i/>
        </w:rPr>
        <w:t xml:space="preserve">See </w:t>
      </w:r>
      <w:r w:rsidRPr="004868EB">
        <w:rPr>
          <w:rFonts w:ascii="Arial" w:hAnsi="Arial" w:cs="Arial"/>
        </w:rPr>
        <w:t>California Civil Code Section 1714.3.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F67B2"/>
    <w:multiLevelType w:val="multilevel"/>
    <w:tmpl w:val="DC1A78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0733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CF7"/>
    <w:rsid w:val="00006E1E"/>
    <w:rsid w:val="000A327E"/>
    <w:rsid w:val="000B69A7"/>
    <w:rsid w:val="000C4560"/>
    <w:rsid w:val="000D2198"/>
    <w:rsid w:val="00124D61"/>
    <w:rsid w:val="001667AB"/>
    <w:rsid w:val="00184B3C"/>
    <w:rsid w:val="001B7541"/>
    <w:rsid w:val="001C1722"/>
    <w:rsid w:val="00263C05"/>
    <w:rsid w:val="00280501"/>
    <w:rsid w:val="00281F69"/>
    <w:rsid w:val="0038051A"/>
    <w:rsid w:val="003F7EAD"/>
    <w:rsid w:val="00431F0D"/>
    <w:rsid w:val="004501B2"/>
    <w:rsid w:val="00482D07"/>
    <w:rsid w:val="004868EB"/>
    <w:rsid w:val="004C7810"/>
    <w:rsid w:val="004F1627"/>
    <w:rsid w:val="00516A59"/>
    <w:rsid w:val="005173D4"/>
    <w:rsid w:val="005502BA"/>
    <w:rsid w:val="00563C24"/>
    <w:rsid w:val="00575D8D"/>
    <w:rsid w:val="005B662D"/>
    <w:rsid w:val="005C2FB1"/>
    <w:rsid w:val="00642B87"/>
    <w:rsid w:val="00642C7F"/>
    <w:rsid w:val="00646CC0"/>
    <w:rsid w:val="00646EFD"/>
    <w:rsid w:val="00647FBA"/>
    <w:rsid w:val="00651E08"/>
    <w:rsid w:val="006B7FF4"/>
    <w:rsid w:val="006C4597"/>
    <w:rsid w:val="007225A5"/>
    <w:rsid w:val="0073746F"/>
    <w:rsid w:val="00760783"/>
    <w:rsid w:val="00777536"/>
    <w:rsid w:val="007836B4"/>
    <w:rsid w:val="0078527B"/>
    <w:rsid w:val="007B735F"/>
    <w:rsid w:val="00870311"/>
    <w:rsid w:val="008C327F"/>
    <w:rsid w:val="008D135C"/>
    <w:rsid w:val="00900C12"/>
    <w:rsid w:val="00922ED0"/>
    <w:rsid w:val="009B1BDF"/>
    <w:rsid w:val="00A40106"/>
    <w:rsid w:val="00B51319"/>
    <w:rsid w:val="00B71CF7"/>
    <w:rsid w:val="00BC554E"/>
    <w:rsid w:val="00BE5B82"/>
    <w:rsid w:val="00C0727B"/>
    <w:rsid w:val="00C53338"/>
    <w:rsid w:val="00C96618"/>
    <w:rsid w:val="00CA68DE"/>
    <w:rsid w:val="00CD48A6"/>
    <w:rsid w:val="00D27151"/>
    <w:rsid w:val="00D35573"/>
    <w:rsid w:val="00D42E41"/>
    <w:rsid w:val="00D46C5F"/>
    <w:rsid w:val="00D95903"/>
    <w:rsid w:val="00D9684B"/>
    <w:rsid w:val="00DC7963"/>
    <w:rsid w:val="00DF17CF"/>
    <w:rsid w:val="00E52419"/>
    <w:rsid w:val="00E56DBA"/>
    <w:rsid w:val="00E64128"/>
    <w:rsid w:val="00EE2434"/>
    <w:rsid w:val="00EF590E"/>
    <w:rsid w:val="00F10FC0"/>
    <w:rsid w:val="00F23930"/>
    <w:rsid w:val="00F510F6"/>
    <w:rsid w:val="00F77E2D"/>
    <w:rsid w:val="00F868E0"/>
    <w:rsid w:val="00FE7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CFF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qFormat/>
    <w:pPr>
      <w:keepNext/>
      <w:keepLines/>
      <w:spacing w:before="400" w:after="120"/>
      <w:outlineLvl w:val="0"/>
    </w:pPr>
    <w:rPr>
      <w:b/>
      <w:sz w:val="36"/>
      <w:szCs w:val="36"/>
    </w:rPr>
  </w:style>
  <w:style w:type="paragraph" w:styleId="Heading2">
    <w:name w:val="heading 2"/>
    <w:basedOn w:val="Normal"/>
    <w:next w:val="Normal"/>
    <w:pPr>
      <w:keepNext/>
      <w:keepLines/>
      <w:spacing w:before="360" w:after="120"/>
      <w:outlineLvl w:val="1"/>
    </w:pPr>
    <w:rPr>
      <w:b/>
      <w:sz w:val="28"/>
      <w:szCs w:val="28"/>
    </w:rPr>
  </w:style>
  <w:style w:type="paragraph" w:styleId="Heading3">
    <w:name w:val="heading 3"/>
    <w:basedOn w:val="Normal"/>
    <w:next w:val="Normal"/>
    <w:pPr>
      <w:keepNext/>
      <w:keepLines/>
      <w:outlineLvl w:val="2"/>
    </w:pPr>
    <w:rPr>
      <w:b/>
    </w:rPr>
  </w:style>
  <w:style w:type="paragraph" w:styleId="Heading4">
    <w:name w:val="heading 4"/>
    <w:basedOn w:val="Normal"/>
    <w:next w:val="Normal"/>
    <w:pPr>
      <w:keepNext/>
      <w:keepLines/>
      <w:spacing w:before="280" w:after="80"/>
      <w:outlineLvl w:val="3"/>
    </w:pPr>
    <w:rPr>
      <w:color w:val="666666"/>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rFonts w:ascii="Arial" w:eastAsia="Arial" w:hAnsi="Arial" w:cs="Arial"/>
      <w:color w:val="666666"/>
      <w:sz w:val="30"/>
      <w:szCs w:val="30"/>
    </w:rPr>
  </w:style>
  <w:style w:type="paragraph" w:styleId="BalloonText">
    <w:name w:val="Balloon Text"/>
    <w:basedOn w:val="Normal"/>
    <w:link w:val="BalloonTextChar"/>
    <w:uiPriority w:val="99"/>
    <w:semiHidden/>
    <w:unhideWhenUsed/>
    <w:rsid w:val="00F868E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68E0"/>
    <w:rPr>
      <w:rFonts w:ascii="Tahoma" w:hAnsi="Tahoma" w:cs="Tahoma"/>
      <w:sz w:val="16"/>
      <w:szCs w:val="16"/>
    </w:rPr>
  </w:style>
  <w:style w:type="character" w:styleId="CommentReference">
    <w:name w:val="annotation reference"/>
    <w:basedOn w:val="DefaultParagraphFont"/>
    <w:uiPriority w:val="99"/>
    <w:semiHidden/>
    <w:unhideWhenUsed/>
    <w:rsid w:val="00482D07"/>
    <w:rPr>
      <w:sz w:val="16"/>
      <w:szCs w:val="16"/>
    </w:rPr>
  </w:style>
  <w:style w:type="paragraph" w:styleId="CommentText">
    <w:name w:val="annotation text"/>
    <w:basedOn w:val="Normal"/>
    <w:link w:val="CommentTextChar"/>
    <w:uiPriority w:val="99"/>
    <w:unhideWhenUsed/>
    <w:rsid w:val="00482D07"/>
    <w:pPr>
      <w:spacing w:line="240" w:lineRule="auto"/>
    </w:pPr>
    <w:rPr>
      <w:sz w:val="20"/>
      <w:szCs w:val="20"/>
    </w:rPr>
  </w:style>
  <w:style w:type="character" w:customStyle="1" w:styleId="CommentTextChar">
    <w:name w:val="Comment Text Char"/>
    <w:basedOn w:val="DefaultParagraphFont"/>
    <w:link w:val="CommentText"/>
    <w:uiPriority w:val="99"/>
    <w:rsid w:val="00482D07"/>
    <w:rPr>
      <w:sz w:val="20"/>
      <w:szCs w:val="20"/>
    </w:rPr>
  </w:style>
  <w:style w:type="paragraph" w:styleId="CommentSubject">
    <w:name w:val="annotation subject"/>
    <w:basedOn w:val="CommentText"/>
    <w:next w:val="CommentText"/>
    <w:link w:val="CommentSubjectChar"/>
    <w:uiPriority w:val="99"/>
    <w:semiHidden/>
    <w:unhideWhenUsed/>
    <w:rsid w:val="00482D07"/>
    <w:rPr>
      <w:b/>
      <w:bCs/>
    </w:rPr>
  </w:style>
  <w:style w:type="character" w:customStyle="1" w:styleId="CommentSubjectChar">
    <w:name w:val="Comment Subject Char"/>
    <w:basedOn w:val="CommentTextChar"/>
    <w:link w:val="CommentSubject"/>
    <w:uiPriority w:val="99"/>
    <w:semiHidden/>
    <w:rsid w:val="00482D07"/>
    <w:rPr>
      <w:b/>
      <w:bCs/>
      <w:sz w:val="20"/>
      <w:szCs w:val="20"/>
    </w:rPr>
  </w:style>
  <w:style w:type="paragraph" w:styleId="Revision">
    <w:name w:val="Revision"/>
    <w:hidden/>
    <w:uiPriority w:val="99"/>
    <w:semiHidden/>
    <w:rsid w:val="00263C05"/>
    <w:pPr>
      <w:spacing w:line="240" w:lineRule="auto"/>
    </w:pPr>
  </w:style>
  <w:style w:type="character" w:styleId="Hyperlink">
    <w:name w:val="Hyperlink"/>
    <w:basedOn w:val="DefaultParagraphFont"/>
    <w:uiPriority w:val="99"/>
    <w:unhideWhenUsed/>
    <w:rsid w:val="006B7FF4"/>
    <w:rPr>
      <w:color w:val="0000FF" w:themeColor="hyperlink"/>
      <w:u w:val="single"/>
    </w:rPr>
  </w:style>
  <w:style w:type="character" w:styleId="UnresolvedMention">
    <w:name w:val="Unresolved Mention"/>
    <w:basedOn w:val="DefaultParagraphFont"/>
    <w:uiPriority w:val="99"/>
    <w:semiHidden/>
    <w:unhideWhenUsed/>
    <w:rsid w:val="006B7FF4"/>
    <w:rPr>
      <w:color w:val="605E5C"/>
      <w:shd w:val="clear" w:color="auto" w:fill="E1DFDD"/>
    </w:rPr>
  </w:style>
  <w:style w:type="character" w:customStyle="1" w:styleId="Heading1Char">
    <w:name w:val="Heading 1 Char"/>
    <w:basedOn w:val="DefaultParagraphFont"/>
    <w:link w:val="Heading1"/>
    <w:uiPriority w:val="9"/>
    <w:rsid w:val="0038051A"/>
    <w:rPr>
      <w:b/>
      <w:sz w:val="36"/>
      <w:szCs w:val="36"/>
    </w:rPr>
  </w:style>
  <w:style w:type="paragraph" w:styleId="Bibliography">
    <w:name w:val="Bibliography"/>
    <w:basedOn w:val="Normal"/>
    <w:next w:val="Normal"/>
    <w:uiPriority w:val="37"/>
    <w:unhideWhenUsed/>
    <w:rsid w:val="0038051A"/>
  </w:style>
  <w:style w:type="paragraph" w:styleId="EndnoteText">
    <w:name w:val="endnote text"/>
    <w:basedOn w:val="Normal"/>
    <w:link w:val="EndnoteTextChar"/>
    <w:uiPriority w:val="99"/>
    <w:semiHidden/>
    <w:unhideWhenUsed/>
    <w:rsid w:val="0038051A"/>
    <w:pPr>
      <w:spacing w:line="240" w:lineRule="auto"/>
    </w:pPr>
    <w:rPr>
      <w:sz w:val="20"/>
      <w:szCs w:val="20"/>
    </w:rPr>
  </w:style>
  <w:style w:type="character" w:customStyle="1" w:styleId="EndnoteTextChar">
    <w:name w:val="Endnote Text Char"/>
    <w:basedOn w:val="DefaultParagraphFont"/>
    <w:link w:val="EndnoteText"/>
    <w:uiPriority w:val="99"/>
    <w:semiHidden/>
    <w:rsid w:val="0038051A"/>
    <w:rPr>
      <w:sz w:val="20"/>
      <w:szCs w:val="20"/>
    </w:rPr>
  </w:style>
  <w:style w:type="character" w:styleId="EndnoteReference">
    <w:name w:val="endnote reference"/>
    <w:basedOn w:val="DefaultParagraphFont"/>
    <w:uiPriority w:val="99"/>
    <w:semiHidden/>
    <w:unhideWhenUsed/>
    <w:rsid w:val="0038051A"/>
    <w:rPr>
      <w:vertAlign w:val="superscript"/>
    </w:rPr>
  </w:style>
  <w:style w:type="paragraph" w:styleId="FootnoteText">
    <w:name w:val="footnote text"/>
    <w:basedOn w:val="Normal"/>
    <w:link w:val="FootnoteTextChar"/>
    <w:uiPriority w:val="99"/>
    <w:semiHidden/>
    <w:unhideWhenUsed/>
    <w:rsid w:val="0038051A"/>
    <w:pPr>
      <w:spacing w:line="240" w:lineRule="auto"/>
    </w:pPr>
    <w:rPr>
      <w:sz w:val="20"/>
      <w:szCs w:val="20"/>
    </w:rPr>
  </w:style>
  <w:style w:type="character" w:customStyle="1" w:styleId="FootnoteTextChar">
    <w:name w:val="Footnote Text Char"/>
    <w:basedOn w:val="DefaultParagraphFont"/>
    <w:link w:val="FootnoteText"/>
    <w:uiPriority w:val="99"/>
    <w:semiHidden/>
    <w:rsid w:val="0038051A"/>
    <w:rPr>
      <w:sz w:val="20"/>
      <w:szCs w:val="20"/>
    </w:rPr>
  </w:style>
  <w:style w:type="character" w:styleId="FootnoteReference">
    <w:name w:val="footnote reference"/>
    <w:basedOn w:val="DefaultParagraphFont"/>
    <w:uiPriority w:val="99"/>
    <w:semiHidden/>
    <w:unhideWhenUsed/>
    <w:rsid w:val="0038051A"/>
    <w:rPr>
      <w:vertAlign w:val="superscript"/>
    </w:rPr>
  </w:style>
  <w:style w:type="character" w:styleId="PlaceholderText">
    <w:name w:val="Placeholder Text"/>
    <w:basedOn w:val="DefaultParagraphFont"/>
    <w:uiPriority w:val="99"/>
    <w:semiHidden/>
    <w:rsid w:val="00D9684B"/>
    <w:rPr>
      <w:color w:val="666666"/>
    </w:rPr>
  </w:style>
  <w:style w:type="paragraph" w:styleId="Header">
    <w:name w:val="header"/>
    <w:basedOn w:val="Normal"/>
    <w:link w:val="HeaderChar"/>
    <w:uiPriority w:val="99"/>
    <w:unhideWhenUsed/>
    <w:rsid w:val="004F1627"/>
    <w:pPr>
      <w:tabs>
        <w:tab w:val="center" w:pos="4680"/>
        <w:tab w:val="right" w:pos="9360"/>
      </w:tabs>
      <w:spacing w:line="240" w:lineRule="auto"/>
    </w:pPr>
  </w:style>
  <w:style w:type="character" w:customStyle="1" w:styleId="HeaderChar">
    <w:name w:val="Header Char"/>
    <w:basedOn w:val="DefaultParagraphFont"/>
    <w:link w:val="Header"/>
    <w:uiPriority w:val="99"/>
    <w:rsid w:val="004F1627"/>
  </w:style>
  <w:style w:type="paragraph" w:styleId="Footer">
    <w:name w:val="footer"/>
    <w:basedOn w:val="Normal"/>
    <w:link w:val="FooterChar"/>
    <w:uiPriority w:val="99"/>
    <w:unhideWhenUsed/>
    <w:rsid w:val="004F1627"/>
    <w:pPr>
      <w:tabs>
        <w:tab w:val="center" w:pos="4680"/>
        <w:tab w:val="right" w:pos="9360"/>
      </w:tabs>
      <w:spacing w:line="240" w:lineRule="auto"/>
    </w:pPr>
  </w:style>
  <w:style w:type="character" w:customStyle="1" w:styleId="FooterChar">
    <w:name w:val="Footer Char"/>
    <w:basedOn w:val="DefaultParagraphFont"/>
    <w:link w:val="Footer"/>
    <w:uiPriority w:val="99"/>
    <w:rsid w:val="004F1627"/>
  </w:style>
  <w:style w:type="character" w:styleId="FollowedHyperlink">
    <w:name w:val="FollowedHyperlink"/>
    <w:basedOn w:val="DefaultParagraphFont"/>
    <w:uiPriority w:val="99"/>
    <w:semiHidden/>
    <w:unhideWhenUsed/>
    <w:rsid w:val="00642C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15164">
      <w:bodyDiv w:val="1"/>
      <w:marLeft w:val="0"/>
      <w:marRight w:val="0"/>
      <w:marTop w:val="0"/>
      <w:marBottom w:val="0"/>
      <w:divBdr>
        <w:top w:val="none" w:sz="0" w:space="0" w:color="auto"/>
        <w:left w:val="none" w:sz="0" w:space="0" w:color="auto"/>
        <w:bottom w:val="none" w:sz="0" w:space="0" w:color="auto"/>
        <w:right w:val="none" w:sz="0" w:space="0" w:color="auto"/>
      </w:divBdr>
    </w:div>
    <w:div w:id="299580793">
      <w:bodyDiv w:val="1"/>
      <w:marLeft w:val="0"/>
      <w:marRight w:val="0"/>
      <w:marTop w:val="0"/>
      <w:marBottom w:val="0"/>
      <w:divBdr>
        <w:top w:val="none" w:sz="0" w:space="0" w:color="auto"/>
        <w:left w:val="none" w:sz="0" w:space="0" w:color="auto"/>
        <w:bottom w:val="none" w:sz="0" w:space="0" w:color="auto"/>
        <w:right w:val="none" w:sz="0" w:space="0" w:color="auto"/>
      </w:divBdr>
    </w:div>
    <w:div w:id="350306691">
      <w:bodyDiv w:val="1"/>
      <w:marLeft w:val="0"/>
      <w:marRight w:val="0"/>
      <w:marTop w:val="0"/>
      <w:marBottom w:val="0"/>
      <w:divBdr>
        <w:top w:val="none" w:sz="0" w:space="0" w:color="auto"/>
        <w:left w:val="none" w:sz="0" w:space="0" w:color="auto"/>
        <w:bottom w:val="none" w:sz="0" w:space="0" w:color="auto"/>
        <w:right w:val="none" w:sz="0" w:space="0" w:color="auto"/>
      </w:divBdr>
    </w:div>
    <w:div w:id="788816453">
      <w:bodyDiv w:val="1"/>
      <w:marLeft w:val="0"/>
      <w:marRight w:val="0"/>
      <w:marTop w:val="0"/>
      <w:marBottom w:val="0"/>
      <w:divBdr>
        <w:top w:val="none" w:sz="0" w:space="0" w:color="auto"/>
        <w:left w:val="none" w:sz="0" w:space="0" w:color="auto"/>
        <w:bottom w:val="none" w:sz="0" w:space="0" w:color="auto"/>
        <w:right w:val="none" w:sz="0" w:space="0" w:color="auto"/>
      </w:divBdr>
    </w:div>
    <w:div w:id="1888490563">
      <w:bodyDiv w:val="1"/>
      <w:marLeft w:val="0"/>
      <w:marRight w:val="0"/>
      <w:marTop w:val="0"/>
      <w:marBottom w:val="0"/>
      <w:divBdr>
        <w:top w:val="none" w:sz="0" w:space="0" w:color="auto"/>
        <w:left w:val="none" w:sz="0" w:space="0" w:color="auto"/>
        <w:bottom w:val="none" w:sz="0" w:space="0" w:color="auto"/>
        <w:right w:val="none" w:sz="0" w:space="0" w:color="auto"/>
      </w:divBdr>
    </w:div>
    <w:div w:id="19774869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0">
  <b:Source>
    <b:Tag>Joh10</b:Tag>
    <b:SourceType>JournalArticle</b:SourceType>
    <b:Guid>{4382C467-4E1C-4553-AC96-1F046F566E6D}</b:Guid>
    <b:Title>Who are the owners of firearms used in adolescent suicides?. Suicide &amp; life-threatening behavior, 40(6), </b:Title>
    <b:Year>2010</b:Year>
    <b:JournalName>Everytown For Gun Safety” </b:JournalName>
    <b:Pages>609–611</b:Pages>
    <b:Author>
      <b:Author>
        <b:NameList>
          <b:Person>
            <b:Last>: Johnson</b:Last>
            <b:First>R.</b:First>
            <b:Middle>M., Barber, C., Azrael, D., Clark, D. E., &amp; Hemenway, D.</b:Middle>
          </b:Person>
        </b:NameList>
      </b:Author>
    </b:Author>
    <b:RefOrder>1</b:RefOrder>
  </b:Source>
</b:Sources>
</file>

<file path=customXml/itemProps1.xml><?xml version="1.0" encoding="utf-8"?>
<ds:datastoreItem xmlns:ds="http://schemas.openxmlformats.org/officeDocument/2006/customXml" ds:itemID="{12009748-F212-400C-8149-AE2F37891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512</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Sample Memorandum in English - 2021 SSPI Letters (CA Dept of Education)</vt:lpstr>
    </vt:vector>
  </TitlesOfParts>
  <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Memorandum in English - 2021 SSPI Letters (CA Dept of Education)</dc:title>
  <dc:subject>Sample memorandum in English from California school superintendents regarding California law regarding the safe storage of firearms.</dc:subject>
  <dc:creator/>
  <cp:lastModifiedBy/>
  <cp:revision>1</cp:revision>
  <dcterms:created xsi:type="dcterms:W3CDTF">2025-04-29T17:00:00Z</dcterms:created>
  <dcterms:modified xsi:type="dcterms:W3CDTF">2025-04-29T17:11:00Z</dcterms:modified>
</cp:coreProperties>
</file>