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EC8" w:rsidRPr="009D6E38" w:rsidRDefault="00480EC8" w:rsidP="00480EC8">
      <w:pPr>
        <w:tabs>
          <w:tab w:val="right" w:pos="9360"/>
        </w:tabs>
        <w:rPr>
          <w:szCs w:val="20"/>
        </w:rPr>
      </w:pPr>
      <w:r w:rsidRPr="009D6E38">
        <w:rPr>
          <w:szCs w:val="20"/>
        </w:rPr>
        <w:t>California Department of Education</w:t>
      </w:r>
      <w:r w:rsidRPr="009D6E38">
        <w:rPr>
          <w:szCs w:val="20"/>
        </w:rPr>
        <w:tab/>
      </w:r>
      <w:r w:rsidR="00065035">
        <w:rPr>
          <w:szCs w:val="20"/>
        </w:rPr>
        <w:t>August 2020</w:t>
      </w:r>
      <w:bookmarkStart w:id="0" w:name="_GoBack"/>
      <w:bookmarkEnd w:id="0"/>
    </w:p>
    <w:p w:rsidR="00480EC8" w:rsidRPr="009D6E38" w:rsidRDefault="00480EC8" w:rsidP="00480EC8">
      <w:pPr>
        <w:rPr>
          <w:szCs w:val="20"/>
        </w:rPr>
      </w:pPr>
      <w:r w:rsidRPr="009D6E38">
        <w:rPr>
          <w:szCs w:val="20"/>
        </w:rPr>
        <w:t>Nutrition Services Division</w:t>
      </w:r>
    </w:p>
    <w:p w:rsidR="00480EC8" w:rsidRDefault="00480EC8" w:rsidP="00480EC8"/>
    <w:p w:rsidR="00FE0EAC" w:rsidRPr="004A0594" w:rsidRDefault="00FE0EAC" w:rsidP="004A0594">
      <w:pPr>
        <w:pStyle w:val="Heading1"/>
        <w:spacing w:after="480"/>
      </w:pPr>
      <w:r w:rsidRPr="00840591">
        <w:t>Code of Conduct and Procurement Procedure Checklist</w:t>
      </w:r>
    </w:p>
    <w:p w:rsidR="00FE0EAC" w:rsidRPr="004A0594" w:rsidRDefault="00FE0EAC" w:rsidP="004A0594">
      <w:pPr>
        <w:pStyle w:val="Heading2"/>
        <w:spacing w:after="240"/>
        <w:rPr>
          <w:b w:val="0"/>
        </w:rPr>
      </w:pPr>
      <w:r w:rsidRPr="00840591">
        <w:t>Background</w:t>
      </w:r>
    </w:p>
    <w:p w:rsidR="00FE0EAC" w:rsidRPr="004A0594" w:rsidRDefault="00FE0EAC" w:rsidP="004A0594">
      <w:pPr>
        <w:spacing w:after="240"/>
        <w:rPr>
          <w:szCs w:val="24"/>
        </w:rPr>
      </w:pPr>
      <w:r w:rsidRPr="00840591">
        <w:rPr>
          <w:szCs w:val="24"/>
        </w:rPr>
        <w:t xml:space="preserve">Title 2, </w:t>
      </w:r>
      <w:r w:rsidRPr="00840591">
        <w:rPr>
          <w:i/>
          <w:szCs w:val="24"/>
        </w:rPr>
        <w:t xml:space="preserve">Code of Federal Regulations </w:t>
      </w:r>
      <w:r w:rsidRPr="00840591">
        <w:rPr>
          <w:szCs w:val="24"/>
        </w:rPr>
        <w:t xml:space="preserve">(2 </w:t>
      </w:r>
      <w:r w:rsidRPr="00840591">
        <w:rPr>
          <w:i/>
          <w:szCs w:val="24"/>
        </w:rPr>
        <w:t>CFR</w:t>
      </w:r>
      <w:r>
        <w:rPr>
          <w:szCs w:val="24"/>
        </w:rPr>
        <w:t xml:space="preserve">), Part 200, requires all </w:t>
      </w:r>
      <w:r w:rsidRPr="00840591">
        <w:rPr>
          <w:szCs w:val="24"/>
        </w:rPr>
        <w:t>Child Nutrition Programs</w:t>
      </w:r>
      <w:r>
        <w:rPr>
          <w:szCs w:val="24"/>
        </w:rPr>
        <w:t xml:space="preserve"> (CNP)</w:t>
      </w:r>
      <w:r w:rsidRPr="00840591">
        <w:rPr>
          <w:szCs w:val="24"/>
        </w:rPr>
        <w:t xml:space="preserve"> to develop and maintain two procurement documents: (1) a written code of conduct</w:t>
      </w:r>
      <w:r>
        <w:rPr>
          <w:szCs w:val="24"/>
        </w:rPr>
        <w:t>,</w:t>
      </w:r>
      <w:r w:rsidRPr="00840591">
        <w:rPr>
          <w:szCs w:val="24"/>
        </w:rPr>
        <w:t xml:space="preserve"> </w:t>
      </w:r>
      <w:r>
        <w:rPr>
          <w:szCs w:val="24"/>
        </w:rPr>
        <w:t>and (2) procurement procedures.</w:t>
      </w:r>
    </w:p>
    <w:p w:rsidR="00FE0EAC" w:rsidRPr="004A0594" w:rsidRDefault="00FE0EAC" w:rsidP="004A0594">
      <w:pPr>
        <w:pStyle w:val="Heading2"/>
        <w:spacing w:after="240"/>
      </w:pPr>
      <w:r w:rsidRPr="00840591">
        <w:t>Purpose</w:t>
      </w:r>
    </w:p>
    <w:p w:rsidR="00FE0EAC" w:rsidRPr="00840591" w:rsidRDefault="00FE0EAC" w:rsidP="004A0594">
      <w:pPr>
        <w:spacing w:after="240"/>
        <w:rPr>
          <w:szCs w:val="24"/>
        </w:rPr>
      </w:pPr>
      <w:r w:rsidRPr="00840591">
        <w:rPr>
          <w:szCs w:val="24"/>
        </w:rPr>
        <w:t>The purpose of this checklist is to provide agencies with a list of components to consider for inclusion in procurement documents. Please note that while an agency may not include some of the components listed below in their written code of conduct and procurement procedures, there may be other procurement documents in which certain components are required. The California Department of Education (CDE) recommends that agencies consult with</w:t>
      </w:r>
      <w:r>
        <w:rPr>
          <w:szCs w:val="24"/>
        </w:rPr>
        <w:t xml:space="preserve"> their</w:t>
      </w:r>
      <w:r w:rsidRPr="00840591">
        <w:rPr>
          <w:szCs w:val="24"/>
        </w:rPr>
        <w:t xml:space="preserve"> local counsel to determine which</w:t>
      </w:r>
      <w:r>
        <w:rPr>
          <w:szCs w:val="24"/>
        </w:rPr>
        <w:t xml:space="preserve"> of the “if-applicable” components are required for your </w:t>
      </w:r>
      <w:r w:rsidRPr="00840591">
        <w:rPr>
          <w:szCs w:val="24"/>
        </w:rPr>
        <w:t>procurement documents. Agencies must retain all procurement documents to ensure they are available upon request by the CDE.</w:t>
      </w:r>
    </w:p>
    <w:p w:rsidR="00FE0EAC" w:rsidRPr="00840591" w:rsidRDefault="00FE0EAC" w:rsidP="004A0594">
      <w:pPr>
        <w:spacing w:after="240"/>
        <w:rPr>
          <w:szCs w:val="24"/>
        </w:rPr>
      </w:pPr>
      <w:r w:rsidRPr="00840591">
        <w:rPr>
          <w:szCs w:val="24"/>
        </w:rPr>
        <w:t>For further guidance on the written code of conduct</w:t>
      </w:r>
      <w:r>
        <w:rPr>
          <w:szCs w:val="24"/>
        </w:rPr>
        <w:t xml:space="preserve"> requirements</w:t>
      </w:r>
      <w:r w:rsidRPr="00840591">
        <w:rPr>
          <w:szCs w:val="24"/>
        </w:rPr>
        <w:t xml:space="preserve"> and procurement procedures, refer to the following documents:</w:t>
      </w:r>
    </w:p>
    <w:p w:rsidR="00065035" w:rsidRPr="004A0594" w:rsidRDefault="00065035" w:rsidP="00065035">
      <w:pPr>
        <w:numPr>
          <w:ilvl w:val="0"/>
          <w:numId w:val="6"/>
        </w:numPr>
        <w:spacing w:after="240"/>
        <w:rPr>
          <w:szCs w:val="24"/>
        </w:rPr>
      </w:pPr>
      <w:r w:rsidRPr="00840591">
        <w:rPr>
          <w:szCs w:val="24"/>
        </w:rPr>
        <w:t xml:space="preserve">2 </w:t>
      </w:r>
      <w:r w:rsidRPr="00840591">
        <w:rPr>
          <w:i/>
          <w:szCs w:val="24"/>
        </w:rPr>
        <w:t>CFR</w:t>
      </w:r>
      <w:r>
        <w:rPr>
          <w:szCs w:val="24"/>
        </w:rPr>
        <w:t>,</w:t>
      </w:r>
      <w:r w:rsidRPr="00840591">
        <w:rPr>
          <w:szCs w:val="24"/>
        </w:rPr>
        <w:t xml:space="preserve"> sections 200.318</w:t>
      </w:r>
      <w:r w:rsidRPr="00840591">
        <w:rPr>
          <w:rFonts w:cs="Arial"/>
          <w:szCs w:val="24"/>
        </w:rPr>
        <w:t>–200.</w:t>
      </w:r>
      <w:r w:rsidRPr="00840591">
        <w:rPr>
          <w:szCs w:val="24"/>
        </w:rPr>
        <w:t>326</w:t>
      </w:r>
      <w:r>
        <w:rPr>
          <w:szCs w:val="24"/>
        </w:rPr>
        <w:t xml:space="preserve"> </w:t>
      </w:r>
      <w:r w:rsidRPr="00840591">
        <w:rPr>
          <w:szCs w:val="24"/>
        </w:rPr>
        <w:t xml:space="preserve">on the Electronic </w:t>
      </w:r>
      <w:r w:rsidRPr="00840591">
        <w:rPr>
          <w:i/>
          <w:szCs w:val="24"/>
        </w:rPr>
        <w:t>Code of Federal Regulations</w:t>
      </w:r>
      <w:r w:rsidRPr="00840591">
        <w:rPr>
          <w:szCs w:val="24"/>
        </w:rPr>
        <w:t xml:space="preserve"> </w:t>
      </w:r>
      <w:r>
        <w:rPr>
          <w:szCs w:val="24"/>
        </w:rPr>
        <w:t>w</w:t>
      </w:r>
      <w:r w:rsidRPr="00840591">
        <w:rPr>
          <w:szCs w:val="24"/>
        </w:rPr>
        <w:t xml:space="preserve">eb page at </w:t>
      </w:r>
      <w:hyperlink r:id="rId8" w:history="1">
        <w:r w:rsidRPr="00C875BC">
          <w:rPr>
            <w:rStyle w:val="Hyperlink"/>
          </w:rPr>
          <w:t>https://www.ecfr.gov/cgi-bin/text-idx?SID=39bb9fc3a6953a2a75bbac8d34069212&amp;mc=true&amp;node=sg2.1.200_1316.sg3&amp;rgn=div7</w:t>
        </w:r>
      </w:hyperlink>
      <w:r w:rsidRPr="00840591">
        <w:rPr>
          <w:szCs w:val="24"/>
        </w:rPr>
        <w:t>.</w:t>
      </w:r>
    </w:p>
    <w:p w:rsidR="00FE0EAC" w:rsidRPr="004A0594" w:rsidRDefault="00FE0EAC" w:rsidP="004A0594">
      <w:pPr>
        <w:numPr>
          <w:ilvl w:val="0"/>
          <w:numId w:val="6"/>
        </w:numPr>
        <w:spacing w:after="240"/>
        <w:rPr>
          <w:szCs w:val="24"/>
        </w:rPr>
      </w:pPr>
      <w:r w:rsidRPr="00840591">
        <w:rPr>
          <w:szCs w:val="24"/>
        </w:rPr>
        <w:t>U.S. Department of Agriculture</w:t>
      </w:r>
      <w:r>
        <w:rPr>
          <w:szCs w:val="24"/>
        </w:rPr>
        <w:t xml:space="preserve"> (USDA)</w:t>
      </w:r>
      <w:r w:rsidRPr="00840591">
        <w:rPr>
          <w:szCs w:val="24"/>
        </w:rPr>
        <w:t xml:space="preserve"> Policy Memorandum SP 03-2017 Draft Tool for Local Agency Procurement Reviews for School Food Authorities (SFA) in School Year 2016</w:t>
      </w:r>
      <w:r w:rsidRPr="00840591">
        <w:rPr>
          <w:rFonts w:cs="Arial"/>
          <w:szCs w:val="24"/>
        </w:rPr>
        <w:t>–</w:t>
      </w:r>
      <w:r w:rsidRPr="00840591">
        <w:rPr>
          <w:szCs w:val="24"/>
        </w:rPr>
        <w:t xml:space="preserve">17: Revised </w:t>
      </w:r>
      <w:r>
        <w:rPr>
          <w:szCs w:val="24"/>
        </w:rPr>
        <w:t>w</w:t>
      </w:r>
      <w:r w:rsidRPr="00840591">
        <w:rPr>
          <w:szCs w:val="24"/>
        </w:rPr>
        <w:t xml:space="preserve">eb page at </w:t>
      </w:r>
      <w:hyperlink r:id="rId9" w:tooltip="USDA Policy Memorandum SP 03-2017 web page" w:history="1">
        <w:r w:rsidRPr="00840591">
          <w:rPr>
            <w:rStyle w:val="Hyperlink"/>
            <w:szCs w:val="24"/>
          </w:rPr>
          <w:t>https://www.fns.usda.gov/draft-tool-local-agency-procurement-reviews-school-food-authorities-sy2016-2017-revised</w:t>
        </w:r>
      </w:hyperlink>
      <w:r w:rsidRPr="00840591">
        <w:rPr>
          <w:szCs w:val="24"/>
        </w:rPr>
        <w:t>.</w:t>
      </w:r>
    </w:p>
    <w:p w:rsidR="00FE0EAC" w:rsidRPr="004A0594" w:rsidRDefault="00FE0EAC" w:rsidP="004A0594">
      <w:pPr>
        <w:numPr>
          <w:ilvl w:val="0"/>
          <w:numId w:val="6"/>
        </w:numPr>
        <w:spacing w:after="480"/>
        <w:rPr>
          <w:szCs w:val="24"/>
        </w:rPr>
      </w:pPr>
      <w:r>
        <w:rPr>
          <w:szCs w:val="24"/>
        </w:rPr>
        <w:t xml:space="preserve">USDA Policy Memo SP 38-2017 Compliance with and Enforcement of the Buy American Provision in the National School Lunch Program (NSLP) web document at </w:t>
      </w:r>
      <w:hyperlink r:id="rId10" w:tooltip="USDA Policy Memo SP 38-2017 web document" w:history="1">
        <w:r w:rsidRPr="00856E04">
          <w:rPr>
            <w:rStyle w:val="Hyperlink"/>
            <w:szCs w:val="24"/>
          </w:rPr>
          <w:t>https://fns-prod.azureedge.net/sites/default/files/cn/SP38-2017os.pdf</w:t>
        </w:r>
      </w:hyperlink>
      <w:r>
        <w:rPr>
          <w:szCs w:val="24"/>
        </w:rPr>
        <w:t>.</w:t>
      </w:r>
    </w:p>
    <w:p w:rsidR="00FE0EAC" w:rsidRPr="004A0594" w:rsidRDefault="00FE0EAC" w:rsidP="004A0594">
      <w:pPr>
        <w:pStyle w:val="Heading2"/>
        <w:spacing w:after="240"/>
      </w:pPr>
      <w:r w:rsidRPr="00840591">
        <w:t>Contact</w:t>
      </w:r>
    </w:p>
    <w:p w:rsidR="00FE0EAC" w:rsidRDefault="00FE0EAC" w:rsidP="00FE0EAC">
      <w:pPr>
        <w:pStyle w:val="ListParagraph"/>
        <w:ind w:left="0"/>
        <w:rPr>
          <w:szCs w:val="24"/>
        </w:rPr>
      </w:pPr>
      <w:r w:rsidRPr="00840591">
        <w:rPr>
          <w:szCs w:val="24"/>
        </w:rPr>
        <w:t>For technical assistance, please contact the CDE Procurement Resources Unit</w:t>
      </w:r>
      <w:r>
        <w:rPr>
          <w:szCs w:val="24"/>
        </w:rPr>
        <w:t xml:space="preserve"> by e</w:t>
      </w:r>
      <w:r w:rsidRPr="00840591">
        <w:rPr>
          <w:szCs w:val="24"/>
        </w:rPr>
        <w:t xml:space="preserve">mail at </w:t>
      </w:r>
      <w:hyperlink r:id="rId11" w:tooltip="Email: SFSCONTRACTS@cde.ca.gov" w:history="1">
        <w:r w:rsidRPr="00840591">
          <w:rPr>
            <w:rStyle w:val="Hyperlink"/>
            <w:szCs w:val="24"/>
          </w:rPr>
          <w:t>SFSCONTRACTS@cde.ca.gov</w:t>
        </w:r>
      </w:hyperlink>
      <w:r w:rsidRPr="00840591">
        <w:rPr>
          <w:szCs w:val="24"/>
        </w:rPr>
        <w:t>.</w:t>
      </w:r>
    </w:p>
    <w:p w:rsidR="00FE0EAC" w:rsidRPr="003A0661" w:rsidRDefault="00FE0EAC" w:rsidP="00FE0EAC">
      <w:r>
        <w:br w:type="page"/>
      </w:r>
    </w:p>
    <w:p w:rsidR="00FE0EAC" w:rsidRDefault="00FE0EAC" w:rsidP="00FE0EAC"/>
    <w:tbl>
      <w:tblPr>
        <w:tblStyle w:val="TableGrid"/>
        <w:tblW w:w="10987" w:type="dxa"/>
        <w:tblInd w:w="-815" w:type="dxa"/>
        <w:tblLayout w:type="fixed"/>
        <w:tblLook w:val="04A0" w:firstRow="1" w:lastRow="0" w:firstColumn="1" w:lastColumn="0" w:noHBand="0" w:noVBand="1"/>
        <w:tblDescription w:val="A table listing the Code of Conduct Components and who they're applicable to. The three available fields are Code of Conduct Components, Include in Written Documents, and Is This Applicable to my Agency?."/>
      </w:tblPr>
      <w:tblGrid>
        <w:gridCol w:w="7837"/>
        <w:gridCol w:w="1613"/>
        <w:gridCol w:w="1537"/>
      </w:tblGrid>
      <w:tr w:rsidR="001408D7" w:rsidRPr="0007380B" w:rsidTr="00305D56">
        <w:trPr>
          <w:cantSplit/>
          <w:trHeight w:val="800"/>
          <w:tblHeader/>
        </w:trPr>
        <w:tc>
          <w:tcPr>
            <w:tcW w:w="7837" w:type="dxa"/>
            <w:shd w:val="clear" w:color="auto" w:fill="BFBFBF" w:themeFill="background1" w:themeFillShade="BF"/>
            <w:vAlign w:val="center"/>
          </w:tcPr>
          <w:p w:rsidR="001408D7" w:rsidRPr="0007380B" w:rsidRDefault="001408D7" w:rsidP="00D15C37">
            <w:pPr>
              <w:jc w:val="center"/>
              <w:rPr>
                <w:rFonts w:cs="Arial"/>
                <w:b/>
                <w:bCs/>
                <w:szCs w:val="24"/>
              </w:rPr>
            </w:pPr>
            <w:r w:rsidRPr="0007380B">
              <w:rPr>
                <w:rFonts w:cs="Arial"/>
                <w:szCs w:val="24"/>
              </w:rPr>
              <w:br w:type="page"/>
            </w:r>
            <w:r w:rsidRPr="0007380B">
              <w:rPr>
                <w:rFonts w:cs="Arial"/>
                <w:szCs w:val="24"/>
              </w:rPr>
              <w:br w:type="page"/>
            </w:r>
            <w:r w:rsidRPr="0007380B">
              <w:rPr>
                <w:rFonts w:cs="Arial"/>
                <w:szCs w:val="24"/>
              </w:rPr>
              <w:br w:type="page"/>
            </w:r>
            <w:r w:rsidRPr="0007380B">
              <w:rPr>
                <w:rFonts w:cs="Arial"/>
                <w:szCs w:val="24"/>
              </w:rPr>
              <w:br w:type="page"/>
            </w:r>
            <w:r w:rsidRPr="0007380B">
              <w:rPr>
                <w:rFonts w:cs="Arial"/>
                <w:szCs w:val="24"/>
              </w:rPr>
              <w:br w:type="page"/>
            </w:r>
            <w:r w:rsidRPr="0007380B">
              <w:rPr>
                <w:rFonts w:cs="Arial"/>
                <w:b/>
                <w:bCs/>
                <w:szCs w:val="24"/>
              </w:rPr>
              <w:t>Code of Conduct Components</w:t>
            </w:r>
          </w:p>
        </w:tc>
        <w:tc>
          <w:tcPr>
            <w:tcW w:w="1613" w:type="dxa"/>
            <w:shd w:val="clear" w:color="auto" w:fill="BFBFBF" w:themeFill="background1" w:themeFillShade="BF"/>
            <w:vAlign w:val="center"/>
          </w:tcPr>
          <w:p w:rsidR="001408D7" w:rsidRPr="0007380B" w:rsidRDefault="00C06C3F" w:rsidP="00C06C3F">
            <w:pPr>
              <w:jc w:val="center"/>
              <w:rPr>
                <w:rFonts w:cs="Arial"/>
                <w:b/>
                <w:bCs/>
                <w:szCs w:val="24"/>
              </w:rPr>
            </w:pPr>
            <w:r w:rsidRPr="0007380B">
              <w:rPr>
                <w:rFonts w:cs="Arial"/>
                <w:b/>
                <w:bCs/>
                <w:szCs w:val="24"/>
              </w:rPr>
              <w:t>Include in Written Documents</w:t>
            </w:r>
          </w:p>
        </w:tc>
        <w:tc>
          <w:tcPr>
            <w:tcW w:w="1537" w:type="dxa"/>
            <w:shd w:val="clear" w:color="auto" w:fill="BFBFBF" w:themeFill="background1" w:themeFillShade="BF"/>
            <w:vAlign w:val="center"/>
          </w:tcPr>
          <w:p w:rsidR="001408D7" w:rsidRPr="0007380B" w:rsidRDefault="001408D7" w:rsidP="00C06C3F">
            <w:pPr>
              <w:jc w:val="center"/>
              <w:rPr>
                <w:rFonts w:cs="Arial"/>
                <w:b/>
                <w:bCs/>
                <w:szCs w:val="24"/>
              </w:rPr>
            </w:pPr>
            <w:r>
              <w:rPr>
                <w:rFonts w:cs="Arial"/>
                <w:b/>
                <w:bCs/>
                <w:szCs w:val="24"/>
              </w:rPr>
              <w:t>Is This Applicable to my Agency?</w:t>
            </w:r>
          </w:p>
        </w:tc>
      </w:tr>
      <w:tr w:rsidR="001408D7" w:rsidRPr="0007380B" w:rsidTr="00305D56">
        <w:trPr>
          <w:cantSplit/>
          <w:trHeight w:val="2915"/>
          <w:tblHeader/>
        </w:trPr>
        <w:tc>
          <w:tcPr>
            <w:tcW w:w="7837" w:type="dxa"/>
          </w:tcPr>
          <w:p w:rsidR="001408D7" w:rsidRPr="00241A8F" w:rsidRDefault="001408D7" w:rsidP="00241A8F">
            <w:pPr>
              <w:ind w:firstLine="5"/>
              <w:rPr>
                <w:rFonts w:cs="Arial"/>
                <w:szCs w:val="24"/>
              </w:rPr>
            </w:pPr>
            <w:r w:rsidRPr="0007380B">
              <w:rPr>
                <w:rFonts w:cs="Arial"/>
                <w:b/>
                <w:bCs/>
                <w:szCs w:val="24"/>
              </w:rPr>
              <w:t>Conflicts of Interest and Disciplinary Action</w:t>
            </w:r>
            <w:r w:rsidRPr="0007380B">
              <w:rPr>
                <w:rFonts w:cs="Arial"/>
                <w:bCs/>
                <w:szCs w:val="24"/>
              </w:rPr>
              <w:t xml:space="preserve"> (2 </w:t>
            </w:r>
            <w:r w:rsidRPr="0007380B">
              <w:rPr>
                <w:rFonts w:cs="Arial"/>
                <w:bCs/>
                <w:i/>
                <w:iCs/>
                <w:szCs w:val="24"/>
              </w:rPr>
              <w:t>CFR</w:t>
            </w:r>
            <w:r>
              <w:rPr>
                <w:rFonts w:cs="Arial"/>
                <w:bCs/>
                <w:iCs/>
                <w:szCs w:val="24"/>
              </w:rPr>
              <w:t>, Section</w:t>
            </w:r>
            <w:r w:rsidRPr="0007380B">
              <w:rPr>
                <w:rFonts w:cs="Arial"/>
                <w:bCs/>
                <w:iCs/>
                <w:szCs w:val="24"/>
              </w:rPr>
              <w:t xml:space="preserve"> </w:t>
            </w:r>
            <w:r w:rsidRPr="0007380B">
              <w:rPr>
                <w:rFonts w:cs="Arial"/>
                <w:bCs/>
                <w:szCs w:val="24"/>
              </w:rPr>
              <w:t xml:space="preserve">200.318[c][1]; California </w:t>
            </w:r>
            <w:r w:rsidRPr="0007380B">
              <w:rPr>
                <w:rFonts w:cs="Arial"/>
                <w:bCs/>
                <w:i/>
                <w:szCs w:val="24"/>
              </w:rPr>
              <w:t>Government Code</w:t>
            </w:r>
            <w:r w:rsidRPr="0007380B">
              <w:rPr>
                <w:rFonts w:cs="Arial"/>
                <w:bCs/>
                <w:szCs w:val="24"/>
              </w:rPr>
              <w:t xml:space="preserve"> [</w:t>
            </w:r>
            <w:r w:rsidRPr="0007380B">
              <w:rPr>
                <w:rFonts w:cs="Arial"/>
                <w:bCs/>
                <w:i/>
                <w:szCs w:val="24"/>
              </w:rPr>
              <w:t>GC</w:t>
            </w:r>
            <w:r w:rsidRPr="0007380B">
              <w:rPr>
                <w:rFonts w:cs="Arial"/>
                <w:bCs/>
                <w:szCs w:val="24"/>
              </w:rPr>
              <w:t>]</w:t>
            </w:r>
            <w:r>
              <w:rPr>
                <w:rFonts w:cs="Arial"/>
                <w:bCs/>
                <w:szCs w:val="24"/>
              </w:rPr>
              <w:t>,</w:t>
            </w:r>
            <w:r w:rsidRPr="0007380B">
              <w:rPr>
                <w:rFonts w:cs="Arial"/>
                <w:bCs/>
                <w:i/>
                <w:szCs w:val="24"/>
              </w:rPr>
              <w:t xml:space="preserve"> </w:t>
            </w:r>
            <w:r w:rsidRPr="0007380B">
              <w:rPr>
                <w:rFonts w:cs="Arial"/>
                <w:bCs/>
                <w:szCs w:val="24"/>
              </w:rPr>
              <w:t>sections 1090 and 87100): Ensure that the</w:t>
            </w:r>
            <w:r w:rsidRPr="0007380B">
              <w:rPr>
                <w:rFonts w:cs="Arial"/>
                <w:szCs w:val="24"/>
              </w:rPr>
              <w:t xml:space="preserve"> code of conduct addresses conflicts of interest and regulates the actions of employees engaged in the selection, award, and administration of contracts. The code of conduct should ensure that employees, officers, or agents do not participate in the selection, award, or administration of a contract supported by a federal award if they have a real or apparent conflict of interest. The written code of conduct must define a conflict of interest and include disciplinary action for violations.</w:t>
            </w:r>
          </w:p>
        </w:tc>
        <w:tc>
          <w:tcPr>
            <w:tcW w:w="1613" w:type="dxa"/>
            <w:shd w:val="clear" w:color="auto" w:fill="BFBFBF" w:themeFill="background1" w:themeFillShade="BF"/>
          </w:tcPr>
          <w:p w:rsidR="001408D7" w:rsidRPr="0007380B" w:rsidRDefault="001408D7" w:rsidP="005C643F">
            <w:pPr>
              <w:jc w:val="center"/>
              <w:rPr>
                <w:rFonts w:cs="Arial"/>
                <w:bCs/>
                <w:szCs w:val="24"/>
              </w:rPr>
            </w:pPr>
            <w:r w:rsidRPr="0007380B">
              <w:rPr>
                <w:rFonts w:cs="Arial"/>
                <w:bCs/>
                <w:szCs w:val="24"/>
              </w:rPr>
              <w:t>Required for all Agencies</w:t>
            </w:r>
          </w:p>
        </w:tc>
        <w:tc>
          <w:tcPr>
            <w:tcW w:w="1537" w:type="dxa"/>
            <w:shd w:val="clear" w:color="auto" w:fill="BFBFBF" w:themeFill="background1" w:themeFillShade="BF"/>
          </w:tcPr>
          <w:p w:rsidR="001408D7" w:rsidRPr="0007380B" w:rsidRDefault="001408D7" w:rsidP="005C643F">
            <w:pPr>
              <w:jc w:val="center"/>
              <w:rPr>
                <w:rFonts w:cs="Arial"/>
                <w:bCs/>
                <w:szCs w:val="24"/>
              </w:rPr>
            </w:pPr>
            <w:r>
              <w:rPr>
                <w:rFonts w:cs="Arial"/>
                <w:bCs/>
                <w:szCs w:val="24"/>
              </w:rPr>
              <w:t>Yes</w:t>
            </w:r>
          </w:p>
        </w:tc>
      </w:tr>
      <w:tr w:rsidR="001408D7" w:rsidRPr="0007380B" w:rsidTr="00305D56">
        <w:trPr>
          <w:cantSplit/>
          <w:trHeight w:val="2690"/>
          <w:tblHeader/>
        </w:trPr>
        <w:tc>
          <w:tcPr>
            <w:tcW w:w="7837" w:type="dxa"/>
          </w:tcPr>
          <w:p w:rsidR="001408D7" w:rsidRPr="0007380B" w:rsidRDefault="001408D7" w:rsidP="005C643F">
            <w:pPr>
              <w:ind w:left="5"/>
              <w:rPr>
                <w:rFonts w:cs="Arial"/>
                <w:bCs/>
                <w:szCs w:val="24"/>
              </w:rPr>
            </w:pPr>
            <w:r w:rsidRPr="0007380B">
              <w:rPr>
                <w:rFonts w:cs="Arial"/>
                <w:b/>
                <w:bCs/>
                <w:szCs w:val="24"/>
              </w:rPr>
              <w:t xml:space="preserve">Gratuities, Favors, or Gifts </w:t>
            </w:r>
            <w:r w:rsidRPr="0007380B">
              <w:rPr>
                <w:rFonts w:cs="Arial"/>
                <w:bCs/>
                <w:szCs w:val="24"/>
              </w:rPr>
              <w:t xml:space="preserve">(2 </w:t>
            </w:r>
            <w:r w:rsidRPr="0007380B">
              <w:rPr>
                <w:rFonts w:cs="Arial"/>
                <w:bCs/>
                <w:i/>
                <w:iCs/>
                <w:szCs w:val="24"/>
              </w:rPr>
              <w:t>CFR</w:t>
            </w:r>
            <w:r>
              <w:rPr>
                <w:rFonts w:cs="Arial"/>
                <w:bCs/>
                <w:iCs/>
                <w:szCs w:val="24"/>
              </w:rPr>
              <w:t>, S</w:t>
            </w:r>
            <w:r w:rsidRPr="0007380B">
              <w:rPr>
                <w:rFonts w:cs="Arial"/>
                <w:bCs/>
                <w:iCs/>
                <w:szCs w:val="24"/>
              </w:rPr>
              <w:t xml:space="preserve">ection </w:t>
            </w:r>
            <w:r w:rsidRPr="0007380B">
              <w:rPr>
                <w:rFonts w:cs="Arial"/>
                <w:bCs/>
                <w:szCs w:val="24"/>
              </w:rPr>
              <w:t>200.318[c][1]): Describe:</w:t>
            </w:r>
          </w:p>
          <w:p w:rsidR="001408D7" w:rsidRPr="0007380B" w:rsidRDefault="001408D7" w:rsidP="00241A8F">
            <w:pPr>
              <w:ind w:left="5"/>
              <w:rPr>
                <w:rFonts w:cs="Arial"/>
                <w:szCs w:val="24"/>
              </w:rPr>
            </w:pPr>
            <w:r w:rsidRPr="0007380B">
              <w:rPr>
                <w:rFonts w:cs="Arial"/>
                <w:bCs/>
                <w:szCs w:val="24"/>
              </w:rPr>
              <w:t>(1) The agency’s process for prohibiting the solicitation of gratuities, favors, or anything of monetary value from contractors; (2) Whether the agency prohibits the acceptance of</w:t>
            </w:r>
            <w:r w:rsidRPr="0007380B">
              <w:rPr>
                <w:rFonts w:cs="Arial"/>
                <w:szCs w:val="24"/>
              </w:rPr>
              <w:t xml:space="preserve"> gratuities, favors, or anything of monetary value from contractors </w:t>
            </w:r>
            <w:r w:rsidRPr="0007380B">
              <w:rPr>
                <w:rFonts w:cs="Arial"/>
                <w:b/>
                <w:szCs w:val="24"/>
              </w:rPr>
              <w:t>or</w:t>
            </w:r>
            <w:r w:rsidRPr="0007380B">
              <w:rPr>
                <w:rFonts w:cs="Arial"/>
                <w:szCs w:val="24"/>
              </w:rPr>
              <w:t xml:space="preserve"> the agency allows the acceptance of gratuities, favors, or anything of monetary value in situations in which financial interest or gratuity is not substantial or the gift is an unsolicited item of nominal value</w:t>
            </w:r>
            <w:r>
              <w:rPr>
                <w:rFonts w:cs="Arial"/>
                <w:szCs w:val="24"/>
              </w:rPr>
              <w:t>,</w:t>
            </w:r>
            <w:r w:rsidRPr="0007380B">
              <w:rPr>
                <w:rFonts w:cs="Arial"/>
                <w:szCs w:val="24"/>
              </w:rPr>
              <w:t xml:space="preserve"> and (3) The definition of nominal value for agencies that allow the acceptance of gifts.</w:t>
            </w:r>
          </w:p>
        </w:tc>
        <w:tc>
          <w:tcPr>
            <w:tcW w:w="1613" w:type="dxa"/>
            <w:shd w:val="clear" w:color="auto" w:fill="BFBFBF" w:themeFill="background1" w:themeFillShade="BF"/>
          </w:tcPr>
          <w:p w:rsidR="001408D7" w:rsidRPr="0007380B" w:rsidRDefault="001408D7" w:rsidP="005C643F">
            <w:pPr>
              <w:jc w:val="center"/>
              <w:rPr>
                <w:rFonts w:cs="Arial"/>
                <w:bCs/>
                <w:szCs w:val="24"/>
              </w:rPr>
            </w:pPr>
            <w:r w:rsidRPr="0007380B">
              <w:rPr>
                <w:rFonts w:cs="Arial"/>
                <w:bCs/>
                <w:szCs w:val="24"/>
              </w:rPr>
              <w:t>Required for all Agencies</w:t>
            </w:r>
          </w:p>
        </w:tc>
        <w:tc>
          <w:tcPr>
            <w:tcW w:w="1537" w:type="dxa"/>
            <w:shd w:val="clear" w:color="auto" w:fill="BFBFBF" w:themeFill="background1" w:themeFillShade="BF"/>
          </w:tcPr>
          <w:p w:rsidR="001408D7" w:rsidRPr="0007380B" w:rsidRDefault="001408D7" w:rsidP="005C643F">
            <w:pPr>
              <w:jc w:val="center"/>
              <w:rPr>
                <w:rFonts w:cs="Arial"/>
                <w:bCs/>
                <w:szCs w:val="24"/>
              </w:rPr>
            </w:pPr>
            <w:r>
              <w:rPr>
                <w:rFonts w:cs="Arial"/>
                <w:bCs/>
                <w:szCs w:val="24"/>
              </w:rPr>
              <w:t>Yes</w:t>
            </w:r>
          </w:p>
        </w:tc>
      </w:tr>
      <w:tr w:rsidR="001408D7" w:rsidRPr="001826A8" w:rsidTr="00305D56">
        <w:trPr>
          <w:cantSplit/>
          <w:trHeight w:val="1592"/>
          <w:tblHeader/>
        </w:trPr>
        <w:tc>
          <w:tcPr>
            <w:tcW w:w="7837" w:type="dxa"/>
          </w:tcPr>
          <w:p w:rsidR="001408D7" w:rsidRPr="00241A8F" w:rsidRDefault="001408D7" w:rsidP="00241A8F">
            <w:pPr>
              <w:ind w:left="5"/>
              <w:rPr>
                <w:rFonts w:cs="Arial"/>
                <w:bCs/>
                <w:szCs w:val="24"/>
              </w:rPr>
            </w:pPr>
            <w:r w:rsidRPr="0007380B">
              <w:rPr>
                <w:rFonts w:cs="Arial"/>
                <w:b/>
                <w:bCs/>
                <w:szCs w:val="24"/>
              </w:rPr>
              <w:t xml:space="preserve">Organizational Conflicts of Interest </w:t>
            </w:r>
            <w:r w:rsidRPr="0007380B">
              <w:rPr>
                <w:rFonts w:cs="Arial"/>
                <w:bCs/>
                <w:szCs w:val="24"/>
              </w:rPr>
              <w:t xml:space="preserve">(2 </w:t>
            </w:r>
            <w:r w:rsidRPr="0007380B">
              <w:rPr>
                <w:rFonts w:cs="Arial"/>
                <w:bCs/>
                <w:i/>
                <w:szCs w:val="24"/>
              </w:rPr>
              <w:t>CFR</w:t>
            </w:r>
            <w:r w:rsidRPr="0007380B">
              <w:rPr>
                <w:rFonts w:cs="Arial"/>
                <w:bCs/>
                <w:szCs w:val="24"/>
              </w:rPr>
              <w:t>, Section 200.318[c][2]):</w:t>
            </w:r>
            <w:r w:rsidRPr="0007380B">
              <w:rPr>
                <w:rFonts w:cs="Arial"/>
                <w:b/>
                <w:bCs/>
                <w:szCs w:val="24"/>
              </w:rPr>
              <w:t xml:space="preserve"> </w:t>
            </w:r>
            <w:r w:rsidRPr="0007380B">
              <w:rPr>
                <w:rFonts w:cs="Arial"/>
                <w:bCs/>
                <w:szCs w:val="24"/>
              </w:rPr>
              <w:t>If an agency has a parent, affiliate, or subsidiary and the agency is not a state, local government, or Indian tribe, describe how the agency will manage relationships that may prohibit the ability to be impartial in conducting a procurement action involving a related organization.</w:t>
            </w:r>
          </w:p>
        </w:tc>
        <w:tc>
          <w:tcPr>
            <w:tcW w:w="1613" w:type="dxa"/>
          </w:tcPr>
          <w:p w:rsidR="001408D7" w:rsidRPr="0007380B" w:rsidRDefault="001408D7" w:rsidP="00241A8F">
            <w:pPr>
              <w:jc w:val="center"/>
              <w:rPr>
                <w:rFonts w:cs="Arial"/>
                <w:bCs/>
                <w:szCs w:val="24"/>
              </w:rPr>
            </w:pPr>
            <w:r>
              <w:rPr>
                <w:rFonts w:cs="Arial"/>
                <w:bCs/>
                <w:szCs w:val="24"/>
              </w:rPr>
              <w:t>n/a</w:t>
            </w:r>
          </w:p>
        </w:tc>
        <w:tc>
          <w:tcPr>
            <w:tcW w:w="1537" w:type="dxa"/>
          </w:tcPr>
          <w:p w:rsidR="001408D7" w:rsidRPr="0007380B" w:rsidRDefault="001408D7" w:rsidP="00241A8F">
            <w:pPr>
              <w:jc w:val="center"/>
              <w:rPr>
                <w:rFonts w:cs="Arial"/>
                <w:bCs/>
                <w:szCs w:val="24"/>
              </w:rPr>
            </w:pPr>
            <w:r w:rsidRPr="0007380B">
              <w:rPr>
                <w:rFonts w:cs="Arial"/>
                <w:bCs/>
                <w:szCs w:val="24"/>
              </w:rPr>
              <w:t>Yes</w:t>
            </w:r>
            <w:r>
              <w:rPr>
                <w:rFonts w:cs="Arial"/>
                <w:bCs/>
                <w:szCs w:val="24"/>
              </w:rPr>
              <w:t xml:space="preserve"> / No</w:t>
            </w:r>
          </w:p>
        </w:tc>
      </w:tr>
      <w:tr w:rsidR="001408D7" w:rsidRPr="0007380B" w:rsidTr="00305D56">
        <w:trPr>
          <w:cantSplit/>
          <w:trHeight w:val="1268"/>
          <w:tblHeader/>
        </w:trPr>
        <w:tc>
          <w:tcPr>
            <w:tcW w:w="7837" w:type="dxa"/>
          </w:tcPr>
          <w:p w:rsidR="001408D7" w:rsidRPr="00241A8F" w:rsidRDefault="001408D7" w:rsidP="005C643F">
            <w:pPr>
              <w:rPr>
                <w:rFonts w:cs="Arial"/>
                <w:bCs/>
                <w:szCs w:val="24"/>
                <w:lang w:val="en"/>
              </w:rPr>
            </w:pPr>
            <w:r w:rsidRPr="0007380B">
              <w:rPr>
                <w:rFonts w:cs="Arial"/>
                <w:b/>
                <w:bCs/>
                <w:szCs w:val="24"/>
              </w:rPr>
              <w:t xml:space="preserve">Statement of Economic Interest </w:t>
            </w:r>
            <w:r w:rsidRPr="0007380B">
              <w:rPr>
                <w:rFonts w:cs="Arial"/>
                <w:bCs/>
                <w:szCs w:val="24"/>
              </w:rPr>
              <w:t>(</w:t>
            </w:r>
            <w:r w:rsidRPr="0007380B">
              <w:rPr>
                <w:rFonts w:cs="Arial"/>
                <w:bCs/>
                <w:i/>
                <w:szCs w:val="24"/>
              </w:rPr>
              <w:t>GC</w:t>
            </w:r>
            <w:r>
              <w:rPr>
                <w:rFonts w:cs="Arial"/>
                <w:bCs/>
                <w:szCs w:val="24"/>
              </w:rPr>
              <w:t>,</w:t>
            </w:r>
            <w:r w:rsidRPr="0007380B">
              <w:rPr>
                <w:rFonts w:cs="Arial"/>
                <w:bCs/>
                <w:szCs w:val="24"/>
              </w:rPr>
              <w:t xml:space="preserve"> Section 87302): Develop procedures which require </w:t>
            </w:r>
            <w:r w:rsidRPr="0007380B">
              <w:rPr>
                <w:rFonts w:cs="Arial"/>
                <w:bCs/>
                <w:szCs w:val="24"/>
                <w:lang w:val="en"/>
              </w:rPr>
              <w:t>public employees who make or influence governmental decisions to submit a Statement of Economic Interest, Form 700, within designated time frames.</w:t>
            </w:r>
          </w:p>
        </w:tc>
        <w:tc>
          <w:tcPr>
            <w:tcW w:w="1613" w:type="dxa"/>
          </w:tcPr>
          <w:p w:rsidR="001408D7" w:rsidRPr="0007380B" w:rsidRDefault="001408D7" w:rsidP="005C643F">
            <w:pPr>
              <w:jc w:val="center"/>
              <w:rPr>
                <w:rFonts w:cs="Arial"/>
                <w:bCs/>
                <w:szCs w:val="24"/>
              </w:rPr>
            </w:pPr>
            <w:r>
              <w:rPr>
                <w:rFonts w:cs="Arial"/>
                <w:bCs/>
                <w:szCs w:val="24"/>
              </w:rPr>
              <w:t>n/a</w:t>
            </w:r>
          </w:p>
        </w:tc>
        <w:tc>
          <w:tcPr>
            <w:tcW w:w="1537" w:type="dxa"/>
          </w:tcPr>
          <w:p w:rsidR="001408D7" w:rsidRPr="0007380B" w:rsidRDefault="001408D7" w:rsidP="005C643F">
            <w:pPr>
              <w:jc w:val="center"/>
              <w:rPr>
                <w:rFonts w:cs="Arial"/>
                <w:bCs/>
                <w:szCs w:val="24"/>
              </w:rPr>
            </w:pPr>
            <w:r w:rsidRPr="0007380B">
              <w:rPr>
                <w:rFonts w:cs="Arial"/>
                <w:bCs/>
                <w:szCs w:val="24"/>
              </w:rPr>
              <w:t>Yes</w:t>
            </w:r>
            <w:r>
              <w:rPr>
                <w:rFonts w:cs="Arial"/>
                <w:bCs/>
                <w:szCs w:val="24"/>
              </w:rPr>
              <w:t xml:space="preserve"> / No</w:t>
            </w:r>
          </w:p>
        </w:tc>
      </w:tr>
    </w:tbl>
    <w:p w:rsidR="00FE0EAC" w:rsidRDefault="00FE0EAC" w:rsidP="00FE0EAC">
      <w:r>
        <w:rPr>
          <w:b/>
          <w:bCs/>
        </w:rPr>
        <w:br w:type="page"/>
      </w:r>
    </w:p>
    <w:tbl>
      <w:tblPr>
        <w:tblStyle w:val="TableGrid"/>
        <w:tblW w:w="10170" w:type="dxa"/>
        <w:tblInd w:w="-365" w:type="dxa"/>
        <w:tblLayout w:type="fixed"/>
        <w:tblLook w:val="04A0" w:firstRow="1" w:lastRow="0" w:firstColumn="1" w:lastColumn="0" w:noHBand="0" w:noVBand="1"/>
        <w:tblDescription w:val="A table listing the Procurement Procedures Components. The two available fields are Procurement Procedures Components and Is this Appliable to my Agency?."/>
      </w:tblPr>
      <w:tblGrid>
        <w:gridCol w:w="8550"/>
        <w:gridCol w:w="1620"/>
      </w:tblGrid>
      <w:tr w:rsidR="005D0AB8" w:rsidRPr="0007380B" w:rsidTr="00305D56">
        <w:trPr>
          <w:cantSplit/>
          <w:trHeight w:val="720"/>
          <w:tblHeader/>
        </w:trPr>
        <w:tc>
          <w:tcPr>
            <w:tcW w:w="8550" w:type="dxa"/>
            <w:shd w:val="clear" w:color="auto" w:fill="BFBFBF" w:themeFill="background1" w:themeFillShade="BF"/>
            <w:vAlign w:val="center"/>
            <w:hideMark/>
          </w:tcPr>
          <w:p w:rsidR="005D0AB8" w:rsidRPr="0007380B" w:rsidRDefault="005D0AB8" w:rsidP="00241A8F">
            <w:pPr>
              <w:pStyle w:val="Heading1"/>
              <w:rPr>
                <w:rFonts w:cs="Arial"/>
                <w:sz w:val="24"/>
                <w:szCs w:val="24"/>
              </w:rPr>
            </w:pPr>
            <w:r w:rsidRPr="0007380B">
              <w:rPr>
                <w:rFonts w:cs="Arial"/>
                <w:sz w:val="24"/>
                <w:szCs w:val="24"/>
              </w:rPr>
              <w:lastRenderedPageBreak/>
              <w:t>Procurement Procedures Components</w:t>
            </w:r>
          </w:p>
        </w:tc>
        <w:tc>
          <w:tcPr>
            <w:tcW w:w="1620" w:type="dxa"/>
            <w:shd w:val="clear" w:color="auto" w:fill="BFBFBF" w:themeFill="background1" w:themeFillShade="BF"/>
            <w:vAlign w:val="center"/>
          </w:tcPr>
          <w:p w:rsidR="005D0AB8" w:rsidRPr="0007380B" w:rsidRDefault="005D0AB8" w:rsidP="00C06C3F">
            <w:pPr>
              <w:jc w:val="center"/>
              <w:rPr>
                <w:rFonts w:cs="Arial"/>
                <w:b/>
                <w:bCs/>
                <w:szCs w:val="24"/>
              </w:rPr>
            </w:pPr>
            <w:r w:rsidRPr="0007380B">
              <w:rPr>
                <w:rFonts w:cs="Arial"/>
                <w:b/>
                <w:bCs/>
                <w:szCs w:val="24"/>
              </w:rPr>
              <w:t xml:space="preserve">Is </w:t>
            </w:r>
            <w:r w:rsidR="009D6E38">
              <w:rPr>
                <w:rFonts w:cs="Arial"/>
                <w:b/>
                <w:bCs/>
                <w:szCs w:val="24"/>
              </w:rPr>
              <w:t>T</w:t>
            </w:r>
            <w:r w:rsidRPr="0007380B">
              <w:rPr>
                <w:rFonts w:cs="Arial"/>
                <w:b/>
                <w:bCs/>
                <w:szCs w:val="24"/>
              </w:rPr>
              <w:t>his Applicable to my Agency?</w:t>
            </w:r>
          </w:p>
        </w:tc>
      </w:tr>
      <w:tr w:rsidR="005D0AB8" w:rsidRPr="0007380B" w:rsidTr="00305D56">
        <w:trPr>
          <w:cantSplit/>
          <w:trHeight w:val="1277"/>
          <w:tblHeader/>
        </w:trPr>
        <w:tc>
          <w:tcPr>
            <w:tcW w:w="8550" w:type="dxa"/>
          </w:tcPr>
          <w:p w:rsidR="005D0AB8" w:rsidRPr="0007380B" w:rsidRDefault="005D0AB8" w:rsidP="005C643F">
            <w:pPr>
              <w:rPr>
                <w:rFonts w:cs="Arial"/>
                <w:szCs w:val="24"/>
              </w:rPr>
            </w:pPr>
            <w:r w:rsidRPr="0007380B">
              <w:rPr>
                <w:rFonts w:cs="Arial"/>
                <w:b/>
                <w:bCs/>
                <w:szCs w:val="24"/>
              </w:rPr>
              <w:t xml:space="preserve">Duplication of Goods or Services </w:t>
            </w:r>
            <w:r w:rsidRPr="0007380B">
              <w:rPr>
                <w:rFonts w:cs="Arial"/>
                <w:bCs/>
                <w:szCs w:val="24"/>
              </w:rPr>
              <w:t xml:space="preserve">(2 </w:t>
            </w:r>
            <w:r w:rsidRPr="0007380B">
              <w:rPr>
                <w:rFonts w:cs="Arial"/>
                <w:bCs/>
                <w:i/>
                <w:szCs w:val="24"/>
              </w:rPr>
              <w:t>CFR</w:t>
            </w:r>
            <w:r w:rsidRPr="0007380B">
              <w:rPr>
                <w:rFonts w:cs="Arial"/>
                <w:bCs/>
                <w:szCs w:val="24"/>
              </w:rPr>
              <w:t xml:space="preserve">, Section 200.318[d]): </w:t>
            </w:r>
            <w:r w:rsidRPr="0007380B">
              <w:rPr>
                <w:rFonts w:cs="Arial"/>
                <w:szCs w:val="24"/>
              </w:rPr>
              <w:t>Describe the process for ensuring that there is no acquisition of unnecessary or duplicate goods or services. Consideration should be given to consolidating or breaking out procurements to obtain a more economical purchase.</w:t>
            </w:r>
          </w:p>
        </w:tc>
        <w:tc>
          <w:tcPr>
            <w:tcW w:w="1620" w:type="dxa"/>
            <w:shd w:val="clear" w:color="auto" w:fill="BFBFBF" w:themeFill="background1" w:themeFillShade="BF"/>
          </w:tcPr>
          <w:p w:rsidR="005D0AB8" w:rsidRPr="0007380B" w:rsidRDefault="005D0AB8" w:rsidP="005C643F">
            <w:pPr>
              <w:jc w:val="center"/>
              <w:rPr>
                <w:rFonts w:cs="Arial"/>
                <w:bCs/>
                <w:szCs w:val="24"/>
              </w:rPr>
            </w:pPr>
            <w:r w:rsidRPr="0007380B">
              <w:rPr>
                <w:rFonts w:cs="Arial"/>
                <w:bCs/>
                <w:szCs w:val="24"/>
              </w:rPr>
              <w:t>Required for all Agencies</w:t>
            </w:r>
          </w:p>
        </w:tc>
      </w:tr>
      <w:tr w:rsidR="005D0AB8" w:rsidRPr="0007380B" w:rsidTr="00305D56">
        <w:trPr>
          <w:cantSplit/>
          <w:trHeight w:val="2078"/>
          <w:tblHeader/>
        </w:trPr>
        <w:tc>
          <w:tcPr>
            <w:tcW w:w="8550" w:type="dxa"/>
          </w:tcPr>
          <w:p w:rsidR="005D0AB8" w:rsidRPr="00241A8F" w:rsidRDefault="005D0AB8" w:rsidP="005C643F">
            <w:pPr>
              <w:rPr>
                <w:rFonts w:cs="Arial"/>
                <w:bCs/>
                <w:szCs w:val="24"/>
              </w:rPr>
            </w:pPr>
            <w:r w:rsidRPr="0007380B">
              <w:rPr>
                <w:rFonts w:cs="Arial"/>
                <w:b/>
                <w:bCs/>
                <w:szCs w:val="24"/>
              </w:rPr>
              <w:t xml:space="preserve">Maintenance of Records </w:t>
            </w:r>
            <w:r w:rsidRPr="0007380B">
              <w:rPr>
                <w:rFonts w:cs="Arial"/>
                <w:bCs/>
                <w:szCs w:val="24"/>
              </w:rPr>
              <w:t xml:space="preserve">(2 </w:t>
            </w:r>
            <w:r w:rsidRPr="0007380B">
              <w:rPr>
                <w:rFonts w:cs="Arial"/>
                <w:bCs/>
                <w:i/>
                <w:szCs w:val="24"/>
              </w:rPr>
              <w:t>CFR</w:t>
            </w:r>
            <w:r w:rsidRPr="0007380B">
              <w:rPr>
                <w:rFonts w:cs="Arial"/>
                <w:bCs/>
                <w:szCs w:val="24"/>
              </w:rPr>
              <w:t>, Section 200.318[</w:t>
            </w:r>
            <w:proofErr w:type="spellStart"/>
            <w:r w:rsidRPr="0007380B">
              <w:rPr>
                <w:rFonts w:cs="Arial"/>
                <w:bCs/>
                <w:szCs w:val="24"/>
              </w:rPr>
              <w:t>i</w:t>
            </w:r>
            <w:proofErr w:type="spellEnd"/>
            <w:r w:rsidRPr="0007380B">
              <w:rPr>
                <w:rFonts w:cs="Arial"/>
                <w:bCs/>
                <w:szCs w:val="24"/>
              </w:rPr>
              <w:t>]):</w:t>
            </w:r>
            <w:r w:rsidRPr="0007380B">
              <w:rPr>
                <w:rFonts w:cs="Arial"/>
                <w:b/>
                <w:bCs/>
                <w:szCs w:val="24"/>
              </w:rPr>
              <w:t xml:space="preserve"> </w:t>
            </w:r>
            <w:r w:rsidRPr="0007380B">
              <w:rPr>
                <w:rFonts w:cs="Arial"/>
                <w:szCs w:val="24"/>
              </w:rPr>
              <w:t>Describe the process for ensuring that records are maintained to detail the history of procurement. The records will include, but are not limited to: rationale for the method of procurement, selection of contract type, contractor selection or rejection, and the basis for the contract price.</w:t>
            </w:r>
            <w:r w:rsidRPr="0007380B">
              <w:rPr>
                <w:rFonts w:cs="Arial"/>
                <w:b/>
                <w:bCs/>
                <w:szCs w:val="24"/>
              </w:rPr>
              <w:t xml:space="preserve"> </w:t>
            </w:r>
            <w:r>
              <w:rPr>
                <w:rFonts w:cs="Arial"/>
                <w:bCs/>
                <w:szCs w:val="24"/>
              </w:rPr>
              <w:t>Records should be maintained for the duration of the contract, including all extensions, plus three years; or longer if required for audits.</w:t>
            </w:r>
          </w:p>
        </w:tc>
        <w:tc>
          <w:tcPr>
            <w:tcW w:w="1620" w:type="dxa"/>
            <w:shd w:val="clear" w:color="auto" w:fill="BFBFBF" w:themeFill="background1" w:themeFillShade="BF"/>
          </w:tcPr>
          <w:p w:rsidR="005D0AB8" w:rsidRPr="0007380B" w:rsidRDefault="005D0AB8" w:rsidP="005C643F">
            <w:pPr>
              <w:jc w:val="center"/>
              <w:rPr>
                <w:rFonts w:cs="Arial"/>
                <w:bCs/>
                <w:szCs w:val="24"/>
              </w:rPr>
            </w:pPr>
            <w:r w:rsidRPr="0007380B">
              <w:rPr>
                <w:rFonts w:cs="Arial"/>
                <w:bCs/>
                <w:szCs w:val="24"/>
              </w:rPr>
              <w:t>Required for all Agencies</w:t>
            </w:r>
          </w:p>
        </w:tc>
      </w:tr>
      <w:tr w:rsidR="005D0AB8" w:rsidRPr="0007380B" w:rsidTr="00305D56">
        <w:trPr>
          <w:cantSplit/>
          <w:trHeight w:val="4652"/>
          <w:tblHeader/>
        </w:trPr>
        <w:tc>
          <w:tcPr>
            <w:tcW w:w="8550" w:type="dxa"/>
          </w:tcPr>
          <w:p w:rsidR="005D0AB8" w:rsidRPr="0007380B" w:rsidRDefault="005D0AB8" w:rsidP="004A0594">
            <w:pPr>
              <w:spacing w:after="240"/>
              <w:rPr>
                <w:rFonts w:cs="Arial"/>
                <w:szCs w:val="24"/>
              </w:rPr>
            </w:pPr>
            <w:r w:rsidRPr="0007380B">
              <w:rPr>
                <w:rFonts w:cs="Arial"/>
                <w:b/>
                <w:bCs/>
                <w:szCs w:val="24"/>
              </w:rPr>
              <w:lastRenderedPageBreak/>
              <w:t xml:space="preserve">Buy American Provision </w:t>
            </w:r>
            <w:r w:rsidRPr="0007380B">
              <w:rPr>
                <w:rFonts w:cs="Arial"/>
                <w:bCs/>
                <w:szCs w:val="24"/>
              </w:rPr>
              <w:t xml:space="preserve">(Title 7, </w:t>
            </w:r>
            <w:r w:rsidRPr="0007380B">
              <w:rPr>
                <w:rFonts w:cs="Arial"/>
                <w:bCs/>
                <w:i/>
                <w:szCs w:val="24"/>
              </w:rPr>
              <w:t>Code of Federal Regulations</w:t>
            </w:r>
            <w:r w:rsidRPr="0007380B">
              <w:rPr>
                <w:rFonts w:cs="Arial"/>
                <w:bCs/>
                <w:szCs w:val="24"/>
              </w:rPr>
              <w:t xml:space="preserve"> [7 </w:t>
            </w:r>
            <w:r w:rsidRPr="0007380B">
              <w:rPr>
                <w:rFonts w:cs="Arial"/>
                <w:bCs/>
                <w:i/>
                <w:iCs/>
                <w:szCs w:val="24"/>
              </w:rPr>
              <w:t>CFR</w:t>
            </w:r>
            <w:r w:rsidRPr="0007380B">
              <w:rPr>
                <w:rFonts w:cs="Arial"/>
                <w:bCs/>
                <w:iCs/>
                <w:szCs w:val="24"/>
              </w:rPr>
              <w:t>], sections</w:t>
            </w:r>
            <w:r w:rsidRPr="0007380B">
              <w:rPr>
                <w:rFonts w:cs="Arial"/>
                <w:bCs/>
                <w:szCs w:val="24"/>
              </w:rPr>
              <w:t xml:space="preserve"> 210.21[d] and 220.16[d]; USDA Policy Memo SP 38-2017): </w:t>
            </w:r>
            <w:r w:rsidRPr="0007380B">
              <w:rPr>
                <w:rFonts w:cs="Arial"/>
                <w:szCs w:val="24"/>
              </w:rPr>
              <w:t>The federal Buy American Provision supports the mission of C</w:t>
            </w:r>
            <w:r>
              <w:rPr>
                <w:rFonts w:cs="Arial"/>
                <w:szCs w:val="24"/>
              </w:rPr>
              <w:t>NPs</w:t>
            </w:r>
            <w:r w:rsidRPr="0007380B">
              <w:rPr>
                <w:rFonts w:cs="Arial"/>
                <w:szCs w:val="24"/>
              </w:rPr>
              <w:t>, which is to serve children nutritious meals in schools and support American agriculture.</w:t>
            </w:r>
          </w:p>
          <w:p w:rsidR="005D0AB8" w:rsidRDefault="005D0AB8" w:rsidP="005C643F">
            <w:pPr>
              <w:spacing w:after="100" w:afterAutospacing="1"/>
              <w:rPr>
                <w:rFonts w:cs="Arial"/>
                <w:szCs w:val="24"/>
              </w:rPr>
            </w:pPr>
            <w:r w:rsidRPr="0007380B">
              <w:rPr>
                <w:rFonts w:cs="Arial"/>
                <w:szCs w:val="24"/>
              </w:rPr>
              <w:t xml:space="preserve">Section 104(d) of the William F. Goodling Child Nutrition Reauthorization Act of 1998 (Public Law 105–336) added a provision, Section 12(n) to the National School Lunch Act (NSLA) (42, </w:t>
            </w:r>
            <w:r w:rsidRPr="0007380B">
              <w:rPr>
                <w:rFonts w:cs="Arial"/>
                <w:i/>
                <w:szCs w:val="24"/>
              </w:rPr>
              <w:t>United States Code</w:t>
            </w:r>
            <w:r w:rsidRPr="0007380B">
              <w:rPr>
                <w:rFonts w:cs="Arial"/>
                <w:szCs w:val="24"/>
              </w:rPr>
              <w:t xml:space="preserve"> 1760[n]), requiring SFAs to purchase, to the maximum extent practical, domestic commodities or products. Section 12(n) of the NSLA defines </w:t>
            </w:r>
            <w:r w:rsidRPr="0007380B">
              <w:rPr>
                <w:rFonts w:cs="Arial"/>
                <w:b/>
                <w:szCs w:val="24"/>
              </w:rPr>
              <w:t>domestic commodity or product</w:t>
            </w:r>
            <w:r w:rsidRPr="0007380B">
              <w:rPr>
                <w:rFonts w:cs="Arial"/>
                <w:szCs w:val="24"/>
              </w:rPr>
              <w:t xml:space="preserve"> as an agricultural commodity that is produced in the United States and a food product that is processed in the United States using substantial agricultural commodities that are produced in the United States. </w:t>
            </w:r>
            <w:r w:rsidRPr="0007380B">
              <w:rPr>
                <w:rFonts w:cs="Arial"/>
                <w:b/>
                <w:szCs w:val="24"/>
              </w:rPr>
              <w:t>Substantial</w:t>
            </w:r>
            <w:r w:rsidRPr="0007380B">
              <w:rPr>
                <w:rFonts w:cs="Arial"/>
                <w:szCs w:val="24"/>
              </w:rPr>
              <w:t xml:space="preserve"> means that over 51 percent of the final processed product consists of agricultural commodities that are grown domestically. Products from Guam, American Samoa, the Virgin Islands, Puerto Rico, and the Northern Mariana Islands are allowed under this provision as territories of the United States. </w:t>
            </w:r>
          </w:p>
          <w:p w:rsidR="005D0AB8" w:rsidRPr="0007380B" w:rsidRDefault="005D0AB8" w:rsidP="005C643F">
            <w:pPr>
              <w:spacing w:after="100" w:afterAutospacing="1"/>
              <w:rPr>
                <w:rFonts w:cs="Arial"/>
                <w:szCs w:val="24"/>
              </w:rPr>
            </w:pPr>
            <w:r>
              <w:t xml:space="preserve">Ingredients used to flavor, enhance, or prepare products (e.g., condiments, salad dressing) must also comply with the Buy American requirement </w:t>
            </w:r>
            <w:r>
              <w:rPr>
                <w:b/>
                <w:bCs/>
              </w:rPr>
              <w:t>only if</w:t>
            </w:r>
            <w:r>
              <w:t xml:space="preserve"> the first ingredient (or second after water) is one of the five components that contribute to a reimbursable meal. If the first ingredient in these products is not one of the five components that contribute to a reimbursable meal, the product does not have to comply with the Buy American requirement. For example, catsup with tomato paste as the first ingredient must comply with the Buy American requirement since tomato paste is creditable as a red/orange vegetable, </w:t>
            </w:r>
            <w:r>
              <w:rPr>
                <w:b/>
                <w:bCs/>
              </w:rPr>
              <w:t>even though catsup is not a creditable item</w:t>
            </w:r>
            <w:r>
              <w:t>. Mustard with distilled white vinegar as the first ingredient does not need to comply with the Buy American requirement since vinegar is not a component that contributes to a reimbursable meal. Additionally, nonagricultural products such as paper, water, packaging, and labor do not need to comply with the Buy American requirement.</w:t>
            </w:r>
          </w:p>
          <w:p w:rsidR="005D0AB8" w:rsidRPr="0007380B" w:rsidRDefault="005D0AB8" w:rsidP="004A0594">
            <w:pPr>
              <w:spacing w:after="240"/>
              <w:rPr>
                <w:rFonts w:cs="Arial"/>
                <w:szCs w:val="24"/>
              </w:rPr>
            </w:pPr>
            <w:r w:rsidRPr="0007380B">
              <w:rPr>
                <w:rFonts w:cs="Arial"/>
                <w:szCs w:val="24"/>
              </w:rPr>
              <w:t xml:space="preserve">When funds are used from the nonprofit school food service account, SFAs must ensure that procurement transactions for food products on the commercial market comply with the Buy American Provision (7 </w:t>
            </w:r>
            <w:r w:rsidRPr="0007380B">
              <w:rPr>
                <w:rFonts w:cs="Arial"/>
                <w:i/>
                <w:szCs w:val="24"/>
              </w:rPr>
              <w:t>CFR</w:t>
            </w:r>
            <w:r w:rsidRPr="0007380B">
              <w:rPr>
                <w:rFonts w:cs="Arial"/>
                <w:szCs w:val="24"/>
              </w:rPr>
              <w:t>, sections 210.21[d] and 220.16[d]), whether food products are purchased by SFAs or entities that are purchasing on their behalf.</w:t>
            </w:r>
          </w:p>
          <w:p w:rsidR="005D0AB8" w:rsidRPr="0007380B" w:rsidRDefault="005D0AB8" w:rsidP="00D73294">
            <w:pPr>
              <w:spacing w:after="600"/>
              <w:rPr>
                <w:rFonts w:cs="Arial"/>
                <w:szCs w:val="24"/>
              </w:rPr>
            </w:pPr>
            <w:r w:rsidRPr="0007380B">
              <w:rPr>
                <w:rFonts w:cs="Arial"/>
                <w:szCs w:val="24"/>
              </w:rPr>
              <w:t xml:space="preserve">SFAs </w:t>
            </w:r>
            <w:r w:rsidRPr="0007380B">
              <w:rPr>
                <w:rFonts w:cs="Arial"/>
                <w:b/>
                <w:szCs w:val="24"/>
              </w:rPr>
              <w:t>must</w:t>
            </w:r>
            <w:r w:rsidRPr="0007380B">
              <w:rPr>
                <w:rFonts w:cs="Arial"/>
                <w:szCs w:val="24"/>
              </w:rPr>
              <w:t xml:space="preserve"> also ensure that solicitation and contract language </w:t>
            </w:r>
            <w:proofErr w:type="gramStart"/>
            <w:r w:rsidRPr="0007380B">
              <w:rPr>
                <w:rFonts w:cs="Arial"/>
                <w:szCs w:val="24"/>
              </w:rPr>
              <w:t>includes</w:t>
            </w:r>
            <w:proofErr w:type="gramEnd"/>
            <w:r w:rsidRPr="0007380B">
              <w:rPr>
                <w:rFonts w:cs="Arial"/>
                <w:szCs w:val="24"/>
              </w:rPr>
              <w:t xml:space="preserve"> the requirement to purchase, to the maximum extent practical, domestic agricultural commodities and products. The Buy American Provision must also be included in the SFA’s documented procurement procedures, along with the requirement to retain records documenting any exceptions. Implementation of the Buy American Provision by the SFA should also be done by:</w:t>
            </w:r>
          </w:p>
          <w:p w:rsidR="005D0AB8" w:rsidRPr="004A0594" w:rsidRDefault="005D0AB8" w:rsidP="004A0594">
            <w:pPr>
              <w:numPr>
                <w:ilvl w:val="0"/>
                <w:numId w:val="7"/>
              </w:numPr>
              <w:spacing w:after="240"/>
              <w:rPr>
                <w:rFonts w:cs="Arial"/>
                <w:szCs w:val="24"/>
              </w:rPr>
            </w:pPr>
            <w:r w:rsidRPr="0007380B">
              <w:rPr>
                <w:rFonts w:cs="Arial"/>
                <w:szCs w:val="24"/>
              </w:rPr>
              <w:lastRenderedPageBreak/>
              <w:t>Including domestic requirements in bid specifications</w:t>
            </w:r>
          </w:p>
          <w:p w:rsidR="005D0AB8" w:rsidRPr="004A0594" w:rsidRDefault="005D0AB8" w:rsidP="004A0594">
            <w:pPr>
              <w:numPr>
                <w:ilvl w:val="0"/>
                <w:numId w:val="7"/>
              </w:numPr>
              <w:spacing w:after="240"/>
              <w:rPr>
                <w:rFonts w:cs="Arial"/>
                <w:szCs w:val="24"/>
              </w:rPr>
            </w:pPr>
            <w:r w:rsidRPr="0007380B">
              <w:rPr>
                <w:rFonts w:cs="Arial"/>
                <w:szCs w:val="24"/>
              </w:rPr>
              <w:t>Monitoring the contract</w:t>
            </w:r>
          </w:p>
          <w:p w:rsidR="005D0AB8" w:rsidRPr="004A0594" w:rsidRDefault="005D0AB8" w:rsidP="004A0594">
            <w:pPr>
              <w:numPr>
                <w:ilvl w:val="0"/>
                <w:numId w:val="7"/>
              </w:numPr>
              <w:spacing w:after="240"/>
              <w:rPr>
                <w:rFonts w:cs="Arial"/>
                <w:szCs w:val="24"/>
              </w:rPr>
            </w:pPr>
            <w:r w:rsidRPr="0007380B">
              <w:rPr>
                <w:rFonts w:cs="Arial"/>
                <w:szCs w:val="24"/>
              </w:rPr>
              <w:t xml:space="preserve">Verifying cost and availability of domestic and nondomestic foods using data in the USDA Agricultural Marketing Service’s (AMS) weekly market report on the USDA AMS Run a Market Report web page at </w:t>
            </w:r>
            <w:hyperlink r:id="rId12" w:tooltip="USDA AMS Run a Market Report web page" w:history="1">
              <w:r w:rsidRPr="0007380B">
                <w:rPr>
                  <w:rStyle w:val="Hyperlink"/>
                  <w:rFonts w:cs="Arial"/>
                  <w:szCs w:val="24"/>
                </w:rPr>
                <w:t>https://marketnews.usda.gov/mnp/fv-report-config-step1?type=termPrice</w:t>
              </w:r>
            </w:hyperlink>
            <w:r w:rsidRPr="0007380B">
              <w:rPr>
                <w:rFonts w:cs="Arial"/>
                <w:szCs w:val="24"/>
              </w:rPr>
              <w:t xml:space="preserve"> </w:t>
            </w:r>
          </w:p>
          <w:p w:rsidR="005D0AB8" w:rsidRPr="0007380B" w:rsidRDefault="005D0AB8" w:rsidP="005C643F">
            <w:pPr>
              <w:rPr>
                <w:rFonts w:cs="Arial"/>
                <w:szCs w:val="24"/>
              </w:rPr>
            </w:pPr>
            <w:r w:rsidRPr="0007380B">
              <w:rPr>
                <w:rFonts w:cs="Arial"/>
                <w:szCs w:val="24"/>
              </w:rPr>
              <w:t xml:space="preserve">For more information on the Buy American Provision, including additional ways the SFA should implement the requirement, select the Procurement tab on the CDE Procurement in SNP web page at </w:t>
            </w:r>
            <w:hyperlink r:id="rId13" w:tooltip="CDE Procurement in SNP web page" w:history="1">
              <w:r w:rsidRPr="0007380B">
                <w:rPr>
                  <w:rStyle w:val="Hyperlink"/>
                  <w:rFonts w:cs="Arial"/>
                  <w:szCs w:val="24"/>
                </w:rPr>
                <w:t>http://www.cde.ca.gov/ls/nu/sn/fsmcproc.asp</w:t>
              </w:r>
            </w:hyperlink>
            <w:r w:rsidRPr="0007380B">
              <w:rPr>
                <w:rFonts w:cs="Arial"/>
                <w:szCs w:val="24"/>
              </w:rPr>
              <w:t xml:space="preserve"> and access USDA Policy Memo SP 38-2017, Compliance with and Enforcement of the Buy American Provision in the National School Lunch Program, accessible on the USDA School Meals Policy web page at </w:t>
            </w:r>
            <w:hyperlink r:id="rId14" w:tooltip="USDA School Meals Policy web page" w:history="1">
              <w:r w:rsidRPr="0007380B">
                <w:rPr>
                  <w:rStyle w:val="Hyperlink"/>
                  <w:rFonts w:cs="Arial"/>
                  <w:szCs w:val="24"/>
                </w:rPr>
                <w:t>https://www.fns.usda.gov/school-meals/policy</w:t>
              </w:r>
            </w:hyperlink>
            <w:r w:rsidRPr="0007380B">
              <w:rPr>
                <w:rFonts w:cs="Arial"/>
                <w:szCs w:val="24"/>
              </w:rPr>
              <w:t xml:space="preserve">. </w:t>
            </w:r>
          </w:p>
        </w:tc>
        <w:tc>
          <w:tcPr>
            <w:tcW w:w="1620" w:type="dxa"/>
            <w:shd w:val="clear" w:color="auto" w:fill="BFBFBF" w:themeFill="background1" w:themeFillShade="BF"/>
          </w:tcPr>
          <w:p w:rsidR="005D0AB8" w:rsidRPr="0007380B" w:rsidRDefault="005D0AB8" w:rsidP="005D0AB8">
            <w:pPr>
              <w:jc w:val="center"/>
              <w:rPr>
                <w:rFonts w:cs="Arial"/>
                <w:bCs/>
                <w:szCs w:val="24"/>
              </w:rPr>
            </w:pPr>
            <w:r w:rsidRPr="0007380B">
              <w:rPr>
                <w:rFonts w:cs="Arial"/>
                <w:bCs/>
                <w:szCs w:val="24"/>
              </w:rPr>
              <w:lastRenderedPageBreak/>
              <w:t xml:space="preserve">Required for School Nutrition Program </w:t>
            </w:r>
            <w:r>
              <w:rPr>
                <w:rFonts w:cs="Arial"/>
                <w:bCs/>
                <w:szCs w:val="24"/>
              </w:rPr>
              <w:t>(SNP) Operators</w:t>
            </w:r>
          </w:p>
        </w:tc>
      </w:tr>
      <w:tr w:rsidR="005D0AB8" w:rsidRPr="0007380B" w:rsidTr="00305D56">
        <w:trPr>
          <w:cantSplit/>
          <w:trHeight w:val="1574"/>
          <w:tblHeader/>
        </w:trPr>
        <w:tc>
          <w:tcPr>
            <w:tcW w:w="8550" w:type="dxa"/>
          </w:tcPr>
          <w:p w:rsidR="005D0AB8" w:rsidRPr="00EC49D0" w:rsidRDefault="005D0AB8" w:rsidP="005C643F">
            <w:pPr>
              <w:spacing w:line="259" w:lineRule="auto"/>
              <w:rPr>
                <w:rFonts w:cs="Arial"/>
                <w:bCs/>
                <w:szCs w:val="24"/>
              </w:rPr>
            </w:pPr>
            <w:r w:rsidRPr="0007380B">
              <w:rPr>
                <w:rFonts w:cs="Arial"/>
                <w:b/>
                <w:bCs/>
                <w:szCs w:val="24"/>
              </w:rPr>
              <w:t xml:space="preserve">Exceptions to the Buy American Provision </w:t>
            </w:r>
            <w:r w:rsidRPr="0007380B">
              <w:rPr>
                <w:rFonts w:cs="Arial"/>
                <w:bCs/>
                <w:szCs w:val="24"/>
              </w:rPr>
              <w:t>(USDA Policy Memo SP 38-2017): Describe the process for ensuring that the vendor will document exceptions to providing domestic agricultural food components. Exception forms and instructions are available on the Child Nutrition Information and Payment Systems, Download Forms, Form ID Numbers PRU 10 and 10a.</w:t>
            </w:r>
          </w:p>
        </w:tc>
        <w:tc>
          <w:tcPr>
            <w:tcW w:w="1620" w:type="dxa"/>
            <w:shd w:val="clear" w:color="auto" w:fill="BFBFBF" w:themeFill="background1" w:themeFillShade="BF"/>
          </w:tcPr>
          <w:p w:rsidR="005D0AB8" w:rsidRPr="0007380B" w:rsidRDefault="005D0AB8" w:rsidP="005C643F">
            <w:pPr>
              <w:jc w:val="center"/>
              <w:rPr>
                <w:rFonts w:cs="Arial"/>
                <w:bCs/>
                <w:szCs w:val="24"/>
              </w:rPr>
            </w:pPr>
            <w:r w:rsidRPr="0007380B">
              <w:rPr>
                <w:rFonts w:cs="Arial"/>
                <w:bCs/>
                <w:szCs w:val="24"/>
              </w:rPr>
              <w:t>Required for SNP Operators</w:t>
            </w:r>
          </w:p>
        </w:tc>
      </w:tr>
      <w:tr w:rsidR="005D0AB8" w:rsidRPr="0007380B" w:rsidTr="00305D56">
        <w:trPr>
          <w:cantSplit/>
          <w:trHeight w:val="1295"/>
          <w:tblHeader/>
        </w:trPr>
        <w:tc>
          <w:tcPr>
            <w:tcW w:w="8550" w:type="dxa"/>
          </w:tcPr>
          <w:p w:rsidR="005D0AB8" w:rsidRPr="0007380B" w:rsidRDefault="005D0AB8" w:rsidP="005C643F">
            <w:pPr>
              <w:spacing w:line="259" w:lineRule="auto"/>
              <w:rPr>
                <w:rFonts w:cs="Arial"/>
                <w:szCs w:val="24"/>
              </w:rPr>
            </w:pPr>
            <w:r w:rsidRPr="0007380B">
              <w:rPr>
                <w:rFonts w:cs="Arial"/>
                <w:b/>
                <w:bCs/>
                <w:szCs w:val="24"/>
              </w:rPr>
              <w:t xml:space="preserve">Buy American Provision for all processed end products </w:t>
            </w:r>
            <w:r w:rsidRPr="0007380B">
              <w:rPr>
                <w:rFonts w:cs="Arial"/>
                <w:bCs/>
                <w:szCs w:val="24"/>
              </w:rPr>
              <w:t>(USDA Policy Memo SP 38-2017):</w:t>
            </w:r>
            <w:r w:rsidRPr="0007380B">
              <w:rPr>
                <w:rFonts w:cs="Arial"/>
                <w:szCs w:val="24"/>
              </w:rPr>
              <w:t xml:space="preserve"> Describe the process for ensuring that the vendor provides specific information about the percentage of United States content in any processed end product.  </w:t>
            </w:r>
          </w:p>
        </w:tc>
        <w:tc>
          <w:tcPr>
            <w:tcW w:w="1620" w:type="dxa"/>
          </w:tcPr>
          <w:p w:rsidR="005D0AB8" w:rsidRPr="0007380B" w:rsidRDefault="005D0AB8" w:rsidP="005C643F">
            <w:pPr>
              <w:jc w:val="center"/>
              <w:rPr>
                <w:rFonts w:cs="Arial"/>
                <w:bCs/>
                <w:szCs w:val="24"/>
              </w:rPr>
            </w:pPr>
            <w:r w:rsidRPr="0007380B">
              <w:rPr>
                <w:rFonts w:cs="Arial"/>
                <w:bCs/>
                <w:szCs w:val="24"/>
              </w:rPr>
              <w:t>Yes</w:t>
            </w:r>
            <w:r>
              <w:rPr>
                <w:rFonts w:cs="Arial"/>
                <w:bCs/>
                <w:szCs w:val="24"/>
              </w:rPr>
              <w:t xml:space="preserve"> / No</w:t>
            </w:r>
          </w:p>
        </w:tc>
      </w:tr>
      <w:tr w:rsidR="005D0AB8" w:rsidRPr="0007380B" w:rsidTr="00305D56">
        <w:trPr>
          <w:cantSplit/>
          <w:trHeight w:val="755"/>
          <w:tblHeader/>
        </w:trPr>
        <w:tc>
          <w:tcPr>
            <w:tcW w:w="8550" w:type="dxa"/>
          </w:tcPr>
          <w:p w:rsidR="005D0AB8" w:rsidRPr="00EC49D0" w:rsidRDefault="005D0AB8" w:rsidP="005C643F">
            <w:pPr>
              <w:rPr>
                <w:rFonts w:cs="Arial"/>
                <w:szCs w:val="24"/>
              </w:rPr>
            </w:pPr>
            <w:r w:rsidRPr="0007380B">
              <w:rPr>
                <w:rFonts w:cs="Arial"/>
                <w:b/>
                <w:bCs/>
                <w:szCs w:val="24"/>
              </w:rPr>
              <w:t>Authorization Title Page</w:t>
            </w:r>
            <w:r w:rsidRPr="0007380B">
              <w:rPr>
                <w:rFonts w:cs="Arial"/>
                <w:bCs/>
                <w:szCs w:val="24"/>
              </w:rPr>
              <w:t xml:space="preserve"> </w:t>
            </w:r>
            <w:r w:rsidRPr="0007380B">
              <w:rPr>
                <w:rFonts w:cs="Arial"/>
                <w:szCs w:val="24"/>
              </w:rPr>
              <w:t>Include the date the procedures are effective, the name, title, signature of the authorized representative, and the date of signing.</w:t>
            </w:r>
          </w:p>
        </w:tc>
        <w:tc>
          <w:tcPr>
            <w:tcW w:w="1620" w:type="dxa"/>
          </w:tcPr>
          <w:p w:rsidR="005D0AB8" w:rsidRPr="0007380B" w:rsidRDefault="005D0AB8" w:rsidP="005C643F">
            <w:pPr>
              <w:jc w:val="center"/>
              <w:rPr>
                <w:rFonts w:cs="Arial"/>
                <w:bCs/>
                <w:szCs w:val="24"/>
              </w:rPr>
            </w:pPr>
            <w:r w:rsidRPr="0007380B">
              <w:rPr>
                <w:rFonts w:cs="Arial"/>
                <w:bCs/>
                <w:szCs w:val="24"/>
              </w:rPr>
              <w:t>Yes</w:t>
            </w:r>
            <w:r>
              <w:rPr>
                <w:rFonts w:cs="Arial"/>
                <w:bCs/>
                <w:szCs w:val="24"/>
              </w:rPr>
              <w:t xml:space="preserve"> / No</w:t>
            </w:r>
          </w:p>
        </w:tc>
      </w:tr>
      <w:tr w:rsidR="005D0AB8" w:rsidRPr="0007380B" w:rsidTr="00305D56">
        <w:trPr>
          <w:cantSplit/>
          <w:trHeight w:val="1259"/>
          <w:tblHeader/>
        </w:trPr>
        <w:tc>
          <w:tcPr>
            <w:tcW w:w="8550" w:type="dxa"/>
            <w:hideMark/>
          </w:tcPr>
          <w:p w:rsidR="005D0AB8" w:rsidRDefault="005D0AB8" w:rsidP="00D15C37">
            <w:pPr>
              <w:rPr>
                <w:rFonts w:cs="Arial"/>
                <w:b/>
                <w:bCs/>
                <w:szCs w:val="24"/>
              </w:rPr>
            </w:pPr>
            <w:r w:rsidRPr="0007380B">
              <w:rPr>
                <w:rFonts w:cs="Arial"/>
                <w:b/>
                <w:bCs/>
                <w:szCs w:val="24"/>
              </w:rPr>
              <w:t xml:space="preserve">Surplus Property </w:t>
            </w:r>
            <w:r w:rsidRPr="0007380B">
              <w:rPr>
                <w:rFonts w:cs="Arial"/>
                <w:bCs/>
                <w:szCs w:val="24"/>
              </w:rPr>
              <w:t xml:space="preserve">(2 </w:t>
            </w:r>
            <w:r w:rsidRPr="0007380B">
              <w:rPr>
                <w:rFonts w:cs="Arial"/>
                <w:bCs/>
                <w:i/>
                <w:iCs/>
                <w:szCs w:val="24"/>
              </w:rPr>
              <w:t>CFR</w:t>
            </w:r>
            <w:r w:rsidRPr="0007380B">
              <w:rPr>
                <w:rFonts w:cs="Arial"/>
                <w:bCs/>
                <w:iCs/>
                <w:szCs w:val="24"/>
              </w:rPr>
              <w:t>, Section</w:t>
            </w:r>
            <w:r w:rsidRPr="0007380B">
              <w:rPr>
                <w:rFonts w:cs="Arial"/>
                <w:bCs/>
                <w:szCs w:val="24"/>
              </w:rPr>
              <w:t xml:space="preserve"> 200.318[f]): </w:t>
            </w:r>
            <w:r w:rsidRPr="0007380B">
              <w:rPr>
                <w:rFonts w:cs="Arial"/>
                <w:szCs w:val="24"/>
              </w:rPr>
              <w:t>Describe whether consideration is given to purchasing government surplus property in lieu of purchasing new equipment. If so, include the process for conducting this type of procurement.</w:t>
            </w:r>
          </w:p>
          <w:p w:rsidR="005D0AB8" w:rsidRPr="00F565D8" w:rsidRDefault="005D0AB8" w:rsidP="00D15C37">
            <w:pPr>
              <w:rPr>
                <w:rFonts w:cs="Arial"/>
                <w:szCs w:val="24"/>
              </w:rPr>
            </w:pPr>
          </w:p>
        </w:tc>
        <w:tc>
          <w:tcPr>
            <w:tcW w:w="1620" w:type="dxa"/>
          </w:tcPr>
          <w:p w:rsidR="005D0AB8" w:rsidRPr="0007380B" w:rsidRDefault="005D0AB8" w:rsidP="005C643F">
            <w:pPr>
              <w:jc w:val="center"/>
              <w:rPr>
                <w:rFonts w:cs="Arial"/>
                <w:bCs/>
                <w:szCs w:val="24"/>
              </w:rPr>
            </w:pPr>
            <w:r w:rsidRPr="0007380B">
              <w:rPr>
                <w:rFonts w:cs="Arial"/>
                <w:bCs/>
                <w:szCs w:val="24"/>
              </w:rPr>
              <w:t>Yes</w:t>
            </w:r>
            <w:r>
              <w:rPr>
                <w:rFonts w:cs="Arial"/>
                <w:bCs/>
                <w:szCs w:val="24"/>
              </w:rPr>
              <w:t xml:space="preserve"> / No</w:t>
            </w:r>
          </w:p>
        </w:tc>
      </w:tr>
      <w:tr w:rsidR="005D0AB8" w:rsidRPr="0007380B" w:rsidTr="00305D56">
        <w:trPr>
          <w:cantSplit/>
          <w:trHeight w:val="1241"/>
          <w:tblHeader/>
        </w:trPr>
        <w:tc>
          <w:tcPr>
            <w:tcW w:w="8550" w:type="dxa"/>
            <w:hideMark/>
          </w:tcPr>
          <w:p w:rsidR="005D0AB8" w:rsidRPr="0007380B" w:rsidRDefault="005D0AB8" w:rsidP="005C643F">
            <w:pPr>
              <w:rPr>
                <w:rFonts w:cs="Arial"/>
                <w:szCs w:val="24"/>
              </w:rPr>
            </w:pPr>
            <w:r w:rsidRPr="0007380B">
              <w:rPr>
                <w:rFonts w:cs="Arial"/>
                <w:b/>
                <w:bCs/>
                <w:szCs w:val="24"/>
              </w:rPr>
              <w:t xml:space="preserve">Small and Minority Businesses, Women Business Enterprises, and Labor Surplus Area Firms </w:t>
            </w:r>
            <w:r w:rsidRPr="0007380B">
              <w:rPr>
                <w:rFonts w:cs="Arial"/>
                <w:bCs/>
                <w:szCs w:val="24"/>
              </w:rPr>
              <w:t xml:space="preserve">(2 </w:t>
            </w:r>
            <w:r w:rsidRPr="0007380B">
              <w:rPr>
                <w:rFonts w:cs="Arial"/>
                <w:bCs/>
                <w:i/>
                <w:iCs/>
                <w:szCs w:val="24"/>
              </w:rPr>
              <w:t>CFR</w:t>
            </w:r>
            <w:r w:rsidRPr="0007380B">
              <w:rPr>
                <w:rFonts w:cs="Arial"/>
                <w:bCs/>
                <w:iCs/>
                <w:szCs w:val="24"/>
              </w:rPr>
              <w:t>,</w:t>
            </w:r>
            <w:r w:rsidRPr="0007380B">
              <w:rPr>
                <w:rFonts w:cs="Arial"/>
                <w:bCs/>
                <w:szCs w:val="24"/>
              </w:rPr>
              <w:t xml:space="preserve"> Section 200.321): </w:t>
            </w:r>
            <w:r w:rsidRPr="0007380B">
              <w:rPr>
                <w:rFonts w:cs="Arial"/>
                <w:szCs w:val="24"/>
              </w:rPr>
              <w:t>Describe the affirmative process for ensuring that small and minority businesses, women business enterprises, and labor surplus area firms are used when possible.</w:t>
            </w:r>
          </w:p>
          <w:p w:rsidR="005D0AB8" w:rsidRPr="0007380B" w:rsidRDefault="005D0AB8" w:rsidP="005C643F">
            <w:pPr>
              <w:rPr>
                <w:rFonts w:cs="Arial"/>
                <w:szCs w:val="24"/>
              </w:rPr>
            </w:pPr>
          </w:p>
        </w:tc>
        <w:tc>
          <w:tcPr>
            <w:tcW w:w="1620" w:type="dxa"/>
            <w:shd w:val="clear" w:color="auto" w:fill="BFBFBF" w:themeFill="background1" w:themeFillShade="BF"/>
          </w:tcPr>
          <w:p w:rsidR="005D0AB8" w:rsidRPr="0007380B" w:rsidRDefault="005D0AB8" w:rsidP="005C643F">
            <w:pPr>
              <w:jc w:val="center"/>
              <w:rPr>
                <w:rFonts w:cs="Arial"/>
                <w:bCs/>
                <w:szCs w:val="24"/>
              </w:rPr>
            </w:pPr>
            <w:r w:rsidRPr="0007380B">
              <w:rPr>
                <w:rFonts w:cs="Arial"/>
                <w:bCs/>
                <w:szCs w:val="24"/>
              </w:rPr>
              <w:t>Required for SNP Operators</w:t>
            </w:r>
          </w:p>
        </w:tc>
      </w:tr>
      <w:tr w:rsidR="005D0AB8" w:rsidRPr="0007380B" w:rsidTr="00305D56">
        <w:trPr>
          <w:cantSplit/>
          <w:trHeight w:val="1079"/>
          <w:tblHeader/>
        </w:trPr>
        <w:tc>
          <w:tcPr>
            <w:tcW w:w="8550" w:type="dxa"/>
          </w:tcPr>
          <w:p w:rsidR="005D0AB8" w:rsidRPr="00EC49D0" w:rsidRDefault="005D0AB8" w:rsidP="005C643F">
            <w:pPr>
              <w:spacing w:line="259" w:lineRule="auto"/>
              <w:rPr>
                <w:rFonts w:cs="Arial"/>
                <w:szCs w:val="24"/>
              </w:rPr>
            </w:pPr>
            <w:r w:rsidRPr="0007380B">
              <w:rPr>
                <w:rFonts w:cs="Arial"/>
                <w:b/>
                <w:bCs/>
                <w:szCs w:val="24"/>
              </w:rPr>
              <w:t xml:space="preserve">Intergovernmental Procurement </w:t>
            </w:r>
            <w:r w:rsidRPr="0007380B">
              <w:rPr>
                <w:rFonts w:cs="Arial"/>
                <w:bCs/>
                <w:szCs w:val="24"/>
              </w:rPr>
              <w:t xml:space="preserve">(2 </w:t>
            </w:r>
            <w:r w:rsidRPr="0007380B">
              <w:rPr>
                <w:rFonts w:cs="Arial"/>
                <w:bCs/>
                <w:i/>
                <w:iCs/>
                <w:szCs w:val="24"/>
              </w:rPr>
              <w:t>CFR</w:t>
            </w:r>
            <w:r w:rsidRPr="0007380B">
              <w:rPr>
                <w:rFonts w:cs="Arial"/>
                <w:bCs/>
                <w:iCs/>
                <w:szCs w:val="24"/>
              </w:rPr>
              <w:t>, Section</w:t>
            </w:r>
            <w:r w:rsidRPr="0007380B">
              <w:rPr>
                <w:rFonts w:cs="Arial"/>
                <w:bCs/>
                <w:szCs w:val="24"/>
              </w:rPr>
              <w:t xml:space="preserve"> 200.318[e], USDA Policy Memo SP 05-2017): </w:t>
            </w:r>
            <w:r w:rsidRPr="0007380B">
              <w:rPr>
                <w:rFonts w:cs="Arial"/>
                <w:szCs w:val="24"/>
              </w:rPr>
              <w:t>Describe the process for conducting state and local intergovernmental purchases.</w:t>
            </w:r>
          </w:p>
        </w:tc>
        <w:tc>
          <w:tcPr>
            <w:tcW w:w="1620" w:type="dxa"/>
          </w:tcPr>
          <w:p w:rsidR="005D0AB8" w:rsidRPr="0007380B" w:rsidRDefault="005D0AB8" w:rsidP="005C643F">
            <w:pPr>
              <w:jc w:val="center"/>
              <w:rPr>
                <w:rFonts w:cs="Arial"/>
                <w:bCs/>
                <w:szCs w:val="24"/>
              </w:rPr>
            </w:pPr>
            <w:r w:rsidRPr="0007380B">
              <w:rPr>
                <w:rFonts w:cs="Arial"/>
                <w:bCs/>
                <w:szCs w:val="24"/>
              </w:rPr>
              <w:t>Yes</w:t>
            </w:r>
            <w:r>
              <w:rPr>
                <w:rFonts w:cs="Arial"/>
                <w:bCs/>
                <w:szCs w:val="24"/>
              </w:rPr>
              <w:t xml:space="preserve"> / No</w:t>
            </w:r>
          </w:p>
        </w:tc>
      </w:tr>
      <w:tr w:rsidR="005D0AB8" w:rsidRPr="0007380B" w:rsidTr="00305D56">
        <w:trPr>
          <w:cantSplit/>
          <w:trHeight w:val="1052"/>
          <w:tblHeader/>
        </w:trPr>
        <w:tc>
          <w:tcPr>
            <w:tcW w:w="8550" w:type="dxa"/>
          </w:tcPr>
          <w:p w:rsidR="005D0AB8" w:rsidRPr="00EC49D0" w:rsidRDefault="005D0AB8" w:rsidP="005C643F">
            <w:pPr>
              <w:spacing w:line="259" w:lineRule="auto"/>
              <w:rPr>
                <w:rFonts w:cs="Arial"/>
                <w:szCs w:val="24"/>
              </w:rPr>
            </w:pPr>
            <w:r w:rsidRPr="0007380B">
              <w:rPr>
                <w:rFonts w:cs="Arial"/>
                <w:b/>
                <w:bCs/>
                <w:szCs w:val="24"/>
              </w:rPr>
              <w:t xml:space="preserve">Cooperative Procurement </w:t>
            </w:r>
            <w:r w:rsidRPr="0007380B">
              <w:rPr>
                <w:rFonts w:cs="Arial"/>
                <w:bCs/>
                <w:szCs w:val="24"/>
              </w:rPr>
              <w:t xml:space="preserve">(2 </w:t>
            </w:r>
            <w:r w:rsidRPr="0007380B">
              <w:rPr>
                <w:rFonts w:cs="Arial"/>
                <w:bCs/>
                <w:i/>
                <w:iCs/>
                <w:szCs w:val="24"/>
              </w:rPr>
              <w:t>CFR</w:t>
            </w:r>
            <w:r w:rsidRPr="0007380B">
              <w:rPr>
                <w:rFonts w:cs="Arial"/>
                <w:bCs/>
                <w:iCs/>
                <w:szCs w:val="24"/>
              </w:rPr>
              <w:t>, Section</w:t>
            </w:r>
            <w:r w:rsidRPr="0007380B">
              <w:rPr>
                <w:rFonts w:cs="Arial"/>
                <w:bCs/>
                <w:szCs w:val="24"/>
              </w:rPr>
              <w:t xml:space="preserve"> 200.318[e]), USDA Policy Memo SP 05-2017): </w:t>
            </w:r>
            <w:r w:rsidRPr="0007380B">
              <w:rPr>
                <w:rFonts w:cs="Arial"/>
                <w:szCs w:val="24"/>
              </w:rPr>
              <w:t>Describe the agency’s role, responsibility, and the process for procuring goods from a purchasing cooperative.</w:t>
            </w:r>
          </w:p>
        </w:tc>
        <w:tc>
          <w:tcPr>
            <w:tcW w:w="1620" w:type="dxa"/>
          </w:tcPr>
          <w:p w:rsidR="005D0AB8" w:rsidRPr="0007380B" w:rsidRDefault="005D0AB8" w:rsidP="005C643F">
            <w:pPr>
              <w:jc w:val="center"/>
              <w:rPr>
                <w:rFonts w:cs="Arial"/>
                <w:bCs/>
                <w:szCs w:val="24"/>
              </w:rPr>
            </w:pPr>
            <w:r w:rsidRPr="0007380B">
              <w:rPr>
                <w:rFonts w:cs="Arial"/>
                <w:bCs/>
                <w:szCs w:val="24"/>
              </w:rPr>
              <w:t>Yes</w:t>
            </w:r>
            <w:r>
              <w:rPr>
                <w:rFonts w:cs="Arial"/>
                <w:bCs/>
                <w:szCs w:val="24"/>
              </w:rPr>
              <w:t xml:space="preserve"> / No</w:t>
            </w:r>
          </w:p>
        </w:tc>
      </w:tr>
      <w:tr w:rsidR="005D0AB8" w:rsidRPr="0007380B" w:rsidTr="00305D56">
        <w:trPr>
          <w:cantSplit/>
          <w:trHeight w:val="2150"/>
          <w:tblHeader/>
        </w:trPr>
        <w:tc>
          <w:tcPr>
            <w:tcW w:w="8550" w:type="dxa"/>
          </w:tcPr>
          <w:p w:rsidR="005D0AB8" w:rsidRPr="0007380B" w:rsidRDefault="005D0AB8" w:rsidP="005C643F">
            <w:pPr>
              <w:rPr>
                <w:rFonts w:cs="Arial"/>
                <w:szCs w:val="24"/>
              </w:rPr>
            </w:pPr>
            <w:proofErr w:type="spellStart"/>
            <w:r w:rsidRPr="0007380B">
              <w:rPr>
                <w:rFonts w:cs="Arial"/>
                <w:b/>
                <w:bCs/>
                <w:szCs w:val="24"/>
              </w:rPr>
              <w:lastRenderedPageBreak/>
              <w:t>Micropurchase</w:t>
            </w:r>
            <w:proofErr w:type="spellEnd"/>
            <w:r w:rsidRPr="0007380B">
              <w:rPr>
                <w:rFonts w:cs="Arial"/>
                <w:b/>
                <w:bCs/>
                <w:szCs w:val="24"/>
              </w:rPr>
              <w:t xml:space="preserve"> Procedures </w:t>
            </w:r>
            <w:r w:rsidRPr="0007380B">
              <w:rPr>
                <w:rFonts w:cs="Arial"/>
                <w:bCs/>
                <w:szCs w:val="24"/>
              </w:rPr>
              <w:t xml:space="preserve">(2 </w:t>
            </w:r>
            <w:r w:rsidRPr="0007380B">
              <w:rPr>
                <w:rFonts w:cs="Arial"/>
                <w:bCs/>
                <w:i/>
                <w:iCs/>
                <w:szCs w:val="24"/>
              </w:rPr>
              <w:t>CFR</w:t>
            </w:r>
            <w:r w:rsidRPr="0007380B">
              <w:rPr>
                <w:rFonts w:cs="Arial"/>
                <w:bCs/>
                <w:iCs/>
                <w:szCs w:val="24"/>
              </w:rPr>
              <w:t xml:space="preserve">, </w:t>
            </w:r>
            <w:r w:rsidRPr="0007380B">
              <w:rPr>
                <w:rFonts w:cs="Arial"/>
                <w:bCs/>
                <w:szCs w:val="24"/>
              </w:rPr>
              <w:t xml:space="preserve">Section 200.320[a]): </w:t>
            </w:r>
            <w:r w:rsidRPr="0007380B">
              <w:rPr>
                <w:rFonts w:cs="Arial"/>
                <w:szCs w:val="24"/>
              </w:rPr>
              <w:t>Describe the process for procuring goods or services when the dollar amount does not exceed $10,000</w:t>
            </w:r>
            <w:r>
              <w:rPr>
                <w:rFonts w:cs="Arial"/>
                <w:szCs w:val="24"/>
              </w:rPr>
              <w:t xml:space="preserve">, or the agency’s relevant </w:t>
            </w:r>
            <w:proofErr w:type="spellStart"/>
            <w:r>
              <w:rPr>
                <w:rFonts w:cs="Arial"/>
                <w:szCs w:val="24"/>
              </w:rPr>
              <w:t>micropurchase</w:t>
            </w:r>
            <w:proofErr w:type="spellEnd"/>
            <w:r>
              <w:rPr>
                <w:rFonts w:cs="Arial"/>
                <w:szCs w:val="24"/>
              </w:rPr>
              <w:t xml:space="preserve"> threshold when lower,</w:t>
            </w:r>
            <w:r w:rsidRPr="0007380B">
              <w:rPr>
                <w:rFonts w:cs="Arial"/>
                <w:szCs w:val="24"/>
              </w:rPr>
              <w:t xml:space="preserve"> per procurement transaction. Describe how purchases are distributed equitably among qualified suppliers, including justification for situations when purchases are not spread equitably among qualified suppliers. Describe procedures for maintaining a log of </w:t>
            </w:r>
            <w:proofErr w:type="spellStart"/>
            <w:r w:rsidRPr="0007380B">
              <w:rPr>
                <w:rFonts w:cs="Arial"/>
                <w:szCs w:val="24"/>
              </w:rPr>
              <w:t>micropurchases</w:t>
            </w:r>
            <w:proofErr w:type="spellEnd"/>
            <w:r w:rsidRPr="0007380B">
              <w:rPr>
                <w:rFonts w:cs="Arial"/>
                <w:szCs w:val="24"/>
              </w:rPr>
              <w:t xml:space="preserve"> by suppliers.</w:t>
            </w:r>
          </w:p>
        </w:tc>
        <w:tc>
          <w:tcPr>
            <w:tcW w:w="1620" w:type="dxa"/>
          </w:tcPr>
          <w:p w:rsidR="005D0AB8" w:rsidRPr="0007380B" w:rsidRDefault="005D0AB8" w:rsidP="005C643F">
            <w:pPr>
              <w:jc w:val="center"/>
              <w:rPr>
                <w:rFonts w:cs="Arial"/>
                <w:bCs/>
                <w:szCs w:val="24"/>
              </w:rPr>
            </w:pPr>
            <w:r w:rsidRPr="0007380B">
              <w:rPr>
                <w:rFonts w:cs="Arial"/>
                <w:bCs/>
                <w:szCs w:val="24"/>
              </w:rPr>
              <w:t>Yes</w:t>
            </w:r>
            <w:r>
              <w:rPr>
                <w:rFonts w:cs="Arial"/>
                <w:bCs/>
                <w:szCs w:val="24"/>
              </w:rPr>
              <w:t xml:space="preserve"> / No</w:t>
            </w:r>
          </w:p>
        </w:tc>
      </w:tr>
      <w:tr w:rsidR="005D0AB8" w:rsidRPr="0007380B" w:rsidTr="00305D56">
        <w:trPr>
          <w:cantSplit/>
          <w:trHeight w:val="1259"/>
          <w:tblHeader/>
        </w:trPr>
        <w:tc>
          <w:tcPr>
            <w:tcW w:w="8550" w:type="dxa"/>
          </w:tcPr>
          <w:p w:rsidR="005D0AB8" w:rsidRPr="0007380B" w:rsidRDefault="005D0AB8" w:rsidP="005C643F">
            <w:pPr>
              <w:rPr>
                <w:rFonts w:cs="Arial"/>
                <w:szCs w:val="24"/>
              </w:rPr>
            </w:pPr>
            <w:r w:rsidRPr="0007380B">
              <w:rPr>
                <w:rFonts w:cs="Arial"/>
                <w:b/>
                <w:bCs/>
                <w:szCs w:val="24"/>
              </w:rPr>
              <w:t xml:space="preserve">Small Purchase Procedures </w:t>
            </w:r>
            <w:r w:rsidRPr="0007380B">
              <w:rPr>
                <w:rFonts w:cs="Arial"/>
                <w:bCs/>
                <w:szCs w:val="24"/>
              </w:rPr>
              <w:t xml:space="preserve">(2 </w:t>
            </w:r>
            <w:r w:rsidRPr="0007380B">
              <w:rPr>
                <w:rFonts w:cs="Arial"/>
                <w:bCs/>
                <w:i/>
                <w:iCs/>
                <w:szCs w:val="24"/>
              </w:rPr>
              <w:t>CFR</w:t>
            </w:r>
            <w:r w:rsidRPr="0007380B">
              <w:rPr>
                <w:rFonts w:cs="Arial"/>
                <w:bCs/>
                <w:iCs/>
                <w:szCs w:val="24"/>
              </w:rPr>
              <w:t>,</w:t>
            </w:r>
            <w:r w:rsidRPr="0007380B">
              <w:rPr>
                <w:rFonts w:cs="Arial"/>
                <w:bCs/>
                <w:szCs w:val="24"/>
              </w:rPr>
              <w:t xml:space="preserve"> Section 200.320[b]): </w:t>
            </w:r>
            <w:r w:rsidRPr="0007380B">
              <w:rPr>
                <w:rFonts w:cs="Arial"/>
                <w:szCs w:val="24"/>
              </w:rPr>
              <w:t>Describe the process for procuring goods or services when the total dollar amount is</w:t>
            </w:r>
            <w:r w:rsidRPr="0007380B">
              <w:rPr>
                <w:rFonts w:cs="Arial"/>
                <w:b/>
                <w:bCs/>
                <w:szCs w:val="24"/>
              </w:rPr>
              <w:t xml:space="preserve"> </w:t>
            </w:r>
            <w:r w:rsidRPr="0007380B">
              <w:rPr>
                <w:rFonts w:cs="Arial"/>
                <w:bCs/>
                <w:szCs w:val="24"/>
              </w:rPr>
              <w:t>less than</w:t>
            </w:r>
            <w:r>
              <w:rPr>
                <w:rFonts w:cs="Arial"/>
                <w:bCs/>
                <w:szCs w:val="24"/>
              </w:rPr>
              <w:t xml:space="preserve"> the federal small purchase threshold of</w:t>
            </w:r>
            <w:r w:rsidRPr="0007380B">
              <w:rPr>
                <w:rFonts w:cs="Arial"/>
                <w:bCs/>
                <w:szCs w:val="24"/>
              </w:rPr>
              <w:t xml:space="preserve"> $250,000, or</w:t>
            </w:r>
            <w:r w:rsidRPr="0007380B">
              <w:rPr>
                <w:rFonts w:cs="Arial"/>
                <w:szCs w:val="24"/>
              </w:rPr>
              <w:t xml:space="preserve"> the agency’s relevant small purchase threshold per procurement </w:t>
            </w:r>
            <w:r>
              <w:rPr>
                <w:rFonts w:cs="Arial"/>
                <w:szCs w:val="24"/>
              </w:rPr>
              <w:t>transaction (when lower).</w:t>
            </w:r>
            <w:r w:rsidRPr="0007380B">
              <w:rPr>
                <w:rFonts w:cs="Arial"/>
                <w:szCs w:val="24"/>
              </w:rPr>
              <w:t xml:space="preserve"> </w:t>
            </w:r>
          </w:p>
        </w:tc>
        <w:tc>
          <w:tcPr>
            <w:tcW w:w="1620" w:type="dxa"/>
          </w:tcPr>
          <w:p w:rsidR="005D0AB8" w:rsidRPr="0007380B" w:rsidRDefault="005D0AB8" w:rsidP="005C643F">
            <w:pPr>
              <w:jc w:val="center"/>
              <w:rPr>
                <w:rFonts w:cs="Arial"/>
                <w:bCs/>
                <w:szCs w:val="24"/>
              </w:rPr>
            </w:pPr>
            <w:r w:rsidRPr="0007380B">
              <w:rPr>
                <w:rFonts w:cs="Arial"/>
                <w:bCs/>
                <w:szCs w:val="24"/>
              </w:rPr>
              <w:t>Yes</w:t>
            </w:r>
            <w:r>
              <w:rPr>
                <w:rFonts w:cs="Arial"/>
                <w:bCs/>
                <w:szCs w:val="24"/>
              </w:rPr>
              <w:t xml:space="preserve"> / No</w:t>
            </w:r>
          </w:p>
        </w:tc>
      </w:tr>
      <w:tr w:rsidR="005D0AB8" w:rsidRPr="0007380B" w:rsidTr="00305D56">
        <w:trPr>
          <w:cantSplit/>
          <w:trHeight w:val="1259"/>
          <w:tblHeader/>
        </w:trPr>
        <w:tc>
          <w:tcPr>
            <w:tcW w:w="8550" w:type="dxa"/>
          </w:tcPr>
          <w:p w:rsidR="005D0AB8" w:rsidRPr="0007380B" w:rsidRDefault="005D0AB8" w:rsidP="005C643F">
            <w:pPr>
              <w:rPr>
                <w:rFonts w:cs="Arial"/>
                <w:szCs w:val="24"/>
              </w:rPr>
            </w:pPr>
            <w:r w:rsidRPr="0007380B">
              <w:rPr>
                <w:rFonts w:cs="Arial"/>
                <w:b/>
                <w:bCs/>
                <w:szCs w:val="24"/>
              </w:rPr>
              <w:t xml:space="preserve">Formal Purchase Procedures </w:t>
            </w:r>
            <w:r w:rsidRPr="0007380B">
              <w:rPr>
                <w:rFonts w:cs="Arial"/>
                <w:bCs/>
                <w:szCs w:val="24"/>
              </w:rPr>
              <w:t xml:space="preserve">(2 </w:t>
            </w:r>
            <w:r w:rsidRPr="0007380B">
              <w:rPr>
                <w:rFonts w:cs="Arial"/>
                <w:bCs/>
                <w:i/>
                <w:iCs/>
                <w:szCs w:val="24"/>
              </w:rPr>
              <w:t>CFR</w:t>
            </w:r>
            <w:r w:rsidRPr="0007380B">
              <w:rPr>
                <w:rFonts w:cs="Arial"/>
                <w:bCs/>
                <w:iCs/>
                <w:szCs w:val="24"/>
              </w:rPr>
              <w:t>,</w:t>
            </w:r>
            <w:r w:rsidRPr="0007380B">
              <w:rPr>
                <w:rFonts w:cs="Arial"/>
                <w:bCs/>
                <w:szCs w:val="24"/>
              </w:rPr>
              <w:t xml:space="preserve"> Section 200.320[c][d]): </w:t>
            </w:r>
            <w:r w:rsidRPr="0007380B">
              <w:rPr>
                <w:rFonts w:cs="Arial"/>
                <w:szCs w:val="24"/>
              </w:rPr>
              <w:t>Describe the process for procuring goods or services when the dollar amount exceeds $250,000, or the agency’s relevant small purchase threshold per procurement transaction</w:t>
            </w:r>
            <w:r>
              <w:rPr>
                <w:rFonts w:cs="Arial"/>
                <w:szCs w:val="24"/>
              </w:rPr>
              <w:t xml:space="preserve"> (when lower)</w:t>
            </w:r>
            <w:r w:rsidRPr="0007380B">
              <w:rPr>
                <w:rFonts w:cs="Arial"/>
                <w:szCs w:val="24"/>
              </w:rPr>
              <w:t>.</w:t>
            </w:r>
          </w:p>
        </w:tc>
        <w:tc>
          <w:tcPr>
            <w:tcW w:w="1620" w:type="dxa"/>
          </w:tcPr>
          <w:p w:rsidR="005D0AB8" w:rsidRPr="0007380B" w:rsidRDefault="005D0AB8" w:rsidP="005C643F">
            <w:pPr>
              <w:jc w:val="center"/>
              <w:rPr>
                <w:rFonts w:cs="Arial"/>
                <w:bCs/>
                <w:szCs w:val="24"/>
              </w:rPr>
            </w:pPr>
            <w:r w:rsidRPr="0007380B">
              <w:rPr>
                <w:rFonts w:cs="Arial"/>
                <w:bCs/>
                <w:szCs w:val="24"/>
              </w:rPr>
              <w:t>Yes</w:t>
            </w:r>
            <w:r>
              <w:rPr>
                <w:rFonts w:cs="Arial"/>
                <w:bCs/>
                <w:szCs w:val="24"/>
              </w:rPr>
              <w:t xml:space="preserve"> / No</w:t>
            </w:r>
          </w:p>
        </w:tc>
      </w:tr>
      <w:tr w:rsidR="005D0AB8" w:rsidRPr="0007380B" w:rsidTr="00305D56">
        <w:trPr>
          <w:cantSplit/>
          <w:trHeight w:val="755"/>
          <w:tblHeader/>
        </w:trPr>
        <w:tc>
          <w:tcPr>
            <w:tcW w:w="8550" w:type="dxa"/>
          </w:tcPr>
          <w:p w:rsidR="005D0AB8" w:rsidRPr="0007380B" w:rsidRDefault="005D0AB8" w:rsidP="00F225F6">
            <w:pPr>
              <w:pStyle w:val="Default"/>
              <w:rPr>
                <w:rFonts w:ascii="Arial" w:hAnsi="Arial" w:cs="Arial"/>
              </w:rPr>
            </w:pPr>
            <w:r w:rsidRPr="0007380B">
              <w:rPr>
                <w:rFonts w:ascii="Arial" w:hAnsi="Arial" w:cs="Arial"/>
                <w:b/>
                <w:bCs/>
              </w:rPr>
              <w:t xml:space="preserve">Noncompetitive Procurement </w:t>
            </w:r>
            <w:r w:rsidRPr="0007380B">
              <w:rPr>
                <w:rFonts w:ascii="Arial" w:hAnsi="Arial" w:cs="Arial"/>
                <w:bCs/>
              </w:rPr>
              <w:t xml:space="preserve">(2 </w:t>
            </w:r>
            <w:r w:rsidRPr="0007380B">
              <w:rPr>
                <w:rFonts w:ascii="Arial" w:hAnsi="Arial" w:cs="Arial"/>
                <w:bCs/>
                <w:i/>
                <w:iCs/>
              </w:rPr>
              <w:t>CFR</w:t>
            </w:r>
            <w:r w:rsidRPr="0007380B">
              <w:rPr>
                <w:rFonts w:ascii="Arial" w:hAnsi="Arial" w:cs="Arial"/>
                <w:bCs/>
                <w:iCs/>
              </w:rPr>
              <w:t xml:space="preserve">, </w:t>
            </w:r>
            <w:r w:rsidRPr="0007380B">
              <w:rPr>
                <w:rFonts w:ascii="Arial" w:hAnsi="Arial" w:cs="Arial"/>
                <w:bCs/>
              </w:rPr>
              <w:t xml:space="preserve">Section 200.320[f]): </w:t>
            </w:r>
            <w:r w:rsidRPr="0007380B">
              <w:rPr>
                <w:rFonts w:ascii="Arial" w:hAnsi="Arial" w:cs="Arial"/>
              </w:rPr>
              <w:t>Describe the process for awarding a sole source or noncompetitive contract.</w:t>
            </w:r>
          </w:p>
        </w:tc>
        <w:tc>
          <w:tcPr>
            <w:tcW w:w="1620" w:type="dxa"/>
          </w:tcPr>
          <w:p w:rsidR="005D0AB8" w:rsidRDefault="005D0AB8" w:rsidP="00F225F6">
            <w:pPr>
              <w:jc w:val="center"/>
            </w:pPr>
            <w:r w:rsidRPr="00685406">
              <w:rPr>
                <w:rFonts w:cs="Arial"/>
                <w:bCs/>
                <w:szCs w:val="24"/>
              </w:rPr>
              <w:t>Yes / No</w:t>
            </w:r>
          </w:p>
        </w:tc>
      </w:tr>
      <w:tr w:rsidR="005D0AB8" w:rsidRPr="0007380B" w:rsidTr="00305D56">
        <w:trPr>
          <w:cantSplit/>
          <w:trHeight w:val="980"/>
          <w:tblHeader/>
        </w:trPr>
        <w:tc>
          <w:tcPr>
            <w:tcW w:w="8550" w:type="dxa"/>
          </w:tcPr>
          <w:p w:rsidR="005D0AB8" w:rsidRPr="0007380B" w:rsidRDefault="005D0AB8" w:rsidP="00F225F6">
            <w:pPr>
              <w:rPr>
                <w:rFonts w:cs="Arial"/>
                <w:szCs w:val="24"/>
              </w:rPr>
            </w:pPr>
            <w:r w:rsidRPr="0007380B">
              <w:rPr>
                <w:rFonts w:cs="Arial"/>
                <w:b/>
                <w:bCs/>
                <w:szCs w:val="24"/>
              </w:rPr>
              <w:t xml:space="preserve">Cost and Price Analysis </w:t>
            </w:r>
            <w:r w:rsidRPr="0007380B">
              <w:rPr>
                <w:rFonts w:cs="Arial"/>
                <w:bCs/>
                <w:szCs w:val="24"/>
              </w:rPr>
              <w:t xml:space="preserve">(2 </w:t>
            </w:r>
            <w:r w:rsidRPr="0007380B">
              <w:rPr>
                <w:rFonts w:cs="Arial"/>
                <w:bCs/>
                <w:i/>
                <w:iCs/>
                <w:szCs w:val="24"/>
              </w:rPr>
              <w:t>CFR</w:t>
            </w:r>
            <w:r w:rsidRPr="0007380B">
              <w:rPr>
                <w:rFonts w:cs="Arial"/>
                <w:bCs/>
                <w:iCs/>
                <w:szCs w:val="24"/>
              </w:rPr>
              <w:t>,</w:t>
            </w:r>
            <w:r w:rsidRPr="0007380B">
              <w:rPr>
                <w:rFonts w:cs="Arial"/>
                <w:bCs/>
                <w:szCs w:val="24"/>
              </w:rPr>
              <w:t xml:space="preserve"> Section 200.323):</w:t>
            </w:r>
            <w:r w:rsidRPr="0007380B">
              <w:rPr>
                <w:rFonts w:cs="Arial"/>
                <w:szCs w:val="24"/>
              </w:rPr>
              <w:t xml:space="preserve"> Describe the process for performing a cost or price analysis for every procurement action in excess of the small purchase threshold.</w:t>
            </w:r>
          </w:p>
        </w:tc>
        <w:tc>
          <w:tcPr>
            <w:tcW w:w="1620" w:type="dxa"/>
          </w:tcPr>
          <w:p w:rsidR="005D0AB8" w:rsidRDefault="005D0AB8" w:rsidP="00F225F6">
            <w:pPr>
              <w:jc w:val="center"/>
            </w:pPr>
            <w:r w:rsidRPr="00685406">
              <w:rPr>
                <w:rFonts w:cs="Arial"/>
                <w:bCs/>
                <w:szCs w:val="24"/>
              </w:rPr>
              <w:t>Yes / No</w:t>
            </w:r>
          </w:p>
        </w:tc>
      </w:tr>
      <w:tr w:rsidR="005D0AB8" w:rsidRPr="0007380B" w:rsidTr="00305D56">
        <w:trPr>
          <w:cantSplit/>
          <w:trHeight w:val="1250"/>
          <w:tblHeader/>
        </w:trPr>
        <w:tc>
          <w:tcPr>
            <w:tcW w:w="8550" w:type="dxa"/>
          </w:tcPr>
          <w:p w:rsidR="005D0AB8" w:rsidRPr="00647275" w:rsidRDefault="005D0AB8" w:rsidP="00F225F6">
            <w:pPr>
              <w:tabs>
                <w:tab w:val="left" w:pos="2748"/>
              </w:tabs>
              <w:rPr>
                <w:rFonts w:cs="Arial"/>
                <w:szCs w:val="24"/>
              </w:rPr>
            </w:pPr>
            <w:r>
              <w:rPr>
                <w:rFonts w:cs="Arial"/>
                <w:b/>
                <w:bCs/>
                <w:szCs w:val="24"/>
              </w:rPr>
              <w:t>Clear Description</w:t>
            </w:r>
            <w:r w:rsidRPr="0007380B">
              <w:rPr>
                <w:rFonts w:cs="Arial"/>
                <w:b/>
                <w:bCs/>
                <w:szCs w:val="24"/>
              </w:rPr>
              <w:t xml:space="preserve"> </w:t>
            </w:r>
            <w:r w:rsidRPr="0007380B">
              <w:rPr>
                <w:rFonts w:cs="Arial"/>
                <w:bCs/>
                <w:szCs w:val="24"/>
              </w:rPr>
              <w:t xml:space="preserve">(2 </w:t>
            </w:r>
            <w:r w:rsidRPr="0007380B">
              <w:rPr>
                <w:rFonts w:cs="Arial"/>
                <w:bCs/>
                <w:i/>
                <w:iCs/>
                <w:szCs w:val="24"/>
              </w:rPr>
              <w:t>CFR</w:t>
            </w:r>
            <w:r w:rsidRPr="0007380B">
              <w:rPr>
                <w:rFonts w:cs="Arial"/>
                <w:bCs/>
                <w:iCs/>
                <w:szCs w:val="24"/>
              </w:rPr>
              <w:t>,</w:t>
            </w:r>
            <w:r>
              <w:rPr>
                <w:rFonts w:cs="Arial"/>
                <w:bCs/>
                <w:szCs w:val="24"/>
              </w:rPr>
              <w:t xml:space="preserve"> Section 200.319[c][1]</w:t>
            </w:r>
            <w:r w:rsidRPr="0007380B">
              <w:rPr>
                <w:rFonts w:cs="Arial"/>
                <w:bCs/>
                <w:szCs w:val="24"/>
              </w:rPr>
              <w:t>):</w:t>
            </w:r>
            <w:r w:rsidRPr="0007380B">
              <w:rPr>
                <w:rFonts w:cs="Arial"/>
                <w:szCs w:val="24"/>
              </w:rPr>
              <w:t xml:space="preserve"> Desc</w:t>
            </w:r>
            <w:r>
              <w:rPr>
                <w:rFonts w:cs="Arial"/>
                <w:szCs w:val="24"/>
              </w:rPr>
              <w:t>ribe the process for performing ensuring all solicitations incorporate clear and accurate descriptions of the technical requirements for the material, product, or service to be procured.</w:t>
            </w:r>
          </w:p>
        </w:tc>
        <w:tc>
          <w:tcPr>
            <w:tcW w:w="1620" w:type="dxa"/>
          </w:tcPr>
          <w:p w:rsidR="005D0AB8" w:rsidRDefault="005D0AB8" w:rsidP="00F225F6">
            <w:pPr>
              <w:jc w:val="center"/>
            </w:pPr>
            <w:r w:rsidRPr="00685406">
              <w:rPr>
                <w:rFonts w:cs="Arial"/>
                <w:bCs/>
                <w:szCs w:val="24"/>
              </w:rPr>
              <w:t>Yes / No</w:t>
            </w:r>
          </w:p>
        </w:tc>
      </w:tr>
      <w:tr w:rsidR="005D0AB8" w:rsidRPr="0007380B" w:rsidTr="00305D56">
        <w:trPr>
          <w:cantSplit/>
          <w:trHeight w:val="980"/>
          <w:tblHeader/>
        </w:trPr>
        <w:tc>
          <w:tcPr>
            <w:tcW w:w="8550" w:type="dxa"/>
          </w:tcPr>
          <w:p w:rsidR="005D0AB8" w:rsidRPr="0007380B" w:rsidRDefault="005D0AB8" w:rsidP="00F225F6">
            <w:pPr>
              <w:rPr>
                <w:rFonts w:cs="Arial"/>
                <w:szCs w:val="24"/>
              </w:rPr>
            </w:pPr>
            <w:r w:rsidRPr="0007380B">
              <w:rPr>
                <w:rFonts w:cs="Arial"/>
                <w:b/>
                <w:bCs/>
                <w:szCs w:val="24"/>
              </w:rPr>
              <w:t xml:space="preserve">Contractor Involvement </w:t>
            </w:r>
            <w:r w:rsidRPr="0007380B">
              <w:rPr>
                <w:rFonts w:cs="Arial"/>
                <w:bCs/>
                <w:szCs w:val="24"/>
              </w:rPr>
              <w:t xml:space="preserve">(2 </w:t>
            </w:r>
            <w:r w:rsidRPr="0007380B">
              <w:rPr>
                <w:rFonts w:cs="Arial"/>
                <w:bCs/>
                <w:i/>
                <w:iCs/>
                <w:szCs w:val="24"/>
              </w:rPr>
              <w:t>CFR</w:t>
            </w:r>
            <w:r w:rsidRPr="0007380B">
              <w:rPr>
                <w:rFonts w:cs="Arial"/>
                <w:bCs/>
                <w:iCs/>
                <w:szCs w:val="24"/>
              </w:rPr>
              <w:t>,</w:t>
            </w:r>
            <w:r w:rsidRPr="0007380B">
              <w:rPr>
                <w:rFonts w:cs="Arial"/>
                <w:bCs/>
                <w:szCs w:val="24"/>
              </w:rPr>
              <w:t xml:space="preserve"> Section 200.319[a]):</w:t>
            </w:r>
            <w:r w:rsidRPr="0007380B">
              <w:rPr>
                <w:rFonts w:cs="Arial"/>
                <w:szCs w:val="24"/>
              </w:rPr>
              <w:t xml:space="preserve"> Describe the process for ensuring that potential contractors are prohibited from developing specifications, bid documents, and contracts. </w:t>
            </w:r>
          </w:p>
        </w:tc>
        <w:tc>
          <w:tcPr>
            <w:tcW w:w="1620" w:type="dxa"/>
          </w:tcPr>
          <w:p w:rsidR="005D0AB8" w:rsidRDefault="005D0AB8" w:rsidP="00F225F6">
            <w:pPr>
              <w:jc w:val="center"/>
            </w:pPr>
            <w:r w:rsidRPr="00685406">
              <w:rPr>
                <w:rFonts w:cs="Arial"/>
                <w:bCs/>
                <w:szCs w:val="24"/>
              </w:rPr>
              <w:t>Yes / No</w:t>
            </w:r>
          </w:p>
        </w:tc>
      </w:tr>
      <w:tr w:rsidR="005D0AB8" w:rsidRPr="0007380B" w:rsidTr="00305D56">
        <w:trPr>
          <w:cantSplit/>
          <w:trHeight w:val="980"/>
          <w:tblHeader/>
        </w:trPr>
        <w:tc>
          <w:tcPr>
            <w:tcW w:w="8550" w:type="dxa"/>
          </w:tcPr>
          <w:p w:rsidR="005D0AB8" w:rsidRPr="0007380B" w:rsidRDefault="005D0AB8" w:rsidP="00F225F6">
            <w:pPr>
              <w:rPr>
                <w:rFonts w:cs="Arial"/>
                <w:szCs w:val="24"/>
              </w:rPr>
            </w:pPr>
            <w:r w:rsidRPr="0007380B">
              <w:rPr>
                <w:rFonts w:cs="Arial"/>
                <w:b/>
                <w:bCs/>
                <w:szCs w:val="24"/>
              </w:rPr>
              <w:t xml:space="preserve">Geographic Preference </w:t>
            </w:r>
            <w:r w:rsidRPr="0007380B">
              <w:rPr>
                <w:rFonts w:cs="Arial"/>
                <w:bCs/>
                <w:szCs w:val="24"/>
              </w:rPr>
              <w:t>(</w:t>
            </w:r>
            <w:r w:rsidRPr="0007380B">
              <w:rPr>
                <w:rFonts w:cs="Arial"/>
                <w:bCs/>
                <w:i/>
                <w:iCs/>
                <w:szCs w:val="24"/>
              </w:rPr>
              <w:t>7 CFR</w:t>
            </w:r>
            <w:r w:rsidRPr="0007380B">
              <w:rPr>
                <w:rFonts w:cs="Arial"/>
                <w:bCs/>
                <w:iCs/>
                <w:szCs w:val="24"/>
              </w:rPr>
              <w:t>,</w:t>
            </w:r>
            <w:r w:rsidRPr="0007380B">
              <w:rPr>
                <w:rFonts w:cs="Arial"/>
                <w:bCs/>
                <w:szCs w:val="24"/>
              </w:rPr>
              <w:t xml:space="preserve"> Section 210.21[g]):</w:t>
            </w:r>
            <w:r w:rsidRPr="0007380B">
              <w:rPr>
                <w:rFonts w:cs="Arial"/>
                <w:szCs w:val="24"/>
              </w:rPr>
              <w:t xml:space="preserve"> Describe the process for applying a geographic preference and how the agency ensures that geographic preference language.</w:t>
            </w:r>
          </w:p>
        </w:tc>
        <w:tc>
          <w:tcPr>
            <w:tcW w:w="1620" w:type="dxa"/>
          </w:tcPr>
          <w:p w:rsidR="005D0AB8" w:rsidRDefault="005D0AB8" w:rsidP="00F225F6">
            <w:pPr>
              <w:jc w:val="center"/>
            </w:pPr>
            <w:r w:rsidRPr="00685406">
              <w:rPr>
                <w:rFonts w:cs="Arial"/>
                <w:bCs/>
                <w:szCs w:val="24"/>
              </w:rPr>
              <w:t>Yes / No</w:t>
            </w:r>
          </w:p>
        </w:tc>
      </w:tr>
      <w:tr w:rsidR="005D0AB8" w:rsidRPr="0007380B" w:rsidTr="00305D56">
        <w:trPr>
          <w:cantSplit/>
          <w:trHeight w:val="1025"/>
          <w:tblHeader/>
        </w:trPr>
        <w:tc>
          <w:tcPr>
            <w:tcW w:w="8550" w:type="dxa"/>
          </w:tcPr>
          <w:p w:rsidR="005D0AB8" w:rsidRPr="0007380B" w:rsidRDefault="005D0AB8" w:rsidP="00F225F6">
            <w:pPr>
              <w:spacing w:line="259" w:lineRule="auto"/>
              <w:rPr>
                <w:rFonts w:cs="Arial"/>
                <w:szCs w:val="24"/>
              </w:rPr>
            </w:pPr>
            <w:r w:rsidRPr="0007380B">
              <w:rPr>
                <w:rFonts w:cs="Arial"/>
                <w:b/>
                <w:bCs/>
                <w:szCs w:val="24"/>
              </w:rPr>
              <w:t xml:space="preserve">Brand Name or Equivalent </w:t>
            </w:r>
            <w:r w:rsidRPr="0007380B">
              <w:rPr>
                <w:rFonts w:cs="Arial"/>
                <w:bCs/>
                <w:szCs w:val="24"/>
              </w:rPr>
              <w:t xml:space="preserve">(2 </w:t>
            </w:r>
            <w:r w:rsidRPr="0007380B">
              <w:rPr>
                <w:rFonts w:cs="Arial"/>
                <w:bCs/>
                <w:i/>
                <w:szCs w:val="24"/>
              </w:rPr>
              <w:t>CFR</w:t>
            </w:r>
            <w:r w:rsidRPr="0007380B">
              <w:rPr>
                <w:rFonts w:cs="Arial"/>
                <w:bCs/>
                <w:szCs w:val="24"/>
              </w:rPr>
              <w:t>, Section 200.319[a][6][c][</w:t>
            </w:r>
            <w:proofErr w:type="spellStart"/>
            <w:r w:rsidRPr="0007380B">
              <w:rPr>
                <w:rFonts w:cs="Arial"/>
                <w:bCs/>
                <w:szCs w:val="24"/>
              </w:rPr>
              <w:t>i</w:t>
            </w:r>
            <w:proofErr w:type="spellEnd"/>
            <w:r w:rsidRPr="0007380B">
              <w:rPr>
                <w:rFonts w:cs="Arial"/>
                <w:bCs/>
                <w:szCs w:val="24"/>
              </w:rPr>
              <w:t>]):</w:t>
            </w:r>
            <w:r w:rsidRPr="0007380B">
              <w:rPr>
                <w:rFonts w:cs="Arial"/>
                <w:szCs w:val="24"/>
              </w:rPr>
              <w:t xml:space="preserve"> Describe the process for ensuring that equivalents to a brand name product are included in solicitations and the process for identifying equivalent brands.</w:t>
            </w:r>
          </w:p>
        </w:tc>
        <w:tc>
          <w:tcPr>
            <w:tcW w:w="1620" w:type="dxa"/>
          </w:tcPr>
          <w:p w:rsidR="005D0AB8" w:rsidRDefault="005D0AB8" w:rsidP="00F225F6">
            <w:pPr>
              <w:jc w:val="center"/>
            </w:pPr>
            <w:r w:rsidRPr="00685406">
              <w:rPr>
                <w:rFonts w:cs="Arial"/>
                <w:bCs/>
                <w:szCs w:val="24"/>
              </w:rPr>
              <w:t>Yes / No</w:t>
            </w:r>
          </w:p>
        </w:tc>
      </w:tr>
      <w:tr w:rsidR="005D0AB8" w:rsidRPr="0007380B" w:rsidTr="00305D56">
        <w:trPr>
          <w:cantSplit/>
          <w:trHeight w:val="1520"/>
          <w:tblHeader/>
        </w:trPr>
        <w:tc>
          <w:tcPr>
            <w:tcW w:w="8550" w:type="dxa"/>
          </w:tcPr>
          <w:p w:rsidR="005D0AB8" w:rsidRPr="0007380B" w:rsidRDefault="005D0AB8" w:rsidP="00F225F6">
            <w:pPr>
              <w:rPr>
                <w:rFonts w:cs="Arial"/>
                <w:szCs w:val="24"/>
              </w:rPr>
            </w:pPr>
            <w:r w:rsidRPr="0007380B">
              <w:rPr>
                <w:rFonts w:cs="Arial"/>
                <w:b/>
                <w:szCs w:val="24"/>
              </w:rPr>
              <w:t xml:space="preserve">Summer Food Service Program (SFSP) Bonding Requirements </w:t>
            </w:r>
            <w:r w:rsidRPr="0007380B">
              <w:rPr>
                <w:rFonts w:cs="Arial"/>
                <w:szCs w:val="24"/>
              </w:rPr>
              <w:t xml:space="preserve">(2 </w:t>
            </w:r>
            <w:r w:rsidRPr="0007380B">
              <w:rPr>
                <w:rFonts w:cs="Arial"/>
                <w:i/>
                <w:szCs w:val="24"/>
              </w:rPr>
              <w:t>CFR</w:t>
            </w:r>
            <w:r w:rsidRPr="0007380B">
              <w:rPr>
                <w:rFonts w:cs="Arial"/>
                <w:szCs w:val="24"/>
              </w:rPr>
              <w:t>, Section 225.15[m][5][6]) (for SFSP only): Describe the process for ensuring that all contractors submit a bid bond for bids and proposals that are over the small purchase threshold and the awarded contractor submits a performance bond within 10 days.</w:t>
            </w:r>
          </w:p>
        </w:tc>
        <w:tc>
          <w:tcPr>
            <w:tcW w:w="1620" w:type="dxa"/>
          </w:tcPr>
          <w:p w:rsidR="005D0AB8" w:rsidRDefault="005D0AB8" w:rsidP="00F225F6">
            <w:pPr>
              <w:jc w:val="center"/>
            </w:pPr>
            <w:r w:rsidRPr="00685406">
              <w:rPr>
                <w:rFonts w:cs="Arial"/>
                <w:bCs/>
                <w:szCs w:val="24"/>
              </w:rPr>
              <w:t>Yes / No</w:t>
            </w:r>
          </w:p>
        </w:tc>
      </w:tr>
      <w:tr w:rsidR="005D0AB8" w:rsidRPr="0007380B" w:rsidTr="00305D56">
        <w:trPr>
          <w:cantSplit/>
          <w:trHeight w:val="2069"/>
          <w:tblHeader/>
        </w:trPr>
        <w:tc>
          <w:tcPr>
            <w:tcW w:w="8550" w:type="dxa"/>
          </w:tcPr>
          <w:p w:rsidR="005D0AB8" w:rsidRPr="0007380B" w:rsidRDefault="005D0AB8" w:rsidP="00F225F6">
            <w:pPr>
              <w:rPr>
                <w:rFonts w:cs="Arial"/>
                <w:szCs w:val="24"/>
              </w:rPr>
            </w:pPr>
            <w:r w:rsidRPr="0007380B">
              <w:rPr>
                <w:rFonts w:cs="Arial"/>
                <w:b/>
                <w:bCs/>
                <w:szCs w:val="24"/>
              </w:rPr>
              <w:lastRenderedPageBreak/>
              <w:t xml:space="preserve">Certifications </w:t>
            </w:r>
            <w:r w:rsidRPr="0007380B">
              <w:rPr>
                <w:rFonts w:cs="Arial"/>
                <w:bCs/>
                <w:szCs w:val="24"/>
              </w:rPr>
              <w:t xml:space="preserve">(Including, but not limited to 2 </w:t>
            </w:r>
            <w:r w:rsidRPr="0007380B">
              <w:rPr>
                <w:rFonts w:cs="Arial"/>
                <w:bCs/>
                <w:i/>
                <w:iCs/>
                <w:szCs w:val="24"/>
              </w:rPr>
              <w:t>CFR</w:t>
            </w:r>
            <w:r w:rsidRPr="0007380B">
              <w:rPr>
                <w:rFonts w:cs="Arial"/>
                <w:bCs/>
                <w:szCs w:val="24"/>
              </w:rPr>
              <w:t>, Appendix II):</w:t>
            </w:r>
            <w:r w:rsidRPr="0007380B">
              <w:rPr>
                <w:rFonts w:cs="Arial"/>
                <w:szCs w:val="24"/>
              </w:rPr>
              <w:t xml:space="preserve"> Describe the process for ensuring that all applicable certifications are included in procurement documents. Certifications may include: Clean Air Act, Federal Water Pollution Control Act for contracts over $150,000, Debarment and Suspension, Byrd Anti-Lobbying Amendment for contracts over $100,000, Equal Employment Opportunity for contracts over $10,000, and Independent Price Determination.</w:t>
            </w:r>
          </w:p>
        </w:tc>
        <w:tc>
          <w:tcPr>
            <w:tcW w:w="1620" w:type="dxa"/>
          </w:tcPr>
          <w:p w:rsidR="005D0AB8" w:rsidRDefault="005D0AB8" w:rsidP="00F225F6">
            <w:pPr>
              <w:jc w:val="center"/>
            </w:pPr>
            <w:r w:rsidRPr="00685406">
              <w:rPr>
                <w:rFonts w:cs="Arial"/>
                <w:bCs/>
                <w:szCs w:val="24"/>
              </w:rPr>
              <w:t>Yes / No</w:t>
            </w:r>
          </w:p>
        </w:tc>
      </w:tr>
      <w:tr w:rsidR="005D0AB8" w:rsidRPr="0007380B" w:rsidTr="00305D56">
        <w:trPr>
          <w:cantSplit/>
          <w:trHeight w:val="1628"/>
          <w:tblHeader/>
        </w:trPr>
        <w:tc>
          <w:tcPr>
            <w:tcW w:w="8550" w:type="dxa"/>
          </w:tcPr>
          <w:p w:rsidR="005D0AB8" w:rsidRPr="00042508" w:rsidRDefault="005D0AB8" w:rsidP="00F225F6">
            <w:pPr>
              <w:spacing w:line="259" w:lineRule="auto"/>
              <w:rPr>
                <w:rFonts w:cs="Arial"/>
                <w:szCs w:val="24"/>
              </w:rPr>
            </w:pPr>
            <w:r w:rsidRPr="0007380B">
              <w:rPr>
                <w:rFonts w:cs="Arial"/>
                <w:b/>
                <w:bCs/>
                <w:szCs w:val="24"/>
              </w:rPr>
              <w:t xml:space="preserve">Bid Openings for SFSP only </w:t>
            </w:r>
            <w:r w:rsidRPr="0007380B">
              <w:rPr>
                <w:rFonts w:cs="Arial"/>
                <w:bCs/>
                <w:szCs w:val="24"/>
              </w:rPr>
              <w:t xml:space="preserve">(7 </w:t>
            </w:r>
            <w:r w:rsidRPr="0007380B">
              <w:rPr>
                <w:rFonts w:cs="Arial"/>
                <w:bCs/>
                <w:i/>
                <w:szCs w:val="24"/>
              </w:rPr>
              <w:t>CFR</w:t>
            </w:r>
            <w:r w:rsidRPr="0007380B">
              <w:rPr>
                <w:rFonts w:cs="Arial"/>
                <w:bCs/>
                <w:szCs w:val="24"/>
              </w:rPr>
              <w:t xml:space="preserve">, Section 225.6[h][4]): Applies only to bid openings when </w:t>
            </w:r>
            <w:r>
              <w:rPr>
                <w:rFonts w:cs="Arial"/>
                <w:bCs/>
                <w:szCs w:val="24"/>
              </w:rPr>
              <w:t>program operators</w:t>
            </w:r>
            <w:r w:rsidRPr="0007380B">
              <w:rPr>
                <w:rFonts w:cs="Arial"/>
                <w:bCs/>
                <w:szCs w:val="24"/>
              </w:rPr>
              <w:t xml:space="preserve"> are expected to receive more than $</w:t>
            </w:r>
            <w:r>
              <w:rPr>
                <w:rFonts w:cs="Arial"/>
                <w:bCs/>
                <w:szCs w:val="24"/>
              </w:rPr>
              <w:t>250,000</w:t>
            </w:r>
            <w:r w:rsidRPr="0007380B">
              <w:rPr>
                <w:rFonts w:cs="Arial"/>
                <w:bCs/>
                <w:szCs w:val="24"/>
              </w:rPr>
              <w:t xml:space="preserve"> in program payments. </w:t>
            </w:r>
            <w:r w:rsidRPr="0007380B">
              <w:rPr>
                <w:rFonts w:cs="Arial"/>
                <w:szCs w:val="24"/>
              </w:rPr>
              <w:t>Describe the process for notifying the</w:t>
            </w:r>
            <w:r>
              <w:rPr>
                <w:rFonts w:cs="Arial"/>
                <w:szCs w:val="24"/>
              </w:rPr>
              <w:t>ir Child Nutrition Consultant</w:t>
            </w:r>
            <w:r w:rsidRPr="0007380B">
              <w:rPr>
                <w:rFonts w:cs="Arial"/>
                <w:szCs w:val="24"/>
              </w:rPr>
              <w:t>, with a minimum of 14 days advance notice, of the time and place of the bid opening for all formal purchases.</w:t>
            </w:r>
          </w:p>
        </w:tc>
        <w:tc>
          <w:tcPr>
            <w:tcW w:w="1620" w:type="dxa"/>
          </w:tcPr>
          <w:p w:rsidR="005D0AB8" w:rsidRDefault="005D0AB8" w:rsidP="00F225F6">
            <w:pPr>
              <w:jc w:val="center"/>
            </w:pPr>
            <w:r w:rsidRPr="00685406">
              <w:rPr>
                <w:rFonts w:cs="Arial"/>
                <w:bCs/>
                <w:szCs w:val="24"/>
              </w:rPr>
              <w:t>Yes / No</w:t>
            </w:r>
          </w:p>
        </w:tc>
      </w:tr>
      <w:tr w:rsidR="005D0AB8" w:rsidRPr="0007380B" w:rsidTr="00305D56">
        <w:trPr>
          <w:cantSplit/>
          <w:trHeight w:val="989"/>
          <w:tblHeader/>
        </w:trPr>
        <w:tc>
          <w:tcPr>
            <w:tcW w:w="8550" w:type="dxa"/>
          </w:tcPr>
          <w:p w:rsidR="005D0AB8" w:rsidRPr="00EC49D0" w:rsidRDefault="005D0AB8" w:rsidP="00F225F6">
            <w:pPr>
              <w:rPr>
                <w:rFonts w:cs="Arial"/>
                <w:szCs w:val="24"/>
              </w:rPr>
            </w:pPr>
            <w:r w:rsidRPr="0007380B">
              <w:rPr>
                <w:rFonts w:cs="Arial"/>
                <w:b/>
                <w:bCs/>
                <w:szCs w:val="24"/>
              </w:rPr>
              <w:t xml:space="preserve">Evaluation Procedures </w:t>
            </w:r>
            <w:r w:rsidRPr="0007380B">
              <w:rPr>
                <w:rFonts w:cs="Arial"/>
                <w:bCs/>
                <w:szCs w:val="24"/>
              </w:rPr>
              <w:t xml:space="preserve">(2 </w:t>
            </w:r>
            <w:r w:rsidRPr="0007380B">
              <w:rPr>
                <w:rFonts w:cs="Arial"/>
                <w:bCs/>
                <w:i/>
                <w:szCs w:val="24"/>
              </w:rPr>
              <w:t>CFR</w:t>
            </w:r>
            <w:r w:rsidRPr="0007380B">
              <w:rPr>
                <w:rFonts w:cs="Arial"/>
                <w:bCs/>
                <w:szCs w:val="24"/>
              </w:rPr>
              <w:t xml:space="preserve">, Section 200.319[c][2]): </w:t>
            </w:r>
            <w:r w:rsidRPr="0007380B">
              <w:rPr>
                <w:rFonts w:cs="Arial"/>
                <w:szCs w:val="24"/>
              </w:rPr>
              <w:t>Describe the process for ensuring that solicitations identify the requirements that the vendor must fulfill and all other criteria to be used when evaluating bids and proposals.</w:t>
            </w:r>
          </w:p>
        </w:tc>
        <w:tc>
          <w:tcPr>
            <w:tcW w:w="1620" w:type="dxa"/>
          </w:tcPr>
          <w:p w:rsidR="005D0AB8" w:rsidRDefault="005D0AB8" w:rsidP="00F225F6">
            <w:pPr>
              <w:jc w:val="center"/>
            </w:pPr>
            <w:r w:rsidRPr="008564FB">
              <w:rPr>
                <w:rFonts w:cs="Arial"/>
                <w:bCs/>
                <w:szCs w:val="24"/>
              </w:rPr>
              <w:t>Yes / No</w:t>
            </w:r>
          </w:p>
        </w:tc>
      </w:tr>
      <w:tr w:rsidR="005D0AB8" w:rsidRPr="0007380B" w:rsidTr="00305D56">
        <w:trPr>
          <w:cantSplit/>
          <w:trHeight w:val="1565"/>
          <w:tblHeader/>
        </w:trPr>
        <w:tc>
          <w:tcPr>
            <w:tcW w:w="8550" w:type="dxa"/>
          </w:tcPr>
          <w:p w:rsidR="005D0AB8" w:rsidRPr="0007380B" w:rsidRDefault="005D0AB8" w:rsidP="00F225F6">
            <w:pPr>
              <w:rPr>
                <w:rFonts w:cs="Arial"/>
                <w:szCs w:val="24"/>
              </w:rPr>
            </w:pPr>
            <w:r w:rsidRPr="0007380B">
              <w:rPr>
                <w:rFonts w:cs="Arial"/>
                <w:b/>
                <w:bCs/>
                <w:szCs w:val="24"/>
              </w:rPr>
              <w:t xml:space="preserve">Responsible Contractors </w:t>
            </w:r>
            <w:r w:rsidRPr="0007380B">
              <w:rPr>
                <w:rFonts w:cs="Arial"/>
                <w:bCs/>
                <w:szCs w:val="24"/>
              </w:rPr>
              <w:t xml:space="preserve">(2 </w:t>
            </w:r>
            <w:r w:rsidRPr="0007380B">
              <w:rPr>
                <w:rFonts w:cs="Arial"/>
                <w:bCs/>
                <w:i/>
                <w:szCs w:val="24"/>
              </w:rPr>
              <w:t>CFR</w:t>
            </w:r>
            <w:r w:rsidRPr="0007380B">
              <w:rPr>
                <w:rFonts w:cs="Arial"/>
                <w:bCs/>
                <w:szCs w:val="24"/>
              </w:rPr>
              <w:t>, Section 200.318[h]):</w:t>
            </w:r>
            <w:r w:rsidRPr="0007380B">
              <w:rPr>
                <w:rFonts w:cs="Arial"/>
                <w:szCs w:val="24"/>
              </w:rPr>
              <w:t xml:space="preserve"> Describe the process for ensuring that contracts are awarded to responsible contractors possessing the ability to perform successfully under the terms and conditions of the contract and that potential contractors are not on the System for Award Management’s list of suspended and debarred contractors.</w:t>
            </w:r>
          </w:p>
        </w:tc>
        <w:tc>
          <w:tcPr>
            <w:tcW w:w="1620" w:type="dxa"/>
          </w:tcPr>
          <w:p w:rsidR="005D0AB8" w:rsidRDefault="005D0AB8" w:rsidP="00F225F6">
            <w:pPr>
              <w:jc w:val="center"/>
            </w:pPr>
            <w:r w:rsidRPr="008564FB">
              <w:rPr>
                <w:rFonts w:cs="Arial"/>
                <w:bCs/>
                <w:szCs w:val="24"/>
              </w:rPr>
              <w:t>Yes / No</w:t>
            </w:r>
          </w:p>
        </w:tc>
      </w:tr>
      <w:tr w:rsidR="005D0AB8" w:rsidRPr="0007380B" w:rsidTr="00305D56">
        <w:trPr>
          <w:cantSplit/>
          <w:trHeight w:val="710"/>
          <w:tblHeader/>
        </w:trPr>
        <w:tc>
          <w:tcPr>
            <w:tcW w:w="8550" w:type="dxa"/>
          </w:tcPr>
          <w:p w:rsidR="005D0AB8" w:rsidRPr="00EC49D0" w:rsidRDefault="005D0AB8" w:rsidP="00F225F6">
            <w:pPr>
              <w:spacing w:line="259" w:lineRule="auto"/>
              <w:rPr>
                <w:rFonts w:cs="Arial"/>
                <w:szCs w:val="24"/>
              </w:rPr>
            </w:pPr>
            <w:r w:rsidRPr="0007380B">
              <w:rPr>
                <w:rFonts w:cs="Arial"/>
                <w:b/>
                <w:bCs/>
                <w:szCs w:val="24"/>
              </w:rPr>
              <w:t xml:space="preserve">Bid Protest </w:t>
            </w:r>
            <w:r w:rsidRPr="0007380B">
              <w:rPr>
                <w:rFonts w:cs="Arial"/>
                <w:bCs/>
                <w:szCs w:val="24"/>
              </w:rPr>
              <w:t xml:space="preserve">(2 </w:t>
            </w:r>
            <w:r w:rsidRPr="0007380B">
              <w:rPr>
                <w:rFonts w:cs="Arial"/>
                <w:bCs/>
                <w:i/>
                <w:iCs/>
                <w:szCs w:val="24"/>
              </w:rPr>
              <w:t>CFR</w:t>
            </w:r>
            <w:r w:rsidRPr="0007380B">
              <w:rPr>
                <w:rFonts w:cs="Arial"/>
                <w:bCs/>
                <w:iCs/>
                <w:szCs w:val="24"/>
              </w:rPr>
              <w:t>, Section</w:t>
            </w:r>
            <w:r w:rsidRPr="0007380B">
              <w:rPr>
                <w:rFonts w:cs="Arial"/>
                <w:bCs/>
                <w:szCs w:val="24"/>
              </w:rPr>
              <w:t xml:space="preserve"> 200.318[k]):</w:t>
            </w:r>
            <w:r w:rsidRPr="0007380B">
              <w:rPr>
                <w:rFonts w:cs="Arial"/>
                <w:szCs w:val="24"/>
              </w:rPr>
              <w:t xml:space="preserve"> Describe the process for how a bidder or respondent can protest a procurement contract.</w:t>
            </w:r>
          </w:p>
        </w:tc>
        <w:tc>
          <w:tcPr>
            <w:tcW w:w="1620" w:type="dxa"/>
          </w:tcPr>
          <w:p w:rsidR="005D0AB8" w:rsidRDefault="005D0AB8" w:rsidP="00F225F6">
            <w:pPr>
              <w:jc w:val="center"/>
            </w:pPr>
            <w:r w:rsidRPr="008564FB">
              <w:rPr>
                <w:rFonts w:cs="Arial"/>
                <w:bCs/>
                <w:szCs w:val="24"/>
              </w:rPr>
              <w:t>Yes / No</w:t>
            </w:r>
          </w:p>
        </w:tc>
      </w:tr>
      <w:tr w:rsidR="005D0AB8" w:rsidRPr="0007380B" w:rsidTr="00305D56">
        <w:trPr>
          <w:cantSplit/>
          <w:trHeight w:val="971"/>
          <w:tblHeader/>
        </w:trPr>
        <w:tc>
          <w:tcPr>
            <w:tcW w:w="8550" w:type="dxa"/>
          </w:tcPr>
          <w:p w:rsidR="005D0AB8" w:rsidRPr="00EC49D0" w:rsidRDefault="005D0AB8" w:rsidP="00F225F6">
            <w:pPr>
              <w:rPr>
                <w:rFonts w:cs="Arial"/>
                <w:szCs w:val="24"/>
              </w:rPr>
            </w:pPr>
            <w:r w:rsidRPr="0007380B">
              <w:rPr>
                <w:rFonts w:cs="Arial"/>
                <w:b/>
                <w:bCs/>
                <w:szCs w:val="24"/>
              </w:rPr>
              <w:t xml:space="preserve">Contract Monitoring </w:t>
            </w:r>
            <w:r w:rsidRPr="0007380B">
              <w:rPr>
                <w:rFonts w:cs="Arial"/>
                <w:bCs/>
                <w:szCs w:val="24"/>
              </w:rPr>
              <w:t xml:space="preserve">(2 </w:t>
            </w:r>
            <w:r w:rsidRPr="0007380B">
              <w:rPr>
                <w:rFonts w:cs="Arial"/>
                <w:bCs/>
                <w:i/>
                <w:szCs w:val="24"/>
              </w:rPr>
              <w:t>CFR</w:t>
            </w:r>
            <w:r w:rsidRPr="0007380B">
              <w:rPr>
                <w:rFonts w:cs="Arial"/>
                <w:bCs/>
                <w:szCs w:val="24"/>
              </w:rPr>
              <w:t xml:space="preserve">, Section 200.318[b]): </w:t>
            </w:r>
            <w:r w:rsidRPr="0007380B">
              <w:rPr>
                <w:rFonts w:cs="Arial"/>
                <w:szCs w:val="24"/>
              </w:rPr>
              <w:t>Describe the process used to ensure that contractors perform in accordance with the terms, conditions, and specifications of the contract.</w:t>
            </w:r>
          </w:p>
        </w:tc>
        <w:tc>
          <w:tcPr>
            <w:tcW w:w="1620" w:type="dxa"/>
          </w:tcPr>
          <w:p w:rsidR="005D0AB8" w:rsidRDefault="005D0AB8" w:rsidP="00F225F6">
            <w:pPr>
              <w:jc w:val="center"/>
            </w:pPr>
            <w:r w:rsidRPr="008564FB">
              <w:rPr>
                <w:rFonts w:cs="Arial"/>
                <w:bCs/>
                <w:szCs w:val="24"/>
              </w:rPr>
              <w:t>Yes / No</w:t>
            </w:r>
          </w:p>
        </w:tc>
      </w:tr>
      <w:tr w:rsidR="005D0AB8" w:rsidRPr="0007380B" w:rsidTr="00305D56">
        <w:trPr>
          <w:cantSplit/>
          <w:trHeight w:val="620"/>
          <w:tblHeader/>
        </w:trPr>
        <w:tc>
          <w:tcPr>
            <w:tcW w:w="8550" w:type="dxa"/>
          </w:tcPr>
          <w:p w:rsidR="005D0AB8" w:rsidRPr="0007380B" w:rsidRDefault="005D0AB8" w:rsidP="00F225F6">
            <w:pPr>
              <w:rPr>
                <w:rFonts w:cs="Arial"/>
                <w:bCs/>
                <w:szCs w:val="24"/>
              </w:rPr>
            </w:pPr>
            <w:r w:rsidRPr="0007380B">
              <w:rPr>
                <w:rFonts w:cs="Arial"/>
                <w:b/>
                <w:bCs/>
                <w:szCs w:val="24"/>
              </w:rPr>
              <w:t xml:space="preserve">Advertisements </w:t>
            </w:r>
            <w:r w:rsidRPr="0007380B">
              <w:rPr>
                <w:rFonts w:cs="Arial"/>
                <w:bCs/>
                <w:szCs w:val="24"/>
              </w:rPr>
              <w:t xml:space="preserve">(2 </w:t>
            </w:r>
            <w:r w:rsidRPr="0007380B">
              <w:rPr>
                <w:rFonts w:cs="Arial"/>
                <w:bCs/>
                <w:i/>
                <w:szCs w:val="24"/>
              </w:rPr>
              <w:t>CFR</w:t>
            </w:r>
            <w:r w:rsidRPr="0007380B">
              <w:rPr>
                <w:rFonts w:cs="Arial"/>
                <w:bCs/>
                <w:szCs w:val="24"/>
              </w:rPr>
              <w:t>, Section 200.320[c][2][</w:t>
            </w:r>
            <w:proofErr w:type="spellStart"/>
            <w:r w:rsidRPr="0007380B">
              <w:rPr>
                <w:rFonts w:cs="Arial"/>
                <w:bCs/>
                <w:szCs w:val="24"/>
              </w:rPr>
              <w:t>i</w:t>
            </w:r>
            <w:proofErr w:type="spellEnd"/>
            <w:r w:rsidRPr="0007380B">
              <w:rPr>
                <w:rFonts w:cs="Arial"/>
                <w:bCs/>
                <w:szCs w:val="24"/>
              </w:rPr>
              <w:t>]</w:t>
            </w:r>
            <w:r>
              <w:rPr>
                <w:rFonts w:cs="Arial"/>
                <w:bCs/>
                <w:szCs w:val="24"/>
              </w:rPr>
              <w:t xml:space="preserve"> and </w:t>
            </w:r>
            <w:r w:rsidRPr="0007380B">
              <w:rPr>
                <w:rFonts w:cs="Arial"/>
                <w:bCs/>
                <w:szCs w:val="24"/>
              </w:rPr>
              <w:t xml:space="preserve">[d][1]): Describe the process for placing advertisements for bid proposals.  </w:t>
            </w:r>
          </w:p>
        </w:tc>
        <w:tc>
          <w:tcPr>
            <w:tcW w:w="1620" w:type="dxa"/>
          </w:tcPr>
          <w:p w:rsidR="005D0AB8" w:rsidRDefault="005D0AB8" w:rsidP="00F225F6">
            <w:pPr>
              <w:jc w:val="center"/>
            </w:pPr>
            <w:r w:rsidRPr="008564FB">
              <w:rPr>
                <w:rFonts w:cs="Arial"/>
                <w:bCs/>
                <w:szCs w:val="24"/>
              </w:rPr>
              <w:t>Yes / No</w:t>
            </w:r>
          </w:p>
        </w:tc>
      </w:tr>
    </w:tbl>
    <w:p w:rsidR="00000E3C" w:rsidRPr="00FE0EAC" w:rsidRDefault="00000E3C" w:rsidP="00FE0EAC"/>
    <w:sectPr w:rsidR="00000E3C" w:rsidRPr="00FE0EAC" w:rsidSect="009F0D3F">
      <w:headerReference w:type="default" r:id="rId15"/>
      <w:pgSz w:w="12240" w:h="15840" w:code="1"/>
      <w:pgMar w:top="1260" w:right="1170" w:bottom="810" w:left="1440" w:header="810" w:footer="1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4C2" w:rsidRDefault="001B04C2" w:rsidP="00A75EC2">
      <w:r>
        <w:separator/>
      </w:r>
    </w:p>
  </w:endnote>
  <w:endnote w:type="continuationSeparator" w:id="0">
    <w:p w:rsidR="001B04C2" w:rsidRDefault="001B04C2" w:rsidP="00A75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 Next LT Pro">
    <w:altName w:val="DIN Next LT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4C2" w:rsidRDefault="001B04C2" w:rsidP="00A75EC2">
      <w:r>
        <w:separator/>
      </w:r>
    </w:p>
  </w:footnote>
  <w:footnote w:type="continuationSeparator" w:id="0">
    <w:p w:rsidR="001B04C2" w:rsidRDefault="001B04C2" w:rsidP="00A75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2AD" w:rsidRPr="009D6E38" w:rsidRDefault="008742AD" w:rsidP="008742AD">
    <w:pPr>
      <w:tabs>
        <w:tab w:val="right" w:pos="9360"/>
      </w:tabs>
      <w:rPr>
        <w:szCs w:val="20"/>
      </w:rPr>
    </w:pPr>
    <w:r w:rsidRPr="009D6E38">
      <w:rPr>
        <w:szCs w:val="20"/>
      </w:rPr>
      <w:t>Califor</w:t>
    </w:r>
    <w:r w:rsidR="00021295" w:rsidRPr="009D6E38">
      <w:rPr>
        <w:szCs w:val="20"/>
      </w:rPr>
      <w:t>nia Department of Education</w:t>
    </w:r>
    <w:r w:rsidR="00021295" w:rsidRPr="009D6E38">
      <w:rPr>
        <w:szCs w:val="20"/>
      </w:rPr>
      <w:tab/>
    </w:r>
    <w:r w:rsidR="00FE0EAC" w:rsidRPr="009D6E38">
      <w:rPr>
        <w:szCs w:val="20"/>
      </w:rPr>
      <w:t>April 2019</w:t>
    </w:r>
  </w:p>
  <w:p w:rsidR="008742AD" w:rsidRPr="009D6E38" w:rsidRDefault="008742AD" w:rsidP="008742AD">
    <w:pPr>
      <w:rPr>
        <w:szCs w:val="20"/>
      </w:rPr>
    </w:pPr>
    <w:r w:rsidRPr="009D6E38">
      <w:rPr>
        <w:szCs w:val="20"/>
      </w:rPr>
      <w:t>Nutrition Services Division</w:t>
    </w:r>
  </w:p>
  <w:p w:rsidR="006E27EE" w:rsidRDefault="006E27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434BD5"/>
    <w:multiLevelType w:val="hybridMultilevel"/>
    <w:tmpl w:val="3EEA1A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2563F"/>
    <w:multiLevelType w:val="hybridMultilevel"/>
    <w:tmpl w:val="E968D83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221D0"/>
    <w:multiLevelType w:val="hybridMultilevel"/>
    <w:tmpl w:val="A25E6CD4"/>
    <w:lvl w:ilvl="0" w:tplc="0409000F">
      <w:start w:val="1"/>
      <w:numFmt w:val="decimal"/>
      <w:lvlText w:val="%1."/>
      <w:lvlJc w:val="left"/>
      <w:pPr>
        <w:ind w:left="-270" w:hanging="360"/>
      </w:p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 w15:restartNumberingAfterBreak="0">
    <w:nsid w:val="3A9A6E1A"/>
    <w:multiLevelType w:val="hybridMultilevel"/>
    <w:tmpl w:val="5310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9F5A4E"/>
    <w:multiLevelType w:val="hybridMultilevel"/>
    <w:tmpl w:val="61A0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BF1471"/>
    <w:multiLevelType w:val="hybridMultilevel"/>
    <w:tmpl w:val="E00474E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15:restartNumberingAfterBreak="0">
    <w:nsid w:val="63557179"/>
    <w:multiLevelType w:val="hybridMultilevel"/>
    <w:tmpl w:val="02467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EC2"/>
    <w:rsid w:val="00000E3C"/>
    <w:rsid w:val="00013939"/>
    <w:rsid w:val="00021295"/>
    <w:rsid w:val="00047354"/>
    <w:rsid w:val="00065035"/>
    <w:rsid w:val="00073B37"/>
    <w:rsid w:val="00076648"/>
    <w:rsid w:val="000779A4"/>
    <w:rsid w:val="000A3731"/>
    <w:rsid w:val="000B151C"/>
    <w:rsid w:val="000C0260"/>
    <w:rsid w:val="000C1BC5"/>
    <w:rsid w:val="000C4832"/>
    <w:rsid w:val="000E26E6"/>
    <w:rsid w:val="000F68E2"/>
    <w:rsid w:val="0010317A"/>
    <w:rsid w:val="00113D5F"/>
    <w:rsid w:val="00116BDE"/>
    <w:rsid w:val="001408D7"/>
    <w:rsid w:val="001427D9"/>
    <w:rsid w:val="00143B23"/>
    <w:rsid w:val="00144D35"/>
    <w:rsid w:val="00145A62"/>
    <w:rsid w:val="001507D4"/>
    <w:rsid w:val="0017285E"/>
    <w:rsid w:val="001927AA"/>
    <w:rsid w:val="00192C8D"/>
    <w:rsid w:val="001A1486"/>
    <w:rsid w:val="001B04C2"/>
    <w:rsid w:val="001B2D57"/>
    <w:rsid w:val="001D4E86"/>
    <w:rsid w:val="001D52D6"/>
    <w:rsid w:val="001E18F0"/>
    <w:rsid w:val="001E2946"/>
    <w:rsid w:val="001E7D3C"/>
    <w:rsid w:val="002027B4"/>
    <w:rsid w:val="00205FD3"/>
    <w:rsid w:val="00215AFA"/>
    <w:rsid w:val="002225D0"/>
    <w:rsid w:val="00223E15"/>
    <w:rsid w:val="00226476"/>
    <w:rsid w:val="00234B28"/>
    <w:rsid w:val="00241A8F"/>
    <w:rsid w:val="00244A0D"/>
    <w:rsid w:val="002516F2"/>
    <w:rsid w:val="002528E1"/>
    <w:rsid w:val="00261F1F"/>
    <w:rsid w:val="00272B5C"/>
    <w:rsid w:val="002742E9"/>
    <w:rsid w:val="002825D9"/>
    <w:rsid w:val="00284F84"/>
    <w:rsid w:val="002A0B92"/>
    <w:rsid w:val="002B3393"/>
    <w:rsid w:val="002B6025"/>
    <w:rsid w:val="002C520E"/>
    <w:rsid w:val="002D0154"/>
    <w:rsid w:val="002D1D7C"/>
    <w:rsid w:val="002E4C33"/>
    <w:rsid w:val="002E4FFE"/>
    <w:rsid w:val="002F31FA"/>
    <w:rsid w:val="00301357"/>
    <w:rsid w:val="00305D56"/>
    <w:rsid w:val="003139FE"/>
    <w:rsid w:val="00321332"/>
    <w:rsid w:val="00323DB1"/>
    <w:rsid w:val="00334CF2"/>
    <w:rsid w:val="00343836"/>
    <w:rsid w:val="0034406C"/>
    <w:rsid w:val="003445F9"/>
    <w:rsid w:val="003570EB"/>
    <w:rsid w:val="00360D64"/>
    <w:rsid w:val="003671AF"/>
    <w:rsid w:val="00370A79"/>
    <w:rsid w:val="003731F5"/>
    <w:rsid w:val="003743CB"/>
    <w:rsid w:val="003813C4"/>
    <w:rsid w:val="003846D6"/>
    <w:rsid w:val="00390734"/>
    <w:rsid w:val="003A27B3"/>
    <w:rsid w:val="003A4CB9"/>
    <w:rsid w:val="003B315A"/>
    <w:rsid w:val="003B4D34"/>
    <w:rsid w:val="003C34BA"/>
    <w:rsid w:val="003C3D31"/>
    <w:rsid w:val="003E2A18"/>
    <w:rsid w:val="0041117F"/>
    <w:rsid w:val="0041162F"/>
    <w:rsid w:val="00420990"/>
    <w:rsid w:val="00436F1A"/>
    <w:rsid w:val="00454DC9"/>
    <w:rsid w:val="00455049"/>
    <w:rsid w:val="00463BCE"/>
    <w:rsid w:val="00467BDB"/>
    <w:rsid w:val="0047166F"/>
    <w:rsid w:val="00480EC8"/>
    <w:rsid w:val="00496A36"/>
    <w:rsid w:val="004A0594"/>
    <w:rsid w:val="004B3B18"/>
    <w:rsid w:val="004C23CE"/>
    <w:rsid w:val="004E149B"/>
    <w:rsid w:val="004E6C49"/>
    <w:rsid w:val="004F05A5"/>
    <w:rsid w:val="004F3EA0"/>
    <w:rsid w:val="00506650"/>
    <w:rsid w:val="005513EA"/>
    <w:rsid w:val="00555A7A"/>
    <w:rsid w:val="0056093C"/>
    <w:rsid w:val="00574B04"/>
    <w:rsid w:val="0059046E"/>
    <w:rsid w:val="005A1B7B"/>
    <w:rsid w:val="005A2FB2"/>
    <w:rsid w:val="005A7FD3"/>
    <w:rsid w:val="005B6529"/>
    <w:rsid w:val="005C05D5"/>
    <w:rsid w:val="005C643F"/>
    <w:rsid w:val="005C7E56"/>
    <w:rsid w:val="005D0AB8"/>
    <w:rsid w:val="005D5576"/>
    <w:rsid w:val="005D6F50"/>
    <w:rsid w:val="005E1654"/>
    <w:rsid w:val="00600F22"/>
    <w:rsid w:val="00636A7F"/>
    <w:rsid w:val="006456AC"/>
    <w:rsid w:val="006456C7"/>
    <w:rsid w:val="00646C57"/>
    <w:rsid w:val="006534C9"/>
    <w:rsid w:val="00657ACD"/>
    <w:rsid w:val="00663B1B"/>
    <w:rsid w:val="006744F0"/>
    <w:rsid w:val="00675CB9"/>
    <w:rsid w:val="0067637B"/>
    <w:rsid w:val="00695524"/>
    <w:rsid w:val="006C196B"/>
    <w:rsid w:val="006C2D92"/>
    <w:rsid w:val="006C505A"/>
    <w:rsid w:val="006E27EE"/>
    <w:rsid w:val="006F3687"/>
    <w:rsid w:val="007065B8"/>
    <w:rsid w:val="00715358"/>
    <w:rsid w:val="0071652A"/>
    <w:rsid w:val="007346E8"/>
    <w:rsid w:val="00745B6F"/>
    <w:rsid w:val="00747158"/>
    <w:rsid w:val="007917BC"/>
    <w:rsid w:val="0079370E"/>
    <w:rsid w:val="0079587F"/>
    <w:rsid w:val="007A2A62"/>
    <w:rsid w:val="007A3E74"/>
    <w:rsid w:val="007A610F"/>
    <w:rsid w:val="007B424C"/>
    <w:rsid w:val="007B763B"/>
    <w:rsid w:val="007C2885"/>
    <w:rsid w:val="007E1D20"/>
    <w:rsid w:val="007F208D"/>
    <w:rsid w:val="007F73C9"/>
    <w:rsid w:val="00813655"/>
    <w:rsid w:val="00834EA1"/>
    <w:rsid w:val="008352B9"/>
    <w:rsid w:val="00836587"/>
    <w:rsid w:val="00850D59"/>
    <w:rsid w:val="0086468B"/>
    <w:rsid w:val="00871011"/>
    <w:rsid w:val="00871BFE"/>
    <w:rsid w:val="008742AD"/>
    <w:rsid w:val="0088294A"/>
    <w:rsid w:val="00885346"/>
    <w:rsid w:val="00891265"/>
    <w:rsid w:val="008A12E0"/>
    <w:rsid w:val="008A6F6C"/>
    <w:rsid w:val="008B4621"/>
    <w:rsid w:val="008D153D"/>
    <w:rsid w:val="008D6881"/>
    <w:rsid w:val="008F193B"/>
    <w:rsid w:val="008F2166"/>
    <w:rsid w:val="00900A43"/>
    <w:rsid w:val="009025AC"/>
    <w:rsid w:val="00911A86"/>
    <w:rsid w:val="00914461"/>
    <w:rsid w:val="00923E59"/>
    <w:rsid w:val="00926177"/>
    <w:rsid w:val="0093347C"/>
    <w:rsid w:val="00941586"/>
    <w:rsid w:val="00953D3E"/>
    <w:rsid w:val="009564E8"/>
    <w:rsid w:val="00983E10"/>
    <w:rsid w:val="00990689"/>
    <w:rsid w:val="009A6639"/>
    <w:rsid w:val="009D1AFE"/>
    <w:rsid w:val="009D6E38"/>
    <w:rsid w:val="009E1A2B"/>
    <w:rsid w:val="009E4030"/>
    <w:rsid w:val="009F02A4"/>
    <w:rsid w:val="009F0D3F"/>
    <w:rsid w:val="009F50A7"/>
    <w:rsid w:val="009F531A"/>
    <w:rsid w:val="00A0525A"/>
    <w:rsid w:val="00A06173"/>
    <w:rsid w:val="00A071A4"/>
    <w:rsid w:val="00A31BCE"/>
    <w:rsid w:val="00A36236"/>
    <w:rsid w:val="00A66BD9"/>
    <w:rsid w:val="00A75EC2"/>
    <w:rsid w:val="00A83E8F"/>
    <w:rsid w:val="00A84361"/>
    <w:rsid w:val="00A84F06"/>
    <w:rsid w:val="00A9366D"/>
    <w:rsid w:val="00AB1A38"/>
    <w:rsid w:val="00AB54EC"/>
    <w:rsid w:val="00AC2AB8"/>
    <w:rsid w:val="00AE3E18"/>
    <w:rsid w:val="00AE6831"/>
    <w:rsid w:val="00B12A06"/>
    <w:rsid w:val="00B204D0"/>
    <w:rsid w:val="00B21A9E"/>
    <w:rsid w:val="00B47349"/>
    <w:rsid w:val="00B50838"/>
    <w:rsid w:val="00B65908"/>
    <w:rsid w:val="00B66A81"/>
    <w:rsid w:val="00B77BC4"/>
    <w:rsid w:val="00B835FD"/>
    <w:rsid w:val="00B90833"/>
    <w:rsid w:val="00BB470E"/>
    <w:rsid w:val="00BC6965"/>
    <w:rsid w:val="00BD6DFD"/>
    <w:rsid w:val="00BE290D"/>
    <w:rsid w:val="00BE6D46"/>
    <w:rsid w:val="00BF6433"/>
    <w:rsid w:val="00C05C92"/>
    <w:rsid w:val="00C05E78"/>
    <w:rsid w:val="00C06C3F"/>
    <w:rsid w:val="00C1353D"/>
    <w:rsid w:val="00C61406"/>
    <w:rsid w:val="00C676EA"/>
    <w:rsid w:val="00C7269D"/>
    <w:rsid w:val="00C802FB"/>
    <w:rsid w:val="00C80B19"/>
    <w:rsid w:val="00C869F0"/>
    <w:rsid w:val="00CA291F"/>
    <w:rsid w:val="00CA3BC0"/>
    <w:rsid w:val="00CB5C73"/>
    <w:rsid w:val="00CC0FD4"/>
    <w:rsid w:val="00CC1C96"/>
    <w:rsid w:val="00CC413F"/>
    <w:rsid w:val="00CD7CB1"/>
    <w:rsid w:val="00CF06AF"/>
    <w:rsid w:val="00CF1C7F"/>
    <w:rsid w:val="00CF421D"/>
    <w:rsid w:val="00CF659A"/>
    <w:rsid w:val="00D15C37"/>
    <w:rsid w:val="00D15E26"/>
    <w:rsid w:val="00D21681"/>
    <w:rsid w:val="00D36E4B"/>
    <w:rsid w:val="00D37B87"/>
    <w:rsid w:val="00D57AC4"/>
    <w:rsid w:val="00D73294"/>
    <w:rsid w:val="00D74045"/>
    <w:rsid w:val="00D81AA2"/>
    <w:rsid w:val="00D848BC"/>
    <w:rsid w:val="00D855CB"/>
    <w:rsid w:val="00D93B37"/>
    <w:rsid w:val="00D94B0B"/>
    <w:rsid w:val="00DB370D"/>
    <w:rsid w:val="00DD2C54"/>
    <w:rsid w:val="00DE633F"/>
    <w:rsid w:val="00DF3506"/>
    <w:rsid w:val="00E05A61"/>
    <w:rsid w:val="00E113D2"/>
    <w:rsid w:val="00E155D4"/>
    <w:rsid w:val="00E1721A"/>
    <w:rsid w:val="00E32EA3"/>
    <w:rsid w:val="00E35A1D"/>
    <w:rsid w:val="00E41B9C"/>
    <w:rsid w:val="00E41D3D"/>
    <w:rsid w:val="00E44182"/>
    <w:rsid w:val="00E47FCE"/>
    <w:rsid w:val="00E533BC"/>
    <w:rsid w:val="00E85AB0"/>
    <w:rsid w:val="00EB0E56"/>
    <w:rsid w:val="00EB7BD1"/>
    <w:rsid w:val="00EC49D0"/>
    <w:rsid w:val="00ED4299"/>
    <w:rsid w:val="00ED5375"/>
    <w:rsid w:val="00EE030D"/>
    <w:rsid w:val="00EE2A99"/>
    <w:rsid w:val="00EF1407"/>
    <w:rsid w:val="00F00528"/>
    <w:rsid w:val="00F048FE"/>
    <w:rsid w:val="00F126E5"/>
    <w:rsid w:val="00F15C9D"/>
    <w:rsid w:val="00F225F6"/>
    <w:rsid w:val="00F23F81"/>
    <w:rsid w:val="00F24530"/>
    <w:rsid w:val="00F26F9E"/>
    <w:rsid w:val="00F4320E"/>
    <w:rsid w:val="00F4443E"/>
    <w:rsid w:val="00F4625E"/>
    <w:rsid w:val="00F51BAD"/>
    <w:rsid w:val="00F5287A"/>
    <w:rsid w:val="00F53E62"/>
    <w:rsid w:val="00F75F05"/>
    <w:rsid w:val="00F76576"/>
    <w:rsid w:val="00F77BFD"/>
    <w:rsid w:val="00F84764"/>
    <w:rsid w:val="00F927F1"/>
    <w:rsid w:val="00F940DC"/>
    <w:rsid w:val="00FA2746"/>
    <w:rsid w:val="00FC2588"/>
    <w:rsid w:val="00FC29CC"/>
    <w:rsid w:val="00FC3972"/>
    <w:rsid w:val="00FD11E7"/>
    <w:rsid w:val="00FE0EAC"/>
    <w:rsid w:val="00FF4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C54C0"/>
  <w15:chartTrackingRefBased/>
  <w15:docId w15:val="{53D9BDD4-F394-452A-8A49-E352D1FB1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2"/>
    </w:rPr>
  </w:style>
  <w:style w:type="paragraph" w:styleId="Heading1">
    <w:name w:val="heading 1"/>
    <w:basedOn w:val="Normal"/>
    <w:next w:val="Normal"/>
    <w:link w:val="Heading1Char"/>
    <w:uiPriority w:val="9"/>
    <w:qFormat/>
    <w:rsid w:val="00113D5F"/>
    <w:pPr>
      <w:keepNext/>
      <w:jc w:val="center"/>
      <w:outlineLvl w:val="0"/>
    </w:pPr>
    <w:rPr>
      <w:b/>
      <w:bCs/>
      <w:sz w:val="36"/>
      <w:szCs w:val="20"/>
    </w:rPr>
  </w:style>
  <w:style w:type="paragraph" w:styleId="Heading2">
    <w:name w:val="heading 2"/>
    <w:basedOn w:val="Normal"/>
    <w:next w:val="Normal"/>
    <w:link w:val="Heading2Char"/>
    <w:uiPriority w:val="9"/>
    <w:unhideWhenUsed/>
    <w:qFormat/>
    <w:rsid w:val="00113D5F"/>
    <w:pPr>
      <w:keepNext/>
      <w:keepLines/>
      <w:spacing w:before="40"/>
      <w:outlineLvl w:val="1"/>
    </w:pPr>
    <w:rPr>
      <w:rFonts w:eastAsia="Times New Roman"/>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5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5EC2"/>
    <w:pPr>
      <w:tabs>
        <w:tab w:val="center" w:pos="4680"/>
        <w:tab w:val="right" w:pos="9360"/>
      </w:tabs>
    </w:pPr>
  </w:style>
  <w:style w:type="character" w:customStyle="1" w:styleId="HeaderChar">
    <w:name w:val="Header Char"/>
    <w:basedOn w:val="DefaultParagraphFont"/>
    <w:link w:val="Header"/>
    <w:uiPriority w:val="99"/>
    <w:rsid w:val="00A75EC2"/>
  </w:style>
  <w:style w:type="paragraph" w:styleId="Footer">
    <w:name w:val="footer"/>
    <w:basedOn w:val="Normal"/>
    <w:link w:val="FooterChar"/>
    <w:uiPriority w:val="99"/>
    <w:unhideWhenUsed/>
    <w:rsid w:val="00A75EC2"/>
    <w:pPr>
      <w:tabs>
        <w:tab w:val="center" w:pos="4680"/>
        <w:tab w:val="right" w:pos="9360"/>
      </w:tabs>
    </w:pPr>
  </w:style>
  <w:style w:type="character" w:customStyle="1" w:styleId="FooterChar">
    <w:name w:val="Footer Char"/>
    <w:basedOn w:val="DefaultParagraphFont"/>
    <w:link w:val="Footer"/>
    <w:uiPriority w:val="99"/>
    <w:rsid w:val="00A75EC2"/>
  </w:style>
  <w:style w:type="paragraph" w:styleId="BalloonText">
    <w:name w:val="Balloon Text"/>
    <w:basedOn w:val="Normal"/>
    <w:link w:val="BalloonTextChar"/>
    <w:uiPriority w:val="99"/>
    <w:semiHidden/>
    <w:unhideWhenUsed/>
    <w:rsid w:val="00BC6965"/>
    <w:rPr>
      <w:rFonts w:ascii="Segoe UI" w:hAnsi="Segoe UI" w:cs="Segoe UI"/>
      <w:sz w:val="18"/>
      <w:szCs w:val="18"/>
    </w:rPr>
  </w:style>
  <w:style w:type="character" w:customStyle="1" w:styleId="BalloonTextChar">
    <w:name w:val="Balloon Text Char"/>
    <w:link w:val="BalloonText"/>
    <w:uiPriority w:val="99"/>
    <w:semiHidden/>
    <w:rsid w:val="00BC6965"/>
    <w:rPr>
      <w:rFonts w:ascii="Segoe UI" w:hAnsi="Segoe UI" w:cs="Segoe UI"/>
      <w:sz w:val="18"/>
      <w:szCs w:val="18"/>
    </w:rPr>
  </w:style>
  <w:style w:type="paragraph" w:styleId="ListParagraph">
    <w:name w:val="List Paragraph"/>
    <w:basedOn w:val="Normal"/>
    <w:uiPriority w:val="34"/>
    <w:qFormat/>
    <w:rsid w:val="00223E15"/>
    <w:pPr>
      <w:ind w:left="720"/>
      <w:contextualSpacing/>
    </w:pPr>
  </w:style>
  <w:style w:type="paragraph" w:customStyle="1" w:styleId="Default">
    <w:name w:val="Default"/>
    <w:rsid w:val="003E2A18"/>
    <w:pPr>
      <w:autoSpaceDE w:val="0"/>
      <w:autoSpaceDN w:val="0"/>
      <w:adjustRightInd w:val="0"/>
    </w:pPr>
    <w:rPr>
      <w:rFonts w:ascii="DIN Next LT Pro" w:hAnsi="DIN Next LT Pro" w:cs="DIN Next LT Pro"/>
      <w:color w:val="000000"/>
      <w:sz w:val="24"/>
      <w:szCs w:val="24"/>
    </w:rPr>
  </w:style>
  <w:style w:type="paragraph" w:styleId="Revision">
    <w:name w:val="Revision"/>
    <w:hidden/>
    <w:uiPriority w:val="99"/>
    <w:semiHidden/>
    <w:rsid w:val="00941586"/>
    <w:rPr>
      <w:sz w:val="24"/>
      <w:szCs w:val="22"/>
    </w:rPr>
  </w:style>
  <w:style w:type="paragraph" w:styleId="Title">
    <w:name w:val="Title"/>
    <w:basedOn w:val="Normal"/>
    <w:next w:val="Normal"/>
    <w:link w:val="TitleChar"/>
    <w:uiPriority w:val="10"/>
    <w:qFormat/>
    <w:rsid w:val="00E155D4"/>
    <w:pPr>
      <w:jc w:val="center"/>
    </w:pPr>
    <w:rPr>
      <w:b/>
    </w:rPr>
  </w:style>
  <w:style w:type="character" w:customStyle="1" w:styleId="TitleChar">
    <w:name w:val="Title Char"/>
    <w:link w:val="Title"/>
    <w:uiPriority w:val="10"/>
    <w:rsid w:val="00E155D4"/>
    <w:rPr>
      <w:b/>
    </w:rPr>
  </w:style>
  <w:style w:type="character" w:customStyle="1" w:styleId="Heading1Char">
    <w:name w:val="Heading 1 Char"/>
    <w:link w:val="Heading1"/>
    <w:uiPriority w:val="9"/>
    <w:rsid w:val="00113D5F"/>
    <w:rPr>
      <w:b/>
      <w:bCs/>
      <w:sz w:val="36"/>
    </w:rPr>
  </w:style>
  <w:style w:type="character" w:styleId="Hyperlink">
    <w:name w:val="Hyperlink"/>
    <w:uiPriority w:val="99"/>
    <w:unhideWhenUsed/>
    <w:rsid w:val="000F68E2"/>
    <w:rPr>
      <w:color w:val="0563C1"/>
      <w:u w:val="single"/>
    </w:rPr>
  </w:style>
  <w:style w:type="character" w:styleId="FollowedHyperlink">
    <w:name w:val="FollowedHyperlink"/>
    <w:uiPriority w:val="99"/>
    <w:semiHidden/>
    <w:unhideWhenUsed/>
    <w:rsid w:val="00192C8D"/>
    <w:rPr>
      <w:color w:val="954F72"/>
      <w:u w:val="single"/>
    </w:rPr>
  </w:style>
  <w:style w:type="paragraph" w:styleId="NormalWeb">
    <w:name w:val="Normal (Web)"/>
    <w:basedOn w:val="Normal"/>
    <w:uiPriority w:val="99"/>
    <w:semiHidden/>
    <w:unhideWhenUsed/>
    <w:rsid w:val="009F531A"/>
    <w:pPr>
      <w:spacing w:before="100" w:beforeAutospacing="1" w:after="100" w:afterAutospacing="1"/>
    </w:pPr>
    <w:rPr>
      <w:rFonts w:ascii="Times New Roman" w:eastAsia="Times New Roman" w:hAnsi="Times New Roman"/>
      <w:szCs w:val="24"/>
    </w:rPr>
  </w:style>
  <w:style w:type="character" w:customStyle="1" w:styleId="Heading2Char">
    <w:name w:val="Heading 2 Char"/>
    <w:link w:val="Heading2"/>
    <w:uiPriority w:val="9"/>
    <w:rsid w:val="00113D5F"/>
    <w:rPr>
      <w:rFonts w:eastAsia="Times New Roman"/>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794948">
      <w:bodyDiv w:val="1"/>
      <w:marLeft w:val="0"/>
      <w:marRight w:val="0"/>
      <w:marTop w:val="0"/>
      <w:marBottom w:val="0"/>
      <w:divBdr>
        <w:top w:val="none" w:sz="0" w:space="0" w:color="auto"/>
        <w:left w:val="none" w:sz="0" w:space="0" w:color="auto"/>
        <w:bottom w:val="none" w:sz="0" w:space="0" w:color="auto"/>
        <w:right w:val="none" w:sz="0" w:space="0" w:color="auto"/>
      </w:divBdr>
    </w:div>
    <w:div w:id="931856921">
      <w:bodyDiv w:val="1"/>
      <w:marLeft w:val="0"/>
      <w:marRight w:val="0"/>
      <w:marTop w:val="0"/>
      <w:marBottom w:val="0"/>
      <w:divBdr>
        <w:top w:val="none" w:sz="0" w:space="0" w:color="auto"/>
        <w:left w:val="none" w:sz="0" w:space="0" w:color="auto"/>
        <w:bottom w:val="none" w:sz="0" w:space="0" w:color="auto"/>
        <w:right w:val="none" w:sz="0" w:space="0" w:color="auto"/>
      </w:divBdr>
    </w:div>
    <w:div w:id="992180532">
      <w:bodyDiv w:val="1"/>
      <w:marLeft w:val="0"/>
      <w:marRight w:val="0"/>
      <w:marTop w:val="0"/>
      <w:marBottom w:val="0"/>
      <w:divBdr>
        <w:top w:val="none" w:sz="0" w:space="0" w:color="auto"/>
        <w:left w:val="none" w:sz="0" w:space="0" w:color="auto"/>
        <w:bottom w:val="none" w:sz="0" w:space="0" w:color="auto"/>
        <w:right w:val="none" w:sz="0" w:space="0" w:color="auto"/>
      </w:divBdr>
    </w:div>
    <w:div w:id="137527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SID=39bb9fc3a6953a2a75bbac8d34069212&amp;mc=true&amp;node=sg2.1.200_1316.sg3&amp;rgn=div7" TargetMode="External"/><Relationship Id="rId13" Type="http://schemas.openxmlformats.org/officeDocument/2006/relationships/hyperlink" Target="http://www.cde.ca.gov/ls/nu/sn/fsmcproc.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rketnews.usda.gov/mnp/fv-report-config-step1?type=termPri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FSCONTRACTS@cde.ca.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fns-prod.azureedge.net/sites/default/files/cn/SP38-2017os.pdf" TargetMode="External"/><Relationship Id="rId4" Type="http://schemas.openxmlformats.org/officeDocument/2006/relationships/settings" Target="settings.xml"/><Relationship Id="rId9" Type="http://schemas.openxmlformats.org/officeDocument/2006/relationships/hyperlink" Target="https://www.fns.usda.gov/draft-tool-local-agency-procurement-reviews-school-food-authorities-sy2016-2017-revised" TargetMode="External"/><Relationship Id="rId14" Type="http://schemas.openxmlformats.org/officeDocument/2006/relationships/hyperlink" Target="https://www.fns.usda.gov/school-meal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3DA13-A98E-4A56-A20F-3CD7322EF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2365</Words>
  <Characters>13482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Procurement Procedures Checklist - Procurement in Child Nutrition Programs (CA Dept of Education)</vt:lpstr>
    </vt:vector>
  </TitlesOfParts>
  <Company>CA Department of Education</Company>
  <LinksUpToDate>false</LinksUpToDate>
  <CharactersWithSpaces>15816</CharactersWithSpaces>
  <SharedDoc>false</SharedDoc>
  <HLinks>
    <vt:vector size="42" baseType="variant">
      <vt:variant>
        <vt:i4>720970</vt:i4>
      </vt:variant>
      <vt:variant>
        <vt:i4>18</vt:i4>
      </vt:variant>
      <vt:variant>
        <vt:i4>0</vt:i4>
      </vt:variant>
      <vt:variant>
        <vt:i4>5</vt:i4>
      </vt:variant>
      <vt:variant>
        <vt:lpwstr>https://www.fns.usda.gov/school-meals/policy</vt:lpwstr>
      </vt:variant>
      <vt:variant>
        <vt:lpwstr/>
      </vt:variant>
      <vt:variant>
        <vt:i4>3473504</vt:i4>
      </vt:variant>
      <vt:variant>
        <vt:i4>15</vt:i4>
      </vt:variant>
      <vt:variant>
        <vt:i4>0</vt:i4>
      </vt:variant>
      <vt:variant>
        <vt:i4>5</vt:i4>
      </vt:variant>
      <vt:variant>
        <vt:lpwstr>http://www.cde.ca.gov/ls/nu/sn/fsmcproc.asp</vt:lpwstr>
      </vt:variant>
      <vt:variant>
        <vt:lpwstr/>
      </vt:variant>
      <vt:variant>
        <vt:i4>327767</vt:i4>
      </vt:variant>
      <vt:variant>
        <vt:i4>12</vt:i4>
      </vt:variant>
      <vt:variant>
        <vt:i4>0</vt:i4>
      </vt:variant>
      <vt:variant>
        <vt:i4>5</vt:i4>
      </vt:variant>
      <vt:variant>
        <vt:lpwstr>https://marketnews.usda.gov/mnp/fv-report-config-step1?type=termPrice</vt:lpwstr>
      </vt:variant>
      <vt:variant>
        <vt:lpwstr/>
      </vt:variant>
      <vt:variant>
        <vt:i4>1441895</vt:i4>
      </vt:variant>
      <vt:variant>
        <vt:i4>9</vt:i4>
      </vt:variant>
      <vt:variant>
        <vt:i4>0</vt:i4>
      </vt:variant>
      <vt:variant>
        <vt:i4>5</vt:i4>
      </vt:variant>
      <vt:variant>
        <vt:lpwstr>mailto:SFSCONTRACTS@cde.ca.gov</vt:lpwstr>
      </vt:variant>
      <vt:variant>
        <vt:lpwstr/>
      </vt:variant>
      <vt:variant>
        <vt:i4>131146</vt:i4>
      </vt:variant>
      <vt:variant>
        <vt:i4>6</vt:i4>
      </vt:variant>
      <vt:variant>
        <vt:i4>0</vt:i4>
      </vt:variant>
      <vt:variant>
        <vt:i4>5</vt:i4>
      </vt:variant>
      <vt:variant>
        <vt:lpwstr>https://fns-prod.azureedge.net/sites/default/files/cn/SP38-2017os.pdf</vt:lpwstr>
      </vt:variant>
      <vt:variant>
        <vt:lpwstr/>
      </vt:variant>
      <vt:variant>
        <vt:i4>65549</vt:i4>
      </vt:variant>
      <vt:variant>
        <vt:i4>3</vt:i4>
      </vt:variant>
      <vt:variant>
        <vt:i4>0</vt:i4>
      </vt:variant>
      <vt:variant>
        <vt:i4>5</vt:i4>
      </vt:variant>
      <vt:variant>
        <vt:lpwstr>https://www.fns.usda.gov/draft-tool-local-agency-procurement-reviews-school-food-authorities-sy2016-2017-revised</vt:lpwstr>
      </vt:variant>
      <vt:variant>
        <vt:lpwstr/>
      </vt:variant>
      <vt:variant>
        <vt:i4>8126518</vt:i4>
      </vt:variant>
      <vt:variant>
        <vt:i4>0</vt:i4>
      </vt:variant>
      <vt:variant>
        <vt:i4>0</vt:i4>
      </vt:variant>
      <vt:variant>
        <vt:i4>5</vt:i4>
      </vt:variant>
      <vt:variant>
        <vt:lpwstr>http://www.ecfr.gov/cgi-bin/text-idx?tpl=/ecfrbrowse/Title02/2cfr200_main_02.tpl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Procedures Checklist - Procurement in Child Nutrition Programs (CA Dept of Education)</dc:title>
  <dc:subject>Procurement procedures and Code of Conduct instructions for Child Nutrition Program sponsors in developing required procurement procedures.</dc:subject>
  <dc:creator>California Department of Education</dc:creator>
  <cp:keywords/>
  <dc:description/>
  <cp:lastModifiedBy>Patricia Marche</cp:lastModifiedBy>
  <cp:revision>4</cp:revision>
  <cp:lastPrinted>2018-06-05T17:45:00Z</cp:lastPrinted>
  <dcterms:created xsi:type="dcterms:W3CDTF">2019-07-31T20:08:00Z</dcterms:created>
  <dcterms:modified xsi:type="dcterms:W3CDTF">2020-08-25T18:06:00Z</dcterms:modified>
</cp:coreProperties>
</file>