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385E99C0" w:rsidR="003C339C" w:rsidRPr="003C339C" w:rsidRDefault="003A27A0" w:rsidP="00E8568D">
      <w:bookmarkStart w:id="0" w:name="OLE_LINK4"/>
      <w:bookmarkStart w:id="1" w:name="OLE_LINK5"/>
      <w:bookmarkStart w:id="2" w:name="OLE_LINK1"/>
      <w:bookmarkStart w:id="3" w:name="OLE_LINK2"/>
      <w:bookmarkStart w:id="4" w:name="OLE_LINK7"/>
      <w:bookmarkStart w:id="5" w:name="OLE_LINK8"/>
      <w:r w:rsidRPr="0063135C">
        <w:rPr>
          <w:noProof/>
        </w:rPr>
        <w:drawing>
          <wp:inline distT="0" distB="0" distL="0" distR="0" wp14:anchorId="1D1A10F6" wp14:editId="03953BBB">
            <wp:extent cx="6019800" cy="1216046"/>
            <wp:effectExtent l="0" t="0" r="0" b="3175"/>
            <wp:docPr id="2" name="Picture 2" descr="Header: Brustein &amp; Manasevit,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Brustein &amp; Manasevit,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800" cy="1216046"/>
                    </a:xfrm>
                    <a:prstGeom prst="rect">
                      <a:avLst/>
                    </a:prstGeom>
                    <a:noFill/>
                  </pic:spPr>
                </pic:pic>
              </a:graphicData>
            </a:graphic>
          </wp:inline>
        </w:drawing>
      </w:r>
      <w:bookmarkStart w:id="6" w:name="OLE_LINK3"/>
      <w:bookmarkStart w:id="7" w:name="OLE_LINK6"/>
      <w:bookmarkStart w:id="8" w:name="OLE_LINK9"/>
      <w:bookmarkStart w:id="9" w:name="OLE_LINK10"/>
    </w:p>
    <w:p w14:paraId="3123BBB2" w14:textId="61F3D0E9" w:rsidR="0042468E" w:rsidRPr="006B3A9E" w:rsidRDefault="0042468E" w:rsidP="006B3A9E">
      <w:pPr>
        <w:pStyle w:val="Heading1"/>
      </w:pPr>
      <w:bookmarkStart w:id="10" w:name="_Toc69999593"/>
      <w:bookmarkStart w:id="11" w:name="_Toc70604860"/>
      <w:bookmarkStart w:id="12" w:name="_Toc70615916"/>
      <w:bookmarkStart w:id="13" w:name="_Toc70673785"/>
      <w:bookmarkStart w:id="14" w:name="_Toc71878172"/>
      <w:bookmarkStart w:id="15" w:name="_Toc71879808"/>
      <w:r w:rsidRPr="006B3A9E">
        <w:t xml:space="preserve">The Federal Update for </w:t>
      </w:r>
      <w:bookmarkEnd w:id="10"/>
      <w:bookmarkEnd w:id="11"/>
      <w:bookmarkEnd w:id="12"/>
      <w:bookmarkEnd w:id="13"/>
      <w:bookmarkEnd w:id="14"/>
      <w:bookmarkEnd w:id="15"/>
      <w:r w:rsidR="009471B1" w:rsidRPr="006B3A9E">
        <w:t xml:space="preserve">January </w:t>
      </w:r>
      <w:r w:rsidR="00173FDA" w:rsidRPr="006B3A9E">
        <w:t>20</w:t>
      </w:r>
      <w:r w:rsidR="005D3FF9" w:rsidRPr="006B3A9E">
        <w:t>, 202</w:t>
      </w:r>
      <w:r w:rsidR="009471B1" w:rsidRPr="006B3A9E">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87BAD17" w:rsidR="0063135C" w:rsidRDefault="00D0389C" w:rsidP="009B424F">
      <w:pPr>
        <w:pStyle w:val="MessageHeader"/>
        <w:spacing w:after="240"/>
      </w:pPr>
      <w:r>
        <w:t>Date:</w:t>
      </w:r>
      <w:r>
        <w:tab/>
      </w:r>
      <w:r w:rsidR="009471B1">
        <w:t xml:space="preserve">January </w:t>
      </w:r>
      <w:r w:rsidR="00173FDA">
        <w:t>20</w:t>
      </w:r>
      <w:r w:rsidR="009471B1">
        <w:t>, 2023</w:t>
      </w:r>
    </w:p>
    <w:p w14:paraId="77F7B91D" w14:textId="7E8895CA" w:rsidR="005B03C7"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5104619" w:history="1">
        <w:r w:rsidR="005B03C7" w:rsidRPr="000F3E9B">
          <w:rPr>
            <w:rStyle w:val="Hyperlink"/>
          </w:rPr>
          <w:t>News</w:t>
        </w:r>
        <w:r w:rsidR="005B03C7">
          <w:rPr>
            <w:webHidden/>
          </w:rPr>
          <w:tab/>
        </w:r>
        <w:r w:rsidR="005B03C7">
          <w:rPr>
            <w:webHidden/>
          </w:rPr>
          <w:fldChar w:fldCharType="begin"/>
        </w:r>
        <w:r w:rsidR="005B03C7">
          <w:rPr>
            <w:webHidden/>
          </w:rPr>
          <w:instrText xml:space="preserve"> PAGEREF _Toc125104619 \h </w:instrText>
        </w:r>
        <w:r w:rsidR="005B03C7">
          <w:rPr>
            <w:webHidden/>
          </w:rPr>
        </w:r>
        <w:r w:rsidR="005B03C7">
          <w:rPr>
            <w:webHidden/>
          </w:rPr>
          <w:fldChar w:fldCharType="separate"/>
        </w:r>
        <w:r w:rsidR="000536AE">
          <w:rPr>
            <w:webHidden/>
          </w:rPr>
          <w:t>1</w:t>
        </w:r>
        <w:r w:rsidR="005B03C7">
          <w:rPr>
            <w:webHidden/>
          </w:rPr>
          <w:fldChar w:fldCharType="end"/>
        </w:r>
      </w:hyperlink>
    </w:p>
    <w:p w14:paraId="75857455" w14:textId="56786E0E" w:rsidR="005B03C7" w:rsidRDefault="006B3A9E">
      <w:pPr>
        <w:pStyle w:val="TOC3"/>
        <w:rPr>
          <w:rFonts w:asciiTheme="minorHAnsi" w:eastAsiaTheme="minorEastAsia" w:hAnsiTheme="minorHAnsi" w:cstheme="minorBidi"/>
          <w:b w:val="0"/>
          <w:sz w:val="22"/>
          <w:szCs w:val="22"/>
        </w:rPr>
      </w:pPr>
      <w:hyperlink w:anchor="_Toc125104620" w:history="1">
        <w:r w:rsidR="005B03C7" w:rsidRPr="000F3E9B">
          <w:rPr>
            <w:rStyle w:val="Hyperlink"/>
          </w:rPr>
          <w:t>Foxx Outlines Plans to Step Up Oversight as Chair</w:t>
        </w:r>
        <w:r w:rsidR="005B03C7">
          <w:rPr>
            <w:webHidden/>
          </w:rPr>
          <w:tab/>
        </w:r>
        <w:r w:rsidR="005B03C7">
          <w:rPr>
            <w:webHidden/>
          </w:rPr>
          <w:fldChar w:fldCharType="begin"/>
        </w:r>
        <w:r w:rsidR="005B03C7">
          <w:rPr>
            <w:webHidden/>
          </w:rPr>
          <w:instrText xml:space="preserve"> PAGEREF _Toc125104620 \h </w:instrText>
        </w:r>
        <w:r w:rsidR="005B03C7">
          <w:rPr>
            <w:webHidden/>
          </w:rPr>
        </w:r>
        <w:r w:rsidR="005B03C7">
          <w:rPr>
            <w:webHidden/>
          </w:rPr>
          <w:fldChar w:fldCharType="separate"/>
        </w:r>
        <w:r w:rsidR="000536AE">
          <w:rPr>
            <w:webHidden/>
          </w:rPr>
          <w:t>1</w:t>
        </w:r>
        <w:r w:rsidR="005B03C7">
          <w:rPr>
            <w:webHidden/>
          </w:rPr>
          <w:fldChar w:fldCharType="end"/>
        </w:r>
      </w:hyperlink>
    </w:p>
    <w:p w14:paraId="1BCCE92D" w14:textId="0ACC958D" w:rsidR="005B03C7" w:rsidRDefault="006B3A9E">
      <w:pPr>
        <w:pStyle w:val="TOC3"/>
        <w:rPr>
          <w:rFonts w:asciiTheme="minorHAnsi" w:eastAsiaTheme="minorEastAsia" w:hAnsiTheme="minorHAnsi" w:cstheme="minorBidi"/>
          <w:b w:val="0"/>
          <w:sz w:val="22"/>
          <w:szCs w:val="22"/>
        </w:rPr>
      </w:pPr>
      <w:hyperlink w:anchor="_Toc125104621" w:history="1">
        <w:r w:rsidR="005B03C7" w:rsidRPr="000F3E9B">
          <w:rPr>
            <w:rStyle w:val="Hyperlink"/>
          </w:rPr>
          <w:t>House Committee Will Take Up “Parents’ Rights” Legislation</w:t>
        </w:r>
        <w:r w:rsidR="005B03C7">
          <w:rPr>
            <w:webHidden/>
          </w:rPr>
          <w:tab/>
        </w:r>
        <w:r w:rsidR="005B03C7">
          <w:rPr>
            <w:webHidden/>
          </w:rPr>
          <w:fldChar w:fldCharType="begin"/>
        </w:r>
        <w:r w:rsidR="005B03C7">
          <w:rPr>
            <w:webHidden/>
          </w:rPr>
          <w:instrText xml:space="preserve"> PAGEREF _Toc125104621 \h </w:instrText>
        </w:r>
        <w:r w:rsidR="005B03C7">
          <w:rPr>
            <w:webHidden/>
          </w:rPr>
        </w:r>
        <w:r w:rsidR="005B03C7">
          <w:rPr>
            <w:webHidden/>
          </w:rPr>
          <w:fldChar w:fldCharType="separate"/>
        </w:r>
        <w:r w:rsidR="000536AE">
          <w:rPr>
            <w:webHidden/>
          </w:rPr>
          <w:t>2</w:t>
        </w:r>
        <w:r w:rsidR="005B03C7">
          <w:rPr>
            <w:webHidden/>
          </w:rPr>
          <w:fldChar w:fldCharType="end"/>
        </w:r>
      </w:hyperlink>
    </w:p>
    <w:p w14:paraId="1F1A2669" w14:textId="2EE15F4A" w:rsidR="005B03C7" w:rsidRDefault="006B3A9E">
      <w:pPr>
        <w:pStyle w:val="TOC2"/>
        <w:rPr>
          <w:rFonts w:asciiTheme="minorHAnsi" w:eastAsiaTheme="minorEastAsia" w:hAnsiTheme="minorHAnsi" w:cstheme="minorBidi"/>
          <w:b w:val="0"/>
          <w:sz w:val="22"/>
          <w:szCs w:val="22"/>
        </w:rPr>
      </w:pPr>
      <w:hyperlink w:anchor="_Toc125104622" w:history="1">
        <w:r w:rsidR="005B03C7" w:rsidRPr="000F3E9B">
          <w:rPr>
            <w:rStyle w:val="Hyperlink"/>
          </w:rPr>
          <w:t>Reports</w:t>
        </w:r>
        <w:r w:rsidR="005B03C7">
          <w:rPr>
            <w:webHidden/>
          </w:rPr>
          <w:tab/>
        </w:r>
        <w:r w:rsidR="005B03C7">
          <w:rPr>
            <w:webHidden/>
          </w:rPr>
          <w:fldChar w:fldCharType="begin"/>
        </w:r>
        <w:r w:rsidR="005B03C7">
          <w:rPr>
            <w:webHidden/>
          </w:rPr>
          <w:instrText xml:space="preserve"> PAGEREF _Toc125104622 \h </w:instrText>
        </w:r>
        <w:r w:rsidR="005B03C7">
          <w:rPr>
            <w:webHidden/>
          </w:rPr>
        </w:r>
        <w:r w:rsidR="005B03C7">
          <w:rPr>
            <w:webHidden/>
          </w:rPr>
          <w:fldChar w:fldCharType="separate"/>
        </w:r>
        <w:r w:rsidR="000536AE">
          <w:rPr>
            <w:webHidden/>
          </w:rPr>
          <w:t>2</w:t>
        </w:r>
        <w:r w:rsidR="005B03C7">
          <w:rPr>
            <w:webHidden/>
          </w:rPr>
          <w:fldChar w:fldCharType="end"/>
        </w:r>
      </w:hyperlink>
    </w:p>
    <w:p w14:paraId="4940536D" w14:textId="140CEC52" w:rsidR="005B03C7" w:rsidRDefault="006B3A9E">
      <w:pPr>
        <w:pStyle w:val="TOC3"/>
        <w:rPr>
          <w:rFonts w:asciiTheme="minorHAnsi" w:eastAsiaTheme="minorEastAsia" w:hAnsiTheme="minorHAnsi" w:cstheme="minorBidi"/>
          <w:b w:val="0"/>
          <w:sz w:val="22"/>
          <w:szCs w:val="22"/>
        </w:rPr>
      </w:pPr>
      <w:hyperlink w:anchor="_Toc125104623" w:history="1">
        <w:r w:rsidR="005B03C7" w:rsidRPr="000F3E9B">
          <w:rPr>
            <w:rStyle w:val="Hyperlink"/>
            <w:rFonts w:eastAsia="Times New Roman"/>
          </w:rPr>
          <w:t>GAO Expresses Concerns on College Misrepresentation Enforcement</w:t>
        </w:r>
        <w:r w:rsidR="005B03C7">
          <w:rPr>
            <w:webHidden/>
          </w:rPr>
          <w:tab/>
        </w:r>
        <w:r w:rsidR="005B03C7">
          <w:rPr>
            <w:webHidden/>
          </w:rPr>
          <w:fldChar w:fldCharType="begin"/>
        </w:r>
        <w:r w:rsidR="005B03C7">
          <w:rPr>
            <w:webHidden/>
          </w:rPr>
          <w:instrText xml:space="preserve"> PAGEREF _Toc125104623 \h </w:instrText>
        </w:r>
        <w:r w:rsidR="005B03C7">
          <w:rPr>
            <w:webHidden/>
          </w:rPr>
        </w:r>
        <w:r w:rsidR="005B03C7">
          <w:rPr>
            <w:webHidden/>
          </w:rPr>
          <w:fldChar w:fldCharType="separate"/>
        </w:r>
        <w:r w:rsidR="000536AE">
          <w:rPr>
            <w:webHidden/>
          </w:rPr>
          <w:t>2</w:t>
        </w:r>
        <w:r w:rsidR="005B03C7">
          <w:rPr>
            <w:webHidden/>
          </w:rPr>
          <w:fldChar w:fldCharType="end"/>
        </w:r>
      </w:hyperlink>
    </w:p>
    <w:p w14:paraId="5D0D7DE7" w14:textId="43CD48CD" w:rsidR="00BA3D90" w:rsidRPr="009471B1" w:rsidRDefault="00156AA4" w:rsidP="00764A1D">
      <w:pPr>
        <w:rPr>
          <w:i/>
          <w:iCs/>
        </w:rPr>
      </w:pPr>
      <w:r w:rsidRPr="00CF79C8">
        <w:fldChar w:fldCharType="end"/>
      </w:r>
      <w:bookmarkStart w:id="16" w:name="_Toc504484598"/>
      <w:bookmarkEnd w:id="0"/>
      <w:bookmarkEnd w:id="1"/>
      <w:bookmarkEnd w:id="2"/>
      <w:bookmarkEnd w:id="3"/>
      <w:bookmarkEnd w:id="4"/>
      <w:bookmarkEnd w:id="5"/>
    </w:p>
    <w:p w14:paraId="32D9C4F7" w14:textId="187AAF02" w:rsidR="005B3F59" w:rsidRDefault="00173FDA" w:rsidP="005B3F59">
      <w:pPr>
        <w:pStyle w:val="Heading2"/>
      </w:pPr>
      <w:bookmarkStart w:id="17" w:name="_Toc125104619"/>
      <w:r>
        <w:t>News</w:t>
      </w:r>
      <w:bookmarkEnd w:id="17"/>
    </w:p>
    <w:p w14:paraId="6765FD56" w14:textId="634251BC" w:rsidR="005B3F59" w:rsidRDefault="00173FDA" w:rsidP="005B3F59">
      <w:pPr>
        <w:pStyle w:val="Heading3"/>
      </w:pPr>
      <w:bookmarkStart w:id="18" w:name="_Toc125104620"/>
      <w:r>
        <w:t>Foxx</w:t>
      </w:r>
      <w:r w:rsidR="005B03C7">
        <w:t xml:space="preserve"> Outlines Plans to</w:t>
      </w:r>
      <w:r>
        <w:t xml:space="preserve"> Step Up Oversight as Chair</w:t>
      </w:r>
      <w:bookmarkEnd w:id="18"/>
    </w:p>
    <w:p w14:paraId="6406F010" w14:textId="462B5C49" w:rsidR="00173FDA" w:rsidRDefault="005B03C7" w:rsidP="00173FDA">
      <w:pPr>
        <w:rPr>
          <w:rFonts w:cs="Arial"/>
          <w:szCs w:val="24"/>
        </w:rPr>
      </w:pPr>
      <w:r>
        <w:rPr>
          <w:rFonts w:cs="Arial"/>
          <w:szCs w:val="24"/>
        </w:rPr>
        <w:t>With Representative</w:t>
      </w:r>
      <w:r w:rsidR="00173FDA">
        <w:rPr>
          <w:rFonts w:cs="Arial"/>
          <w:szCs w:val="24"/>
        </w:rPr>
        <w:t xml:space="preserve"> Virginia Foxx (R-NC) </w:t>
      </w:r>
      <w:r>
        <w:rPr>
          <w:rFonts w:cs="Arial"/>
          <w:szCs w:val="24"/>
        </w:rPr>
        <w:t>returning</w:t>
      </w:r>
      <w:r w:rsidR="00173FDA">
        <w:rPr>
          <w:rFonts w:cs="Arial"/>
          <w:szCs w:val="24"/>
        </w:rPr>
        <w:t xml:space="preserve"> to her previously-held role as Chair of the House Committee on Education and Workforce, she took action last week to follow-up on prior oversight requests </w:t>
      </w:r>
      <w:r w:rsidR="00D57B71">
        <w:rPr>
          <w:rFonts w:cs="Arial"/>
          <w:szCs w:val="24"/>
        </w:rPr>
        <w:t>to</w:t>
      </w:r>
      <w:r w:rsidR="00173FDA">
        <w:rPr>
          <w:rFonts w:cs="Arial"/>
          <w:szCs w:val="24"/>
        </w:rPr>
        <w:t xml:space="preserve"> the U.S. Department of Education</w:t>
      </w:r>
      <w:r w:rsidR="007E2D4D">
        <w:rPr>
          <w:rFonts w:cs="Arial"/>
          <w:szCs w:val="24"/>
        </w:rPr>
        <w:t xml:space="preserve"> (ED)</w:t>
      </w:r>
      <w:r w:rsidR="00173FDA">
        <w:rPr>
          <w:rFonts w:cs="Arial"/>
          <w:szCs w:val="24"/>
        </w:rPr>
        <w:t xml:space="preserve">.  </w:t>
      </w:r>
    </w:p>
    <w:p w14:paraId="79347844" w14:textId="7DD0930A" w:rsidR="00173FDA" w:rsidRDefault="00173FDA" w:rsidP="00173FDA">
      <w:pPr>
        <w:rPr>
          <w:rFonts w:cs="Arial"/>
          <w:szCs w:val="24"/>
        </w:rPr>
      </w:pPr>
      <w:r>
        <w:rPr>
          <w:rFonts w:cs="Arial"/>
          <w:szCs w:val="24"/>
        </w:rPr>
        <w:t>In a letter submitted to Secretary of Education Miguel Cardona on January 12, Foxx stated that she is “putting [Cardona] on notice” that ED “has an obligation to provide timely and complete responses to inquiries and requests made by the Committee.”  The letter specifically highlights an information request sent to ED in September of 2022 regarding free speech on college campuses.  In that letter, Committee Republicans requested a staff briefing on the actions ED is taking to ensure colleges receiving federal fund</w:t>
      </w:r>
      <w:r w:rsidR="00D57B71">
        <w:rPr>
          <w:rFonts w:cs="Arial"/>
          <w:szCs w:val="24"/>
        </w:rPr>
        <w:t>s</w:t>
      </w:r>
      <w:r>
        <w:rPr>
          <w:rFonts w:cs="Arial"/>
          <w:szCs w:val="24"/>
        </w:rPr>
        <w:t xml:space="preserve"> are promoting free speech on their campuses.  In addition to highlighting that briefing request, the letter last week includes a list of procedures that Foxx requests ED follow in response to any oversight requests from the Committee.</w:t>
      </w:r>
    </w:p>
    <w:p w14:paraId="6CF6BC77" w14:textId="0B56DFC9" w:rsidR="00173FDA" w:rsidRDefault="00173FDA" w:rsidP="00173FDA">
      <w:pPr>
        <w:rPr>
          <w:rFonts w:cs="Arial"/>
          <w:szCs w:val="24"/>
        </w:rPr>
      </w:pPr>
      <w:r>
        <w:rPr>
          <w:rFonts w:cs="Arial"/>
          <w:szCs w:val="24"/>
        </w:rPr>
        <w:t>The letter also states that if Secretary Cardona does not respond timely to the cited briefing request, as well as any future Committee requests during the 118</w:t>
      </w:r>
      <w:r w:rsidRPr="0004275C">
        <w:rPr>
          <w:rFonts w:cs="Arial"/>
          <w:szCs w:val="24"/>
          <w:vertAlign w:val="superscript"/>
        </w:rPr>
        <w:t>th</w:t>
      </w:r>
      <w:r>
        <w:rPr>
          <w:rFonts w:cs="Arial"/>
          <w:szCs w:val="24"/>
        </w:rPr>
        <w:t xml:space="preserve"> Congress, the Committee may “</w:t>
      </w:r>
      <w:proofErr w:type="spellStart"/>
      <w:r>
        <w:rPr>
          <w:rFonts w:cs="Arial"/>
          <w:szCs w:val="24"/>
        </w:rPr>
        <w:t>tak</w:t>
      </w:r>
      <w:proofErr w:type="spellEnd"/>
      <w:r>
        <w:rPr>
          <w:rFonts w:cs="Arial"/>
          <w:szCs w:val="24"/>
        </w:rPr>
        <w:t xml:space="preserve">[e] more robust actions to ensure compliance with its oversight requests.”  However, the letter does not specify what those actions may be.  Foxx </w:t>
      </w:r>
      <w:r>
        <w:rPr>
          <w:rFonts w:cs="Arial"/>
          <w:szCs w:val="24"/>
        </w:rPr>
        <w:lastRenderedPageBreak/>
        <w:t xml:space="preserve">requests a response to </w:t>
      </w:r>
      <w:r w:rsidR="00D57B71">
        <w:rPr>
          <w:rFonts w:cs="Arial"/>
          <w:szCs w:val="24"/>
        </w:rPr>
        <w:t>the</w:t>
      </w:r>
      <w:r>
        <w:rPr>
          <w:rFonts w:cs="Arial"/>
          <w:szCs w:val="24"/>
        </w:rPr>
        <w:t xml:space="preserve"> letter by January 27.  </w:t>
      </w:r>
    </w:p>
    <w:p w14:paraId="50A9137F" w14:textId="77777777" w:rsidR="00173FDA" w:rsidRDefault="00173FDA" w:rsidP="00173FDA">
      <w:pPr>
        <w:rPr>
          <w:rFonts w:cs="Arial"/>
          <w:szCs w:val="24"/>
        </w:rPr>
      </w:pPr>
      <w:r>
        <w:rPr>
          <w:rFonts w:cs="Arial"/>
          <w:szCs w:val="24"/>
        </w:rPr>
        <w:t>Outside of the letter sent to Cardona last week, Foxx submitted eight other letters to various federal agencies, indicating that oversight will be a focus during her tenure as Committee Chair in the 118</w:t>
      </w:r>
      <w:r w:rsidRPr="0004275C">
        <w:rPr>
          <w:rFonts w:cs="Arial"/>
          <w:szCs w:val="24"/>
          <w:vertAlign w:val="superscript"/>
        </w:rPr>
        <w:t>th</w:t>
      </w:r>
      <w:r>
        <w:rPr>
          <w:rFonts w:cs="Arial"/>
          <w:szCs w:val="24"/>
        </w:rPr>
        <w:t xml:space="preserve"> Congress.</w:t>
      </w:r>
    </w:p>
    <w:p w14:paraId="015DC921" w14:textId="77777777" w:rsidR="00173FDA" w:rsidRDefault="00173FDA" w:rsidP="00173FDA">
      <w:pPr>
        <w:spacing w:after="0"/>
        <w:rPr>
          <w:rFonts w:cs="Arial"/>
          <w:szCs w:val="24"/>
        </w:rPr>
      </w:pPr>
      <w:r>
        <w:rPr>
          <w:rFonts w:cs="Arial"/>
          <w:szCs w:val="24"/>
        </w:rPr>
        <w:t>Resources:</w:t>
      </w:r>
    </w:p>
    <w:p w14:paraId="05F9B03D" w14:textId="22757678" w:rsidR="00173FDA" w:rsidRDefault="00173FDA" w:rsidP="00173FDA">
      <w:pPr>
        <w:spacing w:before="0" w:after="0"/>
        <w:rPr>
          <w:rFonts w:cs="Arial"/>
          <w:szCs w:val="24"/>
        </w:rPr>
      </w:pPr>
      <w:r>
        <w:rPr>
          <w:rFonts w:cs="Arial"/>
          <w:szCs w:val="24"/>
        </w:rPr>
        <w:t xml:space="preserve">Bianca Quilantan, “Foxx renews oversight request on campus free speech,” </w:t>
      </w:r>
      <w:r>
        <w:rPr>
          <w:rFonts w:cs="Arial"/>
          <w:i/>
          <w:iCs/>
          <w:szCs w:val="24"/>
        </w:rPr>
        <w:t>Politico</w:t>
      </w:r>
      <w:r>
        <w:rPr>
          <w:rFonts w:cs="Arial"/>
          <w:szCs w:val="24"/>
        </w:rPr>
        <w:t>, January 12, 2023.</w:t>
      </w:r>
    </w:p>
    <w:p w14:paraId="0F4EAA25" w14:textId="23D66BCC" w:rsidR="00173FDA" w:rsidRDefault="00173FDA" w:rsidP="00173FDA">
      <w:pPr>
        <w:spacing w:before="0" w:after="0"/>
        <w:rPr>
          <w:rFonts w:cs="Arial"/>
          <w:szCs w:val="24"/>
        </w:rPr>
      </w:pPr>
      <w:r>
        <w:rPr>
          <w:rFonts w:cs="Arial"/>
          <w:szCs w:val="24"/>
        </w:rPr>
        <w:t>Author: KSC</w:t>
      </w:r>
    </w:p>
    <w:p w14:paraId="6AA86CA7" w14:textId="6B1D044F" w:rsidR="00AD0A7D" w:rsidRDefault="005B03C7" w:rsidP="00173FDA">
      <w:pPr>
        <w:pStyle w:val="Heading3"/>
      </w:pPr>
      <w:bookmarkStart w:id="19" w:name="_Toc125104621"/>
      <w:r>
        <w:t>House</w:t>
      </w:r>
      <w:r w:rsidR="00173FDA">
        <w:t xml:space="preserve"> Committee Will Take Up “Parents’ Rights” Legislation</w:t>
      </w:r>
      <w:bookmarkEnd w:id="19"/>
    </w:p>
    <w:p w14:paraId="4E332FBB" w14:textId="77777777" w:rsidR="00173FDA" w:rsidRPr="002B5051" w:rsidRDefault="00173FDA" w:rsidP="00173FDA">
      <w:pPr>
        <w:rPr>
          <w:rFonts w:cs="Arial"/>
          <w:szCs w:val="24"/>
        </w:rPr>
      </w:pPr>
      <w:r w:rsidRPr="002B5051">
        <w:rPr>
          <w:rFonts w:cs="Arial"/>
          <w:szCs w:val="24"/>
        </w:rPr>
        <w:t xml:space="preserve">In a statement this week, House Education and the Workforce Chair Virginia Foxx (R-NC) says she expects that legislation enforcing “parents’ rights” in education will be among the first items the Committee takes up.  </w:t>
      </w:r>
    </w:p>
    <w:p w14:paraId="1CBB0728" w14:textId="419854BF" w:rsidR="00173FDA" w:rsidRPr="002B5051" w:rsidRDefault="00173FDA" w:rsidP="00173FDA">
      <w:pPr>
        <w:rPr>
          <w:rFonts w:cs="Arial"/>
          <w:szCs w:val="24"/>
        </w:rPr>
      </w:pPr>
      <w:r w:rsidRPr="002B5051">
        <w:rPr>
          <w:rFonts w:cs="Arial"/>
          <w:szCs w:val="24"/>
        </w:rPr>
        <w:t>While the concept of “parents’ rights” is somewhat undefined, various legislative proposals in previous Congresses would require school districts to publicly post their curricula, send parents</w:t>
      </w:r>
      <w:r w:rsidR="00D57B71">
        <w:rPr>
          <w:rFonts w:cs="Arial"/>
          <w:szCs w:val="24"/>
        </w:rPr>
        <w:t xml:space="preserve"> a</w:t>
      </w:r>
      <w:r w:rsidRPr="002B5051">
        <w:rPr>
          <w:rFonts w:cs="Arial"/>
          <w:szCs w:val="24"/>
        </w:rPr>
        <w:t xml:space="preserve"> list of</w:t>
      </w:r>
      <w:r w:rsidR="00D57B71">
        <w:rPr>
          <w:rFonts w:cs="Arial"/>
          <w:szCs w:val="24"/>
        </w:rPr>
        <w:t xml:space="preserve"> all</w:t>
      </w:r>
      <w:r w:rsidRPr="002B5051">
        <w:rPr>
          <w:rFonts w:cs="Arial"/>
          <w:szCs w:val="24"/>
        </w:rPr>
        <w:t xml:space="preserve"> books </w:t>
      </w:r>
      <w:r w:rsidR="00D57B71">
        <w:rPr>
          <w:rFonts w:cs="Arial"/>
          <w:szCs w:val="24"/>
        </w:rPr>
        <w:t xml:space="preserve">held </w:t>
      </w:r>
      <w:r w:rsidRPr="002B5051">
        <w:rPr>
          <w:rFonts w:cs="Arial"/>
          <w:szCs w:val="24"/>
        </w:rPr>
        <w:t>in the school library, allow access to instructional materials, and share information about district expenditures.  Similar legislation proposed in the Senate would allow parents to observe their children’s classes and opt out of schoolwide assemblies or school-based physical and mental health screenings.</w:t>
      </w:r>
    </w:p>
    <w:p w14:paraId="4E0E446D" w14:textId="77777777" w:rsidR="00173FDA" w:rsidRPr="002B5051" w:rsidRDefault="00173FDA" w:rsidP="00173FDA">
      <w:pPr>
        <w:rPr>
          <w:rFonts w:cs="Arial"/>
          <w:szCs w:val="24"/>
        </w:rPr>
      </w:pPr>
      <w:r w:rsidRPr="002B5051">
        <w:rPr>
          <w:rFonts w:cs="Arial"/>
          <w:szCs w:val="24"/>
        </w:rPr>
        <w:t>“I think it’ll be the first bill that will come out of our committee and come to the floor,” Foxx said in an interview on Fox Business this week.  She added that parents “have a right to have a say in their children’s education, and we’re going to do everything we can to restore those rights.”</w:t>
      </w:r>
    </w:p>
    <w:p w14:paraId="1463DA99" w14:textId="0BF7EADF" w:rsidR="00173FDA" w:rsidRPr="002B5051" w:rsidRDefault="00173FDA" w:rsidP="00173FDA">
      <w:pPr>
        <w:rPr>
          <w:rFonts w:cs="Arial"/>
          <w:szCs w:val="24"/>
        </w:rPr>
      </w:pPr>
      <w:r w:rsidRPr="002B5051">
        <w:rPr>
          <w:rFonts w:cs="Arial"/>
          <w:szCs w:val="24"/>
        </w:rPr>
        <w:t>However, this legislation is unlikely to pass in the Senate or be signed by the President, in part because of concerns expressed by school leadership about teacher and student safety</w:t>
      </w:r>
      <w:r w:rsidR="00D57B71">
        <w:rPr>
          <w:rFonts w:cs="Arial"/>
          <w:szCs w:val="24"/>
        </w:rPr>
        <w:t>,</w:t>
      </w:r>
      <w:r w:rsidRPr="002B5051">
        <w:rPr>
          <w:rFonts w:cs="Arial"/>
          <w:szCs w:val="24"/>
        </w:rPr>
        <w:t xml:space="preserve"> as well as administrative burden.</w:t>
      </w:r>
    </w:p>
    <w:p w14:paraId="55C5E09E" w14:textId="77777777" w:rsidR="00173FDA" w:rsidRPr="002B5051" w:rsidRDefault="00173FDA" w:rsidP="00173FDA">
      <w:pPr>
        <w:rPr>
          <w:rFonts w:cs="Arial"/>
          <w:szCs w:val="24"/>
        </w:rPr>
      </w:pPr>
      <w:r w:rsidRPr="002B5051">
        <w:rPr>
          <w:rFonts w:cs="Arial"/>
          <w:szCs w:val="24"/>
        </w:rPr>
        <w:t>Author: JCM</w:t>
      </w:r>
    </w:p>
    <w:p w14:paraId="757D07B6" w14:textId="063011E1" w:rsidR="00A152A5" w:rsidRDefault="00173FDA" w:rsidP="00B06F0A">
      <w:pPr>
        <w:pStyle w:val="Heading2"/>
      </w:pPr>
      <w:bookmarkStart w:id="20" w:name="_Toc125104622"/>
      <w:r>
        <w:t>Reports</w:t>
      </w:r>
      <w:bookmarkEnd w:id="20"/>
    </w:p>
    <w:p w14:paraId="270CB295" w14:textId="7F9CF86C" w:rsidR="00D60E68" w:rsidRDefault="00173FDA" w:rsidP="00D60E68">
      <w:pPr>
        <w:pStyle w:val="Heading3"/>
        <w:rPr>
          <w:rFonts w:eastAsia="Times New Roman"/>
        </w:rPr>
      </w:pPr>
      <w:bookmarkStart w:id="21" w:name="_Toc125104623"/>
      <w:bookmarkEnd w:id="6"/>
      <w:bookmarkEnd w:id="7"/>
      <w:bookmarkEnd w:id="8"/>
      <w:bookmarkEnd w:id="9"/>
      <w:bookmarkEnd w:id="16"/>
      <w:r>
        <w:rPr>
          <w:rFonts w:eastAsia="Times New Roman"/>
        </w:rPr>
        <w:t>GAO Expresses Concerns on College Misrepresentation Enforcement</w:t>
      </w:r>
      <w:bookmarkEnd w:id="21"/>
      <w:r>
        <w:rPr>
          <w:rFonts w:eastAsia="Times New Roman"/>
        </w:rPr>
        <w:t xml:space="preserve"> </w:t>
      </w:r>
    </w:p>
    <w:p w14:paraId="16D28081" w14:textId="77777777" w:rsidR="00173FDA" w:rsidRPr="002B5051" w:rsidRDefault="00173FDA" w:rsidP="00173FDA">
      <w:pPr>
        <w:rPr>
          <w:rFonts w:cs="Arial"/>
          <w:szCs w:val="24"/>
        </w:rPr>
      </w:pPr>
      <w:r w:rsidRPr="002B5051">
        <w:rPr>
          <w:rFonts w:cs="Arial"/>
          <w:szCs w:val="24"/>
        </w:rPr>
        <w:t>A report issued by the Government Accountability Office (GAO) last Thursday suggests that the U.S. Department of Education (ED) has failed to adequately enforce prohibitions against “substantial misrepresentation” by colleges.</w:t>
      </w:r>
    </w:p>
    <w:p w14:paraId="24989CCC" w14:textId="2B56D5BD" w:rsidR="00173FDA" w:rsidRPr="002B5051" w:rsidRDefault="00173FDA" w:rsidP="00173FDA">
      <w:pPr>
        <w:rPr>
          <w:rFonts w:cs="Arial"/>
          <w:szCs w:val="24"/>
        </w:rPr>
      </w:pPr>
      <w:r w:rsidRPr="002B5051">
        <w:rPr>
          <w:rFonts w:cs="Arial"/>
          <w:szCs w:val="24"/>
        </w:rPr>
        <w:t>The report notes that under</w:t>
      </w:r>
      <w:r w:rsidR="00D57B71">
        <w:rPr>
          <w:rFonts w:cs="Arial"/>
          <w:szCs w:val="24"/>
        </w:rPr>
        <w:t xml:space="preserve"> former</w:t>
      </w:r>
      <w:r w:rsidRPr="002B5051">
        <w:rPr>
          <w:rFonts w:cs="Arial"/>
          <w:szCs w:val="24"/>
        </w:rPr>
        <w:t xml:space="preserve"> Secretary </w:t>
      </w:r>
      <w:r w:rsidR="00D57B71">
        <w:rPr>
          <w:rFonts w:cs="Arial"/>
          <w:szCs w:val="24"/>
        </w:rPr>
        <w:t xml:space="preserve">of Education </w:t>
      </w:r>
      <w:r w:rsidRPr="002B5051">
        <w:rPr>
          <w:rFonts w:cs="Arial"/>
          <w:szCs w:val="24"/>
        </w:rPr>
        <w:t>Betsy DeVos, ED eliminated a team dedicated to investigating allegations of fraud in higher education.  Between 2018 and 2020, GAO found that ED only opened one investigation into allegations that schools misled students or prospective students about a school’s educational offerings, job prospects, or potential debt.  But even after drafting a plan to revive the enforcement unit, GAO says ED has “repeatedly missed its own deadlines” for putting new staff an</w:t>
      </w:r>
      <w:r w:rsidR="00C729CD">
        <w:rPr>
          <w:rFonts w:cs="Arial"/>
          <w:szCs w:val="24"/>
        </w:rPr>
        <w:t>d</w:t>
      </w:r>
      <w:r w:rsidRPr="002B5051">
        <w:rPr>
          <w:rFonts w:cs="Arial"/>
          <w:szCs w:val="24"/>
        </w:rPr>
        <w:t xml:space="preserve"> </w:t>
      </w:r>
      <w:r w:rsidRPr="002B5051">
        <w:rPr>
          <w:rFonts w:cs="Arial"/>
          <w:szCs w:val="24"/>
        </w:rPr>
        <w:lastRenderedPageBreak/>
        <w:t>policies into place.  The unit has experienced high turnover, with nine directors in the last six years, and high levels of staff attrition.  It has no formal written procedures for investigating colleges and has not updated written procedures for imposing penalties on colleges found to have engaged in substantial misrepresentation.</w:t>
      </w:r>
    </w:p>
    <w:p w14:paraId="0DC3FFFA" w14:textId="77777777" w:rsidR="00173FDA" w:rsidRPr="002B5051" w:rsidRDefault="00173FDA" w:rsidP="00173FDA">
      <w:pPr>
        <w:rPr>
          <w:rFonts w:cs="Arial"/>
          <w:szCs w:val="24"/>
        </w:rPr>
      </w:pPr>
      <w:r w:rsidRPr="002B5051">
        <w:rPr>
          <w:rFonts w:cs="Arial"/>
          <w:szCs w:val="24"/>
        </w:rPr>
        <w:t>In a response to the report, Federal Student Aid office head Richard Cordray said he agreed with the need to finalize and update policies, but said that the agency is focused on “taking the time necessary to review and implement modernized procedures that govern our work.”  Since Cordray took over the office in 2021, ED has opened at least six new investigations, according to the report.</w:t>
      </w:r>
    </w:p>
    <w:p w14:paraId="333FC056" w14:textId="4F8A0549" w:rsidR="00173FDA" w:rsidRPr="002B5051" w:rsidRDefault="00173FDA" w:rsidP="00173FDA">
      <w:pPr>
        <w:rPr>
          <w:rFonts w:cs="Arial"/>
          <w:szCs w:val="24"/>
        </w:rPr>
      </w:pPr>
      <w:r w:rsidRPr="002B5051">
        <w:rPr>
          <w:rFonts w:cs="Arial"/>
          <w:szCs w:val="24"/>
        </w:rPr>
        <w:t xml:space="preserve">The GAO report is </w:t>
      </w:r>
      <w:hyperlink r:id="rId12" w:history="1">
        <w:r w:rsidRPr="002B5051">
          <w:rPr>
            <w:rStyle w:val="Hyperlink"/>
            <w:rFonts w:cs="Arial"/>
            <w:szCs w:val="24"/>
          </w:rPr>
          <w:t>available here</w:t>
        </w:r>
      </w:hyperlink>
      <w:r w:rsidRPr="002B5051">
        <w:rPr>
          <w:rFonts w:cs="Arial"/>
          <w:szCs w:val="24"/>
        </w:rPr>
        <w:t>.</w:t>
      </w:r>
    </w:p>
    <w:p w14:paraId="2FC264A8" w14:textId="77777777" w:rsidR="00173FDA" w:rsidRPr="002B5051" w:rsidRDefault="00173FDA" w:rsidP="00173FDA">
      <w:pPr>
        <w:spacing w:after="0"/>
        <w:rPr>
          <w:rFonts w:cs="Arial"/>
          <w:szCs w:val="24"/>
        </w:rPr>
      </w:pPr>
      <w:r w:rsidRPr="002B5051">
        <w:rPr>
          <w:rFonts w:cs="Arial"/>
          <w:szCs w:val="24"/>
        </w:rPr>
        <w:t>Resources:</w:t>
      </w:r>
      <w:r w:rsidRPr="002B5051">
        <w:rPr>
          <w:rFonts w:cs="Arial"/>
          <w:szCs w:val="24"/>
        </w:rPr>
        <w:br/>
        <w:t xml:space="preserve">Michael Stratford, “Education Department needs to beef up enforcement of college fraud, GAO says,” </w:t>
      </w:r>
      <w:r w:rsidRPr="002B5051">
        <w:rPr>
          <w:rFonts w:cs="Arial"/>
          <w:i/>
          <w:iCs/>
          <w:szCs w:val="24"/>
        </w:rPr>
        <w:t>Politico</w:t>
      </w:r>
      <w:r w:rsidRPr="002B5051">
        <w:rPr>
          <w:rFonts w:cs="Arial"/>
          <w:szCs w:val="24"/>
        </w:rPr>
        <w:t>, January 12, 2023.</w:t>
      </w:r>
    </w:p>
    <w:p w14:paraId="4F9C4A76" w14:textId="77777777" w:rsidR="00173FDA" w:rsidRPr="002B5051" w:rsidRDefault="00173FDA" w:rsidP="00F94A3E">
      <w:pPr>
        <w:spacing w:before="0"/>
        <w:rPr>
          <w:rFonts w:cs="Arial"/>
          <w:szCs w:val="24"/>
        </w:rPr>
      </w:pPr>
      <w:r w:rsidRPr="002B5051">
        <w:rPr>
          <w:rFonts w:cs="Arial"/>
          <w:szCs w:val="24"/>
        </w:rPr>
        <w:t>Author: JCM</w:t>
      </w:r>
    </w:p>
    <w:p w14:paraId="02857D31" w14:textId="0B0056C0" w:rsidR="00201433" w:rsidRPr="0063135C" w:rsidRDefault="00201433" w:rsidP="00064BE3">
      <w:pPr>
        <w:spacing w:before="240" w:after="240"/>
        <w:rPr>
          <w:rFonts w:eastAsia="Times New Roman" w:cs="Arial"/>
          <w:i/>
          <w:iCs/>
          <w:szCs w:val="24"/>
        </w:rPr>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Brustein &amp; </w:t>
      </w:r>
      <w:proofErr w:type="spellStart"/>
      <w:r w:rsidRPr="000D1533">
        <w:rPr>
          <w:rFonts w:eastAsia="Times New Roman" w:cs="Arial"/>
          <w:i/>
          <w:iCs/>
          <w:szCs w:val="24"/>
        </w:rPr>
        <w:t>Manasevit’s</w:t>
      </w:r>
      <w:proofErr w:type="spellEnd"/>
      <w:r w:rsidRPr="000D1533">
        <w:rPr>
          <w:rFonts w:eastAsia="Times New Roman" w:cs="Arial"/>
          <w:i/>
          <w:iCs/>
          <w:szCs w:val="24"/>
        </w:rPr>
        <w:t xml:space="preserve"> upcoming </w:t>
      </w:r>
      <w:r>
        <w:rPr>
          <w:rFonts w:eastAsia="Times New Roman" w:cs="Arial"/>
          <w:i/>
          <w:iCs/>
          <w:szCs w:val="24"/>
        </w:rPr>
        <w:t>virtual trainings</w:t>
      </w:r>
      <w:r w:rsidRPr="000D1533">
        <w:rPr>
          <w:rFonts w:eastAsia="Times New Roman" w:cs="Arial"/>
          <w:i/>
          <w:iCs/>
          <w:szCs w:val="24"/>
        </w:rPr>
        <w:t xml:space="preserve">.  Topics cover a range of issues, including </w:t>
      </w:r>
      <w:r>
        <w:rPr>
          <w:rFonts w:eastAsia="Times New Roman" w:cs="Arial"/>
          <w:i/>
          <w:iCs/>
          <w:szCs w:val="24"/>
        </w:rPr>
        <w:t xml:space="preserve">COVID-19 related issues, </w:t>
      </w:r>
      <w:r w:rsidRPr="000D1533">
        <w:rPr>
          <w:rFonts w:eastAsia="Times New Roman" w:cs="Arial"/>
          <w:i/>
          <w:iCs/>
          <w:szCs w:val="24"/>
        </w:rPr>
        <w:t xml:space="preserve">grants management, </w:t>
      </w:r>
      <w:proofErr w:type="gramStart"/>
      <w:r w:rsidRPr="000D1533">
        <w:rPr>
          <w:rFonts w:eastAsia="Times New Roman" w:cs="Arial"/>
          <w:i/>
          <w:iCs/>
          <w:szCs w:val="24"/>
        </w:rPr>
        <w:t>the Every</w:t>
      </w:r>
      <w:proofErr w:type="gramEnd"/>
      <w:r w:rsidRPr="000D1533">
        <w:rPr>
          <w:rFonts w:eastAsia="Times New Roman" w:cs="Arial"/>
          <w:i/>
          <w:iCs/>
          <w:szCs w:val="24"/>
        </w:rPr>
        <w:t xml:space="preserve"> Student Succeeds Act, special education, and more.  To view all upcoming </w:t>
      </w:r>
      <w:r>
        <w:rPr>
          <w:rFonts w:eastAsia="Times New Roman" w:cs="Arial"/>
          <w:i/>
          <w:iCs/>
          <w:szCs w:val="24"/>
        </w:rPr>
        <w:t>virtual training</w:t>
      </w:r>
      <w:r w:rsidRPr="000D1533">
        <w:rPr>
          <w:rFonts w:eastAsia="Times New Roman" w:cs="Arial"/>
          <w:i/>
          <w:iCs/>
          <w:szCs w:val="24"/>
        </w:rPr>
        <w:t xml:space="preserve"> topics and to register, visit </w:t>
      </w:r>
      <w:hyperlink r:id="rId13" w:tooltip="Brustein &amp; Manasevit's virtual training website link." w:history="1">
        <w:r w:rsidRPr="005C675B">
          <w:rPr>
            <w:rStyle w:val="Hyperlink"/>
            <w:i/>
            <w:iCs/>
          </w:rPr>
          <w:t>www.bruman.com/virtualtrainings/</w:t>
        </w:r>
      </w:hyperlink>
      <w:r w:rsidRPr="000D1533">
        <w:rPr>
          <w:rFonts w:eastAsia="Times New Roman" w:cs="Arial"/>
          <w:i/>
          <w:iCs/>
          <w:szCs w:val="24"/>
        </w:rPr>
        <w:t>.</w:t>
      </w:r>
    </w:p>
    <w:p w14:paraId="5620654A" w14:textId="6D17E0B9" w:rsidR="00201433" w:rsidRPr="0063135C" w:rsidRDefault="00201433" w:rsidP="00201433">
      <w:pPr>
        <w:spacing w:before="240" w:after="240"/>
        <w:rPr>
          <w:b/>
          <w:i/>
        </w:rPr>
      </w:pPr>
      <w:r w:rsidRPr="0063135C">
        <w:rPr>
          <w:b/>
          <w:i/>
        </w:rPr>
        <w:t>The Federal Update has been prepared to inform Brustein &amp; Manasevit, PLLC’s legislative clients of recent events in federal education legislation and/or administrative law.</w:t>
      </w:r>
      <w:r>
        <w:rPr>
          <w:b/>
          <w:i/>
        </w:rPr>
        <w:t xml:space="preserve">  </w:t>
      </w:r>
      <w:r w:rsidRPr="0063135C">
        <w:rPr>
          <w:b/>
          <w:i/>
        </w:rPr>
        <w:t>It is not intended as legal advice, should not serve as the basis for decision-making in specific situations, and does not create an attorney-client relationship between Brustein &amp; Manasevit, PLLC and the reader.</w:t>
      </w:r>
    </w:p>
    <w:p w14:paraId="33DAB355" w14:textId="1A56F47E"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Pr="000D1533">
        <w:rPr>
          <w:rFonts w:eastAsia="Times New Roman" w:cs="Arial"/>
          <w:szCs w:val="24"/>
        </w:rPr>
        <w:t>Brustein &amp; Manasevit, PLLC 20</w:t>
      </w:r>
      <w:r>
        <w:rPr>
          <w:rFonts w:eastAsia="Times New Roman" w:cs="Arial"/>
          <w:szCs w:val="24"/>
        </w:rPr>
        <w:t>2</w:t>
      </w:r>
      <w:r w:rsidR="009471B1">
        <w:rPr>
          <w:rFonts w:eastAsia="Times New Roman" w:cs="Arial"/>
          <w:szCs w:val="24"/>
        </w:rPr>
        <w:t>3</w:t>
      </w:r>
    </w:p>
    <w:p w14:paraId="2FC4C362" w14:textId="0A002A7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34928">
        <w:rPr>
          <w:rFonts w:eastAsia="Times New Roman" w:cs="Arial"/>
          <w:szCs w:val="24"/>
        </w:rPr>
        <w:t xml:space="preserve">Julia Martin, </w:t>
      </w:r>
      <w:r w:rsidR="009726D6">
        <w:rPr>
          <w:rFonts w:eastAsia="Times New Roman" w:cs="Arial"/>
          <w:szCs w:val="24"/>
        </w:rPr>
        <w:t>Kelly Christiansen</w:t>
      </w:r>
    </w:p>
    <w:p w14:paraId="30BF53E6" w14:textId="77777777" w:rsidR="006B3A9E" w:rsidRDefault="006B3A9E" w:rsidP="006B3A9E">
      <w:pPr>
        <w:pStyle w:val="Footer"/>
        <w:spacing w:after="0"/>
      </w:pPr>
      <w:r>
        <w:t>Posted by the California Department of Education, April 2023</w:t>
      </w:r>
    </w:p>
    <w:p w14:paraId="43691109" w14:textId="2D135CCE" w:rsidR="006B3A9E" w:rsidRPr="006B3A9E" w:rsidRDefault="006B3A9E" w:rsidP="006B3A9E">
      <w:pPr>
        <w:pStyle w:val="Footer"/>
      </w:pPr>
      <w:hyperlink r:id="rId14" w:tooltip="Brustein &amp; Manasevit's website link." w:history="1">
        <w:r>
          <w:rPr>
            <w:rStyle w:val="Hyperlink"/>
            <w:szCs w:val="24"/>
          </w:rPr>
          <w:t>www.bruman.com</w:t>
        </w:r>
      </w:hyperlink>
    </w:p>
    <w:sectPr w:rsidR="006B3A9E" w:rsidRPr="006B3A9E" w:rsidSect="00BA5BFE">
      <w:headerReference w:type="default" r:id="rId15"/>
      <w:footerReference w:type="default" r:id="rId16"/>
      <w:footerReference w:type="first" r:id="rId17"/>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9361" w14:textId="77777777" w:rsidR="00B80145" w:rsidRDefault="00B80145">
      <w:pPr>
        <w:spacing w:before="0" w:after="0"/>
      </w:pPr>
      <w:r>
        <w:separator/>
      </w:r>
    </w:p>
  </w:endnote>
  <w:endnote w:type="continuationSeparator" w:id="0">
    <w:p w14:paraId="5ED1AB1F" w14:textId="77777777" w:rsidR="00B80145" w:rsidRDefault="00B80145">
      <w:pPr>
        <w:spacing w:before="0" w:after="0"/>
      </w:pPr>
      <w:r>
        <w:continuationSeparator/>
      </w:r>
    </w:p>
  </w:endnote>
  <w:endnote w:type="continuationNotice" w:id="1">
    <w:p w14:paraId="5C943812" w14:textId="77777777" w:rsidR="00B80145" w:rsidRDefault="00B801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6B3A9E">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19DC" w14:textId="77777777" w:rsidR="00B80145" w:rsidRDefault="00B80145">
      <w:pPr>
        <w:spacing w:before="0" w:after="0"/>
      </w:pPr>
      <w:r>
        <w:separator/>
      </w:r>
    </w:p>
  </w:footnote>
  <w:footnote w:type="continuationSeparator" w:id="0">
    <w:p w14:paraId="60592FFC" w14:textId="77777777" w:rsidR="00B80145" w:rsidRDefault="00B80145">
      <w:pPr>
        <w:spacing w:before="0" w:after="0"/>
      </w:pPr>
      <w:r>
        <w:continuationSeparator/>
      </w:r>
    </w:p>
  </w:footnote>
  <w:footnote w:type="continuationNotice" w:id="1">
    <w:p w14:paraId="11F25032" w14:textId="77777777" w:rsidR="00B80145" w:rsidRDefault="00B8014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850964D" w:rsidR="003C7552" w:rsidRPr="00662BDC" w:rsidRDefault="009471B1" w:rsidP="000A590A">
    <w:pPr>
      <w:pStyle w:val="NoSpacing"/>
      <w:tabs>
        <w:tab w:val="left" w:pos="7920"/>
      </w:tabs>
    </w:pPr>
    <w:r>
      <w:t xml:space="preserve">January </w:t>
    </w:r>
    <w:r w:rsidR="00173FDA">
      <w:t>20</w:t>
    </w:r>
    <w:r w:rsidR="0007306F">
      <w:t>,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4104150">
    <w:abstractNumId w:val="1"/>
  </w:num>
  <w:num w:numId="2" w16cid:durableId="2069449372">
    <w:abstractNumId w:val="8"/>
  </w:num>
  <w:num w:numId="3" w16cid:durableId="1601252260">
    <w:abstractNumId w:val="9"/>
  </w:num>
  <w:num w:numId="4" w16cid:durableId="1883787891">
    <w:abstractNumId w:val="10"/>
  </w:num>
  <w:num w:numId="5" w16cid:durableId="647445075">
    <w:abstractNumId w:val="11"/>
  </w:num>
  <w:num w:numId="6" w16cid:durableId="1262762000">
    <w:abstractNumId w:val="2"/>
  </w:num>
  <w:num w:numId="7" w16cid:durableId="1668752398">
    <w:abstractNumId w:val="6"/>
  </w:num>
  <w:num w:numId="8" w16cid:durableId="220167564">
    <w:abstractNumId w:val="5"/>
  </w:num>
  <w:num w:numId="9" w16cid:durableId="1772890618">
    <w:abstractNumId w:val="4"/>
  </w:num>
  <w:num w:numId="10" w16cid:durableId="416102605">
    <w:abstractNumId w:val="3"/>
  </w:num>
  <w:num w:numId="11" w16cid:durableId="165824415">
    <w:abstractNumId w:val="0"/>
  </w:num>
  <w:num w:numId="12" w16cid:durableId="12970298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4B22"/>
    <w:rsid w:val="00044EA9"/>
    <w:rsid w:val="00045128"/>
    <w:rsid w:val="000451AC"/>
    <w:rsid w:val="000461C5"/>
    <w:rsid w:val="000461E4"/>
    <w:rsid w:val="000469DB"/>
    <w:rsid w:val="00046B7C"/>
    <w:rsid w:val="00046D65"/>
    <w:rsid w:val="000473F5"/>
    <w:rsid w:val="00047C2F"/>
    <w:rsid w:val="00047D75"/>
    <w:rsid w:val="000500A4"/>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710E"/>
    <w:rsid w:val="000774CF"/>
    <w:rsid w:val="0007798F"/>
    <w:rsid w:val="0008254C"/>
    <w:rsid w:val="000832C9"/>
    <w:rsid w:val="0008416E"/>
    <w:rsid w:val="00084A5E"/>
    <w:rsid w:val="00085F42"/>
    <w:rsid w:val="000860D9"/>
    <w:rsid w:val="000865B6"/>
    <w:rsid w:val="00086917"/>
    <w:rsid w:val="00086C31"/>
    <w:rsid w:val="0009086F"/>
    <w:rsid w:val="00090CCE"/>
    <w:rsid w:val="00090D1F"/>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2605"/>
    <w:rsid w:val="000F2F8F"/>
    <w:rsid w:val="000F34DF"/>
    <w:rsid w:val="000F3E0E"/>
    <w:rsid w:val="000F4531"/>
    <w:rsid w:val="000F4968"/>
    <w:rsid w:val="000F4DD2"/>
    <w:rsid w:val="000F5DEE"/>
    <w:rsid w:val="000F5F98"/>
    <w:rsid w:val="000F6869"/>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61EE"/>
    <w:rsid w:val="00186433"/>
    <w:rsid w:val="00186D26"/>
    <w:rsid w:val="001874C4"/>
    <w:rsid w:val="001879EA"/>
    <w:rsid w:val="001920A8"/>
    <w:rsid w:val="00192296"/>
    <w:rsid w:val="00192385"/>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AAC"/>
    <w:rsid w:val="001D0DBD"/>
    <w:rsid w:val="001D1D17"/>
    <w:rsid w:val="001D2ED3"/>
    <w:rsid w:val="001D2F7D"/>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746A"/>
    <w:rsid w:val="001F7778"/>
    <w:rsid w:val="001F7CE1"/>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94A"/>
    <w:rsid w:val="002209C8"/>
    <w:rsid w:val="002210B2"/>
    <w:rsid w:val="002213F5"/>
    <w:rsid w:val="002214A8"/>
    <w:rsid w:val="0022159E"/>
    <w:rsid w:val="00222EA0"/>
    <w:rsid w:val="00224161"/>
    <w:rsid w:val="00225A12"/>
    <w:rsid w:val="00227B62"/>
    <w:rsid w:val="00230E5E"/>
    <w:rsid w:val="00231DE5"/>
    <w:rsid w:val="00232375"/>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352E"/>
    <w:rsid w:val="00254058"/>
    <w:rsid w:val="002547B3"/>
    <w:rsid w:val="002548AB"/>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56E"/>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B98"/>
    <w:rsid w:val="003916F7"/>
    <w:rsid w:val="003918BB"/>
    <w:rsid w:val="00391B69"/>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4298"/>
    <w:rsid w:val="0046454D"/>
    <w:rsid w:val="00464C55"/>
    <w:rsid w:val="00465EB5"/>
    <w:rsid w:val="0046775C"/>
    <w:rsid w:val="00467A36"/>
    <w:rsid w:val="00467AE6"/>
    <w:rsid w:val="00467CB5"/>
    <w:rsid w:val="00470A4E"/>
    <w:rsid w:val="00471835"/>
    <w:rsid w:val="00472582"/>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6031A"/>
    <w:rsid w:val="00560764"/>
    <w:rsid w:val="00562835"/>
    <w:rsid w:val="00562AAA"/>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3A7A"/>
    <w:rsid w:val="005B3DD2"/>
    <w:rsid w:val="005B3F59"/>
    <w:rsid w:val="005B47DF"/>
    <w:rsid w:val="005B47F4"/>
    <w:rsid w:val="005B4CE5"/>
    <w:rsid w:val="005B4EAD"/>
    <w:rsid w:val="005B51CA"/>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5E20"/>
    <w:rsid w:val="0062632E"/>
    <w:rsid w:val="00626337"/>
    <w:rsid w:val="0062693D"/>
    <w:rsid w:val="00626E64"/>
    <w:rsid w:val="00630EC7"/>
    <w:rsid w:val="006310D6"/>
    <w:rsid w:val="0063110B"/>
    <w:rsid w:val="00631275"/>
    <w:rsid w:val="0063135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9E"/>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A45"/>
    <w:rsid w:val="00746E90"/>
    <w:rsid w:val="00747B92"/>
    <w:rsid w:val="00747C1F"/>
    <w:rsid w:val="0075062D"/>
    <w:rsid w:val="007513BB"/>
    <w:rsid w:val="00751429"/>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FA"/>
    <w:rsid w:val="007D3F8D"/>
    <w:rsid w:val="007D53B9"/>
    <w:rsid w:val="007D5B23"/>
    <w:rsid w:val="007D6198"/>
    <w:rsid w:val="007D63B3"/>
    <w:rsid w:val="007D64DE"/>
    <w:rsid w:val="007D6DF9"/>
    <w:rsid w:val="007D7C10"/>
    <w:rsid w:val="007D7E1F"/>
    <w:rsid w:val="007E0674"/>
    <w:rsid w:val="007E103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D74"/>
    <w:rsid w:val="008148C8"/>
    <w:rsid w:val="00815143"/>
    <w:rsid w:val="00816A90"/>
    <w:rsid w:val="00817B4B"/>
    <w:rsid w:val="00817CCF"/>
    <w:rsid w:val="008221AD"/>
    <w:rsid w:val="008236C2"/>
    <w:rsid w:val="00823B80"/>
    <w:rsid w:val="00823D49"/>
    <w:rsid w:val="008243C8"/>
    <w:rsid w:val="008250E1"/>
    <w:rsid w:val="008251E4"/>
    <w:rsid w:val="00825C7E"/>
    <w:rsid w:val="008269EA"/>
    <w:rsid w:val="00826C62"/>
    <w:rsid w:val="008273E0"/>
    <w:rsid w:val="00827435"/>
    <w:rsid w:val="00827F1F"/>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371E"/>
    <w:rsid w:val="008D465D"/>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7BE"/>
    <w:rsid w:val="00903A97"/>
    <w:rsid w:val="00904447"/>
    <w:rsid w:val="00906A59"/>
    <w:rsid w:val="00910781"/>
    <w:rsid w:val="009109F0"/>
    <w:rsid w:val="009111B5"/>
    <w:rsid w:val="0091140D"/>
    <w:rsid w:val="0091160F"/>
    <w:rsid w:val="0091169E"/>
    <w:rsid w:val="00911CD7"/>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795D"/>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407E"/>
    <w:rsid w:val="009B424F"/>
    <w:rsid w:val="009B4356"/>
    <w:rsid w:val="009B46E4"/>
    <w:rsid w:val="009B483C"/>
    <w:rsid w:val="009B48F1"/>
    <w:rsid w:val="009B4EA5"/>
    <w:rsid w:val="009B4F83"/>
    <w:rsid w:val="009B5568"/>
    <w:rsid w:val="009B5A91"/>
    <w:rsid w:val="009B5DA7"/>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E15A2"/>
    <w:rsid w:val="009E16B6"/>
    <w:rsid w:val="009E1DD8"/>
    <w:rsid w:val="009E20A9"/>
    <w:rsid w:val="009E2383"/>
    <w:rsid w:val="009E2424"/>
    <w:rsid w:val="009E27D8"/>
    <w:rsid w:val="009E300C"/>
    <w:rsid w:val="009E33FA"/>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6CA2"/>
    <w:rsid w:val="00A2715B"/>
    <w:rsid w:val="00A302F5"/>
    <w:rsid w:val="00A3060C"/>
    <w:rsid w:val="00A30BA9"/>
    <w:rsid w:val="00A30E8F"/>
    <w:rsid w:val="00A32A3B"/>
    <w:rsid w:val="00A33341"/>
    <w:rsid w:val="00A34354"/>
    <w:rsid w:val="00A34928"/>
    <w:rsid w:val="00A352A8"/>
    <w:rsid w:val="00A37428"/>
    <w:rsid w:val="00A4023F"/>
    <w:rsid w:val="00A41223"/>
    <w:rsid w:val="00A41D42"/>
    <w:rsid w:val="00A42813"/>
    <w:rsid w:val="00A42831"/>
    <w:rsid w:val="00A42E85"/>
    <w:rsid w:val="00A43075"/>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A07"/>
    <w:rsid w:val="00AF025B"/>
    <w:rsid w:val="00AF0E0E"/>
    <w:rsid w:val="00AF12FE"/>
    <w:rsid w:val="00AF1DB5"/>
    <w:rsid w:val="00AF1FE8"/>
    <w:rsid w:val="00AF2DDC"/>
    <w:rsid w:val="00AF312F"/>
    <w:rsid w:val="00AF34FB"/>
    <w:rsid w:val="00AF37FF"/>
    <w:rsid w:val="00AF3DFB"/>
    <w:rsid w:val="00AF4203"/>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8C9"/>
    <w:rsid w:val="00B82FB1"/>
    <w:rsid w:val="00B8419B"/>
    <w:rsid w:val="00B849C3"/>
    <w:rsid w:val="00B84EB0"/>
    <w:rsid w:val="00B851F5"/>
    <w:rsid w:val="00B85300"/>
    <w:rsid w:val="00B8583F"/>
    <w:rsid w:val="00B85BFF"/>
    <w:rsid w:val="00B86B93"/>
    <w:rsid w:val="00B87846"/>
    <w:rsid w:val="00B87ECB"/>
    <w:rsid w:val="00B906B7"/>
    <w:rsid w:val="00B90A15"/>
    <w:rsid w:val="00B90CD2"/>
    <w:rsid w:val="00B926AA"/>
    <w:rsid w:val="00B9298D"/>
    <w:rsid w:val="00B930FE"/>
    <w:rsid w:val="00B9319F"/>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315"/>
    <w:rsid w:val="00C00402"/>
    <w:rsid w:val="00C0047A"/>
    <w:rsid w:val="00C018E3"/>
    <w:rsid w:val="00C02443"/>
    <w:rsid w:val="00C039A0"/>
    <w:rsid w:val="00C04AF7"/>
    <w:rsid w:val="00C05D01"/>
    <w:rsid w:val="00C05F87"/>
    <w:rsid w:val="00C060CF"/>
    <w:rsid w:val="00C06E07"/>
    <w:rsid w:val="00C07A2D"/>
    <w:rsid w:val="00C07DEB"/>
    <w:rsid w:val="00C10431"/>
    <w:rsid w:val="00C110F3"/>
    <w:rsid w:val="00C11FCC"/>
    <w:rsid w:val="00C13AC6"/>
    <w:rsid w:val="00C14806"/>
    <w:rsid w:val="00C14B17"/>
    <w:rsid w:val="00C153C4"/>
    <w:rsid w:val="00C156B0"/>
    <w:rsid w:val="00C15E97"/>
    <w:rsid w:val="00C16E74"/>
    <w:rsid w:val="00C16E8E"/>
    <w:rsid w:val="00C1738E"/>
    <w:rsid w:val="00C17477"/>
    <w:rsid w:val="00C2058F"/>
    <w:rsid w:val="00C208C9"/>
    <w:rsid w:val="00C217B1"/>
    <w:rsid w:val="00C224C5"/>
    <w:rsid w:val="00C23DD2"/>
    <w:rsid w:val="00C24E07"/>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6F0B"/>
    <w:rsid w:val="00C6771C"/>
    <w:rsid w:val="00C70BBB"/>
    <w:rsid w:val="00C714A4"/>
    <w:rsid w:val="00C71EAA"/>
    <w:rsid w:val="00C729CD"/>
    <w:rsid w:val="00C72EA1"/>
    <w:rsid w:val="00C73294"/>
    <w:rsid w:val="00C73422"/>
    <w:rsid w:val="00C73AFD"/>
    <w:rsid w:val="00C75150"/>
    <w:rsid w:val="00C753A0"/>
    <w:rsid w:val="00C76560"/>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BF6"/>
    <w:rsid w:val="00CA57EE"/>
    <w:rsid w:val="00CA6483"/>
    <w:rsid w:val="00CA6B85"/>
    <w:rsid w:val="00CA76EA"/>
    <w:rsid w:val="00CA799F"/>
    <w:rsid w:val="00CB02A1"/>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DD0"/>
    <w:rsid w:val="00D11FFA"/>
    <w:rsid w:val="00D13448"/>
    <w:rsid w:val="00D13E31"/>
    <w:rsid w:val="00D1404B"/>
    <w:rsid w:val="00D14719"/>
    <w:rsid w:val="00D149ED"/>
    <w:rsid w:val="00D14AA7"/>
    <w:rsid w:val="00D15037"/>
    <w:rsid w:val="00D15A57"/>
    <w:rsid w:val="00D15D1D"/>
    <w:rsid w:val="00D160A7"/>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718F"/>
    <w:rsid w:val="00D574DA"/>
    <w:rsid w:val="00D57B71"/>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9C5"/>
    <w:rsid w:val="00DB6B53"/>
    <w:rsid w:val="00DB7F97"/>
    <w:rsid w:val="00DB7FA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9ED"/>
    <w:rsid w:val="00E56F5B"/>
    <w:rsid w:val="00E6052D"/>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5ABB"/>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319C"/>
    <w:rsid w:val="00EB31FC"/>
    <w:rsid w:val="00EB384D"/>
    <w:rsid w:val="00EB3B7E"/>
    <w:rsid w:val="00EB4796"/>
    <w:rsid w:val="00EB5C0F"/>
    <w:rsid w:val="00EC0225"/>
    <w:rsid w:val="00EC0483"/>
    <w:rsid w:val="00EC04A3"/>
    <w:rsid w:val="00EC07B6"/>
    <w:rsid w:val="00EC1ACD"/>
    <w:rsid w:val="00EC222C"/>
    <w:rsid w:val="00EC27C7"/>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D28"/>
    <w:rsid w:val="00EE2334"/>
    <w:rsid w:val="00EE2762"/>
    <w:rsid w:val="00EE2CB6"/>
    <w:rsid w:val="00EE2D45"/>
    <w:rsid w:val="00EE3BFB"/>
    <w:rsid w:val="00EE4A6B"/>
    <w:rsid w:val="00EE5754"/>
    <w:rsid w:val="00EE6661"/>
    <w:rsid w:val="00EE66A8"/>
    <w:rsid w:val="00EE756F"/>
    <w:rsid w:val="00EE76B9"/>
    <w:rsid w:val="00EF1508"/>
    <w:rsid w:val="00EF1E1B"/>
    <w:rsid w:val="00EF2C92"/>
    <w:rsid w:val="00EF3C91"/>
    <w:rsid w:val="00EF3EBB"/>
    <w:rsid w:val="00EF4884"/>
    <w:rsid w:val="00EF4AF2"/>
    <w:rsid w:val="00EF50AD"/>
    <w:rsid w:val="00EF5A22"/>
    <w:rsid w:val="00EF72EA"/>
    <w:rsid w:val="00F0137E"/>
    <w:rsid w:val="00F024C8"/>
    <w:rsid w:val="00F0424E"/>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278"/>
    <w:rsid w:val="00FA7A0F"/>
    <w:rsid w:val="00FA7A6C"/>
    <w:rsid w:val="00FA7F66"/>
    <w:rsid w:val="00FB1499"/>
    <w:rsid w:val="00FB167E"/>
    <w:rsid w:val="00FB1FB2"/>
    <w:rsid w:val="00FB2535"/>
    <w:rsid w:val="00FB3E00"/>
    <w:rsid w:val="00FB4133"/>
    <w:rsid w:val="00FB4AD7"/>
    <w:rsid w:val="00FB4B40"/>
    <w:rsid w:val="00FB4FC3"/>
    <w:rsid w:val="00FB56E4"/>
    <w:rsid w:val="00FB5DAE"/>
    <w:rsid w:val="00FB78B7"/>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B3A9E"/>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B3A9E"/>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virtualtraini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o.gov/assets/gao-23-10483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uma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D5A8F5BC-3D3B-4C50-A934-DE54D6BFD139}">
  <ds:schemaRefs>
    <ds:schemaRef ds:uri="6981df1d-dee0-4b8e-8ac5-8723dd3ace6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bacdef5-31a9-4667-b32d-69d0773486e9"/>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BB640-81F4-4611-BCC6-58434A307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20, 2023 - Government Affairs (CA Dept of Education)</dc:title>
  <dc:subject>The Brustein &amp; Manasevit weekly Federal Update Report for January 20, 2023.</dc:subject>
  <dc:creator>Kelly Christiansen</dc:creator>
  <cp:lastModifiedBy>Mason Diab</cp:lastModifiedBy>
  <cp:revision>4</cp:revision>
  <cp:lastPrinted>2023-01-20T19:29:00Z</cp:lastPrinted>
  <dcterms:created xsi:type="dcterms:W3CDTF">2023-01-20T16:14:00Z</dcterms:created>
  <dcterms:modified xsi:type="dcterms:W3CDTF">2023-04-05T22:28:00Z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