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5009" w14:textId="5B35ACFC" w:rsidR="003C339C" w:rsidRPr="003C339C" w:rsidRDefault="00473517" w:rsidP="00E8568D">
      <w:bookmarkStart w:id="0" w:name="OLE_LINK4"/>
      <w:bookmarkStart w:id="1" w:name="OLE_LINK5"/>
      <w:bookmarkStart w:id="2" w:name="OLE_LINK1"/>
      <w:bookmarkStart w:id="3" w:name="OLE_LINK2"/>
      <w:bookmarkStart w:id="4" w:name="OLE_LINK7"/>
      <w:bookmarkStart w:id="5" w:name="OLE_LINK8"/>
      <w:r w:rsidRPr="00F41B60">
        <w:rPr>
          <w:noProof/>
        </w:rPr>
        <w:drawing>
          <wp:inline distT="0" distB="0" distL="0" distR="0" wp14:anchorId="6C7709A7" wp14:editId="702E05B6">
            <wp:extent cx="5943600" cy="1201420"/>
            <wp:effectExtent l="0" t="0" r="0" b="0"/>
            <wp:docPr id="1" name="Picture 1" descr="Header: The BruMan Group, PLLC. Attorneys At Law. 1023 15th Street NW, Suite 500. Washington, DC 20005. Phone (202) 965-3652. Fax (202) 965-8913. bruman@bruman.com. www.brum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eader: The BruMan Group, PLLC. Attorneys At Law. 1023 15th Street NW, Suite 500. Washington, DC 20005. Phone (202) 965-3652. Fax (202) 965-8913. bruman@bruman.com. www.bruman.co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201420"/>
                    </a:xfrm>
                    <a:prstGeom prst="rect">
                      <a:avLst/>
                    </a:prstGeom>
                    <a:noFill/>
                    <a:ln>
                      <a:noFill/>
                    </a:ln>
                  </pic:spPr>
                </pic:pic>
              </a:graphicData>
            </a:graphic>
          </wp:inline>
        </w:drawing>
      </w:r>
      <w:bookmarkStart w:id="6" w:name="OLE_LINK3"/>
      <w:bookmarkStart w:id="7" w:name="OLE_LINK6"/>
      <w:bookmarkStart w:id="8" w:name="OLE_LINK9"/>
      <w:bookmarkStart w:id="9" w:name="OLE_LINK10"/>
    </w:p>
    <w:p w14:paraId="3123BBB2" w14:textId="01633FCE" w:rsidR="0042468E" w:rsidRPr="00433579" w:rsidRDefault="0042468E" w:rsidP="00433579">
      <w:pPr>
        <w:jc w:val="center"/>
        <w:rPr>
          <w:b/>
          <w:bCs/>
        </w:rPr>
      </w:pPr>
      <w:bookmarkStart w:id="10" w:name="_Toc69999593"/>
      <w:bookmarkStart w:id="11" w:name="_Toc70604860"/>
      <w:bookmarkStart w:id="12" w:name="_Toc70615916"/>
      <w:bookmarkStart w:id="13" w:name="_Toc70673785"/>
      <w:bookmarkStart w:id="14" w:name="_Toc71878172"/>
      <w:bookmarkStart w:id="15" w:name="_Toc71879808"/>
      <w:r w:rsidRPr="00433579">
        <w:rPr>
          <w:b/>
          <w:bCs/>
          <w:sz w:val="32"/>
          <w:szCs w:val="24"/>
        </w:rPr>
        <w:t xml:space="preserve">The Federal Update for </w:t>
      </w:r>
      <w:bookmarkEnd w:id="10"/>
      <w:bookmarkEnd w:id="11"/>
      <w:bookmarkEnd w:id="12"/>
      <w:bookmarkEnd w:id="13"/>
      <w:bookmarkEnd w:id="14"/>
      <w:bookmarkEnd w:id="15"/>
      <w:r w:rsidR="009F0BAD">
        <w:rPr>
          <w:b/>
          <w:bCs/>
          <w:sz w:val="32"/>
          <w:szCs w:val="24"/>
        </w:rPr>
        <w:t xml:space="preserve">June </w:t>
      </w:r>
      <w:r w:rsidR="00036F11">
        <w:rPr>
          <w:b/>
          <w:bCs/>
          <w:sz w:val="32"/>
          <w:szCs w:val="24"/>
        </w:rPr>
        <w:t>9</w:t>
      </w:r>
      <w:r w:rsidR="005D3FF9">
        <w:rPr>
          <w:b/>
          <w:bCs/>
          <w:sz w:val="32"/>
          <w:szCs w:val="24"/>
        </w:rPr>
        <w:t>, 202</w:t>
      </w:r>
      <w:r w:rsidR="009471B1">
        <w:rPr>
          <w:b/>
          <w:bCs/>
          <w:sz w:val="32"/>
          <w:szCs w:val="24"/>
        </w:rPr>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5166D472" w:rsidR="0063135C" w:rsidRDefault="00D0389C" w:rsidP="009B424F">
      <w:pPr>
        <w:pStyle w:val="MessageHeader"/>
        <w:spacing w:after="240"/>
      </w:pPr>
      <w:r>
        <w:t>Date:</w:t>
      </w:r>
      <w:r>
        <w:tab/>
      </w:r>
      <w:r w:rsidR="009F0BAD">
        <w:t xml:space="preserve">June </w:t>
      </w:r>
      <w:r w:rsidR="00036F11">
        <w:t>9</w:t>
      </w:r>
      <w:r w:rsidR="009471B1">
        <w:t>, 2023</w:t>
      </w:r>
    </w:p>
    <w:p w14:paraId="4453BF04" w14:textId="4C4543F0" w:rsidR="00ED6663" w:rsidRDefault="00156AA4">
      <w:pPr>
        <w:pStyle w:val="TOC2"/>
        <w:rPr>
          <w:rFonts w:asciiTheme="minorHAnsi" w:eastAsiaTheme="minorEastAsia" w:hAnsiTheme="minorHAnsi" w:cstheme="minorBidi"/>
          <w:b w:val="0"/>
          <w:kern w:val="2"/>
          <w:sz w:val="22"/>
          <w:szCs w:val="22"/>
          <w14:ligatures w14:val="standardContextual"/>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37126532" w:history="1">
        <w:r w:rsidR="00ED6663" w:rsidRPr="00A520C4">
          <w:rPr>
            <w:rStyle w:val="Hyperlink"/>
          </w:rPr>
          <w:t>Legislation and Guidance</w:t>
        </w:r>
        <w:r w:rsidR="00ED6663">
          <w:rPr>
            <w:webHidden/>
          </w:rPr>
          <w:tab/>
        </w:r>
        <w:r w:rsidR="00ED6663">
          <w:rPr>
            <w:webHidden/>
          </w:rPr>
          <w:fldChar w:fldCharType="begin"/>
        </w:r>
        <w:r w:rsidR="00ED6663">
          <w:rPr>
            <w:webHidden/>
          </w:rPr>
          <w:instrText xml:space="preserve"> PAGEREF _Toc137126532 \h </w:instrText>
        </w:r>
        <w:r w:rsidR="00ED6663">
          <w:rPr>
            <w:webHidden/>
          </w:rPr>
        </w:r>
        <w:r w:rsidR="00ED6663">
          <w:rPr>
            <w:webHidden/>
          </w:rPr>
          <w:fldChar w:fldCharType="separate"/>
        </w:r>
        <w:r w:rsidR="00ED6663">
          <w:rPr>
            <w:webHidden/>
          </w:rPr>
          <w:t>1</w:t>
        </w:r>
        <w:r w:rsidR="00ED6663">
          <w:rPr>
            <w:webHidden/>
          </w:rPr>
          <w:fldChar w:fldCharType="end"/>
        </w:r>
      </w:hyperlink>
    </w:p>
    <w:p w14:paraId="5BD3CB20" w14:textId="7E4A4F4C" w:rsidR="00ED6663" w:rsidRDefault="00000000">
      <w:pPr>
        <w:pStyle w:val="TOC3"/>
        <w:rPr>
          <w:rFonts w:asciiTheme="minorHAnsi" w:eastAsiaTheme="minorEastAsia" w:hAnsiTheme="minorHAnsi" w:cstheme="minorBidi"/>
          <w:b w:val="0"/>
          <w:kern w:val="2"/>
          <w:sz w:val="22"/>
          <w:szCs w:val="22"/>
          <w14:ligatures w14:val="standardContextual"/>
        </w:rPr>
      </w:pPr>
      <w:hyperlink w:anchor="_Toc137126533" w:history="1">
        <w:r w:rsidR="00ED6663" w:rsidRPr="00A520C4">
          <w:rPr>
            <w:rStyle w:val="Hyperlink"/>
          </w:rPr>
          <w:t>ED Assures States Remaining Stimulus Funds Protected</w:t>
        </w:r>
        <w:r w:rsidR="00ED6663">
          <w:rPr>
            <w:webHidden/>
          </w:rPr>
          <w:tab/>
        </w:r>
        <w:r w:rsidR="00ED6663">
          <w:rPr>
            <w:webHidden/>
          </w:rPr>
          <w:fldChar w:fldCharType="begin"/>
        </w:r>
        <w:r w:rsidR="00ED6663">
          <w:rPr>
            <w:webHidden/>
          </w:rPr>
          <w:instrText xml:space="preserve"> PAGEREF _Toc137126533 \h </w:instrText>
        </w:r>
        <w:r w:rsidR="00ED6663">
          <w:rPr>
            <w:webHidden/>
          </w:rPr>
        </w:r>
        <w:r w:rsidR="00ED6663">
          <w:rPr>
            <w:webHidden/>
          </w:rPr>
          <w:fldChar w:fldCharType="separate"/>
        </w:r>
        <w:r w:rsidR="00ED6663">
          <w:rPr>
            <w:webHidden/>
          </w:rPr>
          <w:t>1</w:t>
        </w:r>
        <w:r w:rsidR="00ED6663">
          <w:rPr>
            <w:webHidden/>
          </w:rPr>
          <w:fldChar w:fldCharType="end"/>
        </w:r>
      </w:hyperlink>
    </w:p>
    <w:p w14:paraId="6724802F" w14:textId="63814AD4" w:rsidR="00ED6663" w:rsidRDefault="00000000">
      <w:pPr>
        <w:pStyle w:val="TOC3"/>
        <w:rPr>
          <w:rFonts w:asciiTheme="minorHAnsi" w:eastAsiaTheme="minorEastAsia" w:hAnsiTheme="minorHAnsi" w:cstheme="minorBidi"/>
          <w:b w:val="0"/>
          <w:kern w:val="2"/>
          <w:sz w:val="22"/>
          <w:szCs w:val="22"/>
          <w14:ligatures w14:val="standardContextual"/>
        </w:rPr>
      </w:pPr>
      <w:hyperlink w:anchor="_Toc137126534" w:history="1">
        <w:r w:rsidR="00ED6663" w:rsidRPr="00A520C4">
          <w:rPr>
            <w:rStyle w:val="Hyperlink"/>
          </w:rPr>
          <w:t>Final Title I Equitable Services Guidance Published</w:t>
        </w:r>
        <w:r w:rsidR="00ED6663">
          <w:rPr>
            <w:webHidden/>
          </w:rPr>
          <w:tab/>
        </w:r>
        <w:r w:rsidR="00ED6663">
          <w:rPr>
            <w:webHidden/>
          </w:rPr>
          <w:fldChar w:fldCharType="begin"/>
        </w:r>
        <w:r w:rsidR="00ED6663">
          <w:rPr>
            <w:webHidden/>
          </w:rPr>
          <w:instrText xml:space="preserve"> PAGEREF _Toc137126534 \h </w:instrText>
        </w:r>
        <w:r w:rsidR="00ED6663">
          <w:rPr>
            <w:webHidden/>
          </w:rPr>
        </w:r>
        <w:r w:rsidR="00ED6663">
          <w:rPr>
            <w:webHidden/>
          </w:rPr>
          <w:fldChar w:fldCharType="separate"/>
        </w:r>
        <w:r w:rsidR="00ED6663">
          <w:rPr>
            <w:webHidden/>
          </w:rPr>
          <w:t>2</w:t>
        </w:r>
        <w:r w:rsidR="00ED6663">
          <w:rPr>
            <w:webHidden/>
          </w:rPr>
          <w:fldChar w:fldCharType="end"/>
        </w:r>
      </w:hyperlink>
    </w:p>
    <w:p w14:paraId="7E568B0C" w14:textId="1FA1A1FC" w:rsidR="00ED6663" w:rsidRDefault="00000000">
      <w:pPr>
        <w:pStyle w:val="TOC3"/>
        <w:rPr>
          <w:rFonts w:asciiTheme="minorHAnsi" w:eastAsiaTheme="minorEastAsia" w:hAnsiTheme="minorHAnsi" w:cstheme="minorBidi"/>
          <w:b w:val="0"/>
          <w:kern w:val="2"/>
          <w:sz w:val="22"/>
          <w:szCs w:val="22"/>
          <w14:ligatures w14:val="standardContextual"/>
        </w:rPr>
      </w:pPr>
      <w:hyperlink w:anchor="_Toc137126535" w:history="1">
        <w:r w:rsidR="00ED6663" w:rsidRPr="00A520C4">
          <w:rPr>
            <w:rStyle w:val="Hyperlink"/>
          </w:rPr>
          <w:t>President Vetoes Student Loan Resolution</w:t>
        </w:r>
        <w:r w:rsidR="00ED6663">
          <w:rPr>
            <w:webHidden/>
          </w:rPr>
          <w:tab/>
        </w:r>
        <w:r w:rsidR="00ED6663">
          <w:rPr>
            <w:webHidden/>
          </w:rPr>
          <w:fldChar w:fldCharType="begin"/>
        </w:r>
        <w:r w:rsidR="00ED6663">
          <w:rPr>
            <w:webHidden/>
          </w:rPr>
          <w:instrText xml:space="preserve"> PAGEREF _Toc137126535 \h </w:instrText>
        </w:r>
        <w:r w:rsidR="00ED6663">
          <w:rPr>
            <w:webHidden/>
          </w:rPr>
        </w:r>
        <w:r w:rsidR="00ED6663">
          <w:rPr>
            <w:webHidden/>
          </w:rPr>
          <w:fldChar w:fldCharType="separate"/>
        </w:r>
        <w:r w:rsidR="00ED6663">
          <w:rPr>
            <w:webHidden/>
          </w:rPr>
          <w:t>3</w:t>
        </w:r>
        <w:r w:rsidR="00ED6663">
          <w:rPr>
            <w:webHidden/>
          </w:rPr>
          <w:fldChar w:fldCharType="end"/>
        </w:r>
      </w:hyperlink>
    </w:p>
    <w:p w14:paraId="592154DA" w14:textId="07E19956" w:rsidR="00ED6663" w:rsidRDefault="00000000">
      <w:pPr>
        <w:pStyle w:val="TOC3"/>
        <w:rPr>
          <w:rFonts w:asciiTheme="minorHAnsi" w:eastAsiaTheme="minorEastAsia" w:hAnsiTheme="minorHAnsi" w:cstheme="minorBidi"/>
          <w:b w:val="0"/>
          <w:kern w:val="2"/>
          <w:sz w:val="22"/>
          <w:szCs w:val="22"/>
          <w14:ligatures w14:val="standardContextual"/>
        </w:rPr>
      </w:pPr>
      <w:hyperlink w:anchor="_Toc137126536" w:history="1">
        <w:r w:rsidR="00ED6663" w:rsidRPr="00A520C4">
          <w:rPr>
            <w:rStyle w:val="Hyperlink"/>
          </w:rPr>
          <w:t>ED Publishes Draft 21st CCLC Guidance</w:t>
        </w:r>
        <w:r w:rsidR="00ED6663">
          <w:rPr>
            <w:webHidden/>
          </w:rPr>
          <w:tab/>
        </w:r>
        <w:r w:rsidR="00ED6663">
          <w:rPr>
            <w:webHidden/>
          </w:rPr>
          <w:fldChar w:fldCharType="begin"/>
        </w:r>
        <w:r w:rsidR="00ED6663">
          <w:rPr>
            <w:webHidden/>
          </w:rPr>
          <w:instrText xml:space="preserve"> PAGEREF _Toc137126536 \h </w:instrText>
        </w:r>
        <w:r w:rsidR="00ED6663">
          <w:rPr>
            <w:webHidden/>
          </w:rPr>
        </w:r>
        <w:r w:rsidR="00ED6663">
          <w:rPr>
            <w:webHidden/>
          </w:rPr>
          <w:fldChar w:fldCharType="separate"/>
        </w:r>
        <w:r w:rsidR="00ED6663">
          <w:rPr>
            <w:webHidden/>
          </w:rPr>
          <w:t>3</w:t>
        </w:r>
        <w:r w:rsidR="00ED6663">
          <w:rPr>
            <w:webHidden/>
          </w:rPr>
          <w:fldChar w:fldCharType="end"/>
        </w:r>
      </w:hyperlink>
    </w:p>
    <w:p w14:paraId="6EC11505" w14:textId="0300601D" w:rsidR="00ED6663" w:rsidRDefault="00000000">
      <w:pPr>
        <w:pStyle w:val="TOC2"/>
        <w:rPr>
          <w:rFonts w:asciiTheme="minorHAnsi" w:eastAsiaTheme="minorEastAsia" w:hAnsiTheme="minorHAnsi" w:cstheme="minorBidi"/>
          <w:b w:val="0"/>
          <w:kern w:val="2"/>
          <w:sz w:val="22"/>
          <w:szCs w:val="22"/>
          <w14:ligatures w14:val="standardContextual"/>
        </w:rPr>
      </w:pPr>
      <w:hyperlink w:anchor="_Toc137126537" w:history="1">
        <w:r w:rsidR="00ED6663" w:rsidRPr="00A520C4">
          <w:rPr>
            <w:rStyle w:val="Hyperlink"/>
          </w:rPr>
          <w:t>Reports</w:t>
        </w:r>
        <w:r w:rsidR="00ED6663">
          <w:rPr>
            <w:webHidden/>
          </w:rPr>
          <w:tab/>
        </w:r>
        <w:r w:rsidR="00ED6663">
          <w:rPr>
            <w:webHidden/>
          </w:rPr>
          <w:fldChar w:fldCharType="begin"/>
        </w:r>
        <w:r w:rsidR="00ED6663">
          <w:rPr>
            <w:webHidden/>
          </w:rPr>
          <w:instrText xml:space="preserve"> PAGEREF _Toc137126537 \h </w:instrText>
        </w:r>
        <w:r w:rsidR="00ED6663">
          <w:rPr>
            <w:webHidden/>
          </w:rPr>
        </w:r>
        <w:r w:rsidR="00ED6663">
          <w:rPr>
            <w:webHidden/>
          </w:rPr>
          <w:fldChar w:fldCharType="separate"/>
        </w:r>
        <w:r w:rsidR="00ED6663">
          <w:rPr>
            <w:webHidden/>
          </w:rPr>
          <w:t>4</w:t>
        </w:r>
        <w:r w:rsidR="00ED6663">
          <w:rPr>
            <w:webHidden/>
          </w:rPr>
          <w:fldChar w:fldCharType="end"/>
        </w:r>
      </w:hyperlink>
    </w:p>
    <w:p w14:paraId="00505B41" w14:textId="6673D1F7" w:rsidR="00ED6663" w:rsidRDefault="00000000">
      <w:pPr>
        <w:pStyle w:val="TOC3"/>
        <w:rPr>
          <w:rFonts w:asciiTheme="minorHAnsi" w:eastAsiaTheme="minorEastAsia" w:hAnsiTheme="minorHAnsi" w:cstheme="minorBidi"/>
          <w:b w:val="0"/>
          <w:kern w:val="2"/>
          <w:sz w:val="22"/>
          <w:szCs w:val="22"/>
          <w14:ligatures w14:val="standardContextual"/>
        </w:rPr>
      </w:pPr>
      <w:hyperlink w:anchor="_Toc137126538" w:history="1">
        <w:r w:rsidR="00ED6663" w:rsidRPr="00A520C4">
          <w:rPr>
            <w:rStyle w:val="Hyperlink"/>
            <w:rFonts w:eastAsia="Times New Roman"/>
          </w:rPr>
          <w:t>ED OIG Publishes Semiannual Report to Congress</w:t>
        </w:r>
        <w:r w:rsidR="00ED6663">
          <w:rPr>
            <w:webHidden/>
          </w:rPr>
          <w:tab/>
        </w:r>
        <w:r w:rsidR="00ED6663">
          <w:rPr>
            <w:webHidden/>
          </w:rPr>
          <w:fldChar w:fldCharType="begin"/>
        </w:r>
        <w:r w:rsidR="00ED6663">
          <w:rPr>
            <w:webHidden/>
          </w:rPr>
          <w:instrText xml:space="preserve"> PAGEREF _Toc137126538 \h </w:instrText>
        </w:r>
        <w:r w:rsidR="00ED6663">
          <w:rPr>
            <w:webHidden/>
          </w:rPr>
        </w:r>
        <w:r w:rsidR="00ED6663">
          <w:rPr>
            <w:webHidden/>
          </w:rPr>
          <w:fldChar w:fldCharType="separate"/>
        </w:r>
        <w:r w:rsidR="00ED6663">
          <w:rPr>
            <w:webHidden/>
          </w:rPr>
          <w:t>4</w:t>
        </w:r>
        <w:r w:rsidR="00ED6663">
          <w:rPr>
            <w:webHidden/>
          </w:rPr>
          <w:fldChar w:fldCharType="end"/>
        </w:r>
      </w:hyperlink>
    </w:p>
    <w:p w14:paraId="101A2A8F" w14:textId="25C97899" w:rsidR="00371EEC" w:rsidRPr="00371EEC" w:rsidRDefault="00156AA4" w:rsidP="002D2FB5">
      <w:pPr>
        <w:rPr>
          <w:i/>
          <w:iCs/>
        </w:rPr>
      </w:pPr>
      <w:r w:rsidRPr="00CF79C8">
        <w:fldChar w:fldCharType="end"/>
      </w:r>
      <w:bookmarkStart w:id="16" w:name="_Toc504484598"/>
      <w:bookmarkEnd w:id="0"/>
      <w:bookmarkEnd w:id="1"/>
      <w:bookmarkEnd w:id="2"/>
      <w:bookmarkEnd w:id="3"/>
      <w:bookmarkEnd w:id="4"/>
      <w:bookmarkEnd w:id="5"/>
    </w:p>
    <w:p w14:paraId="13D0802B" w14:textId="45B7E9EC" w:rsidR="00B85542" w:rsidRDefault="00AC0A37" w:rsidP="00AC0A37">
      <w:pPr>
        <w:pStyle w:val="Heading2"/>
      </w:pPr>
      <w:bookmarkStart w:id="17" w:name="_Toc137126532"/>
      <w:r>
        <w:t>Legislation and Guidance</w:t>
      </w:r>
      <w:bookmarkEnd w:id="17"/>
    </w:p>
    <w:p w14:paraId="5036C0D2" w14:textId="4185E387" w:rsidR="00770B2D" w:rsidRDefault="00036F11" w:rsidP="00036F11">
      <w:pPr>
        <w:pStyle w:val="Heading3"/>
      </w:pPr>
      <w:bookmarkStart w:id="18" w:name="_Toc137126533"/>
      <w:r w:rsidRPr="00036F11">
        <w:t>ED Assures States Remaining Stimulus Funds Protected</w:t>
      </w:r>
      <w:bookmarkEnd w:id="18"/>
    </w:p>
    <w:p w14:paraId="44B1FE09" w14:textId="53553C1D" w:rsidR="00036F11" w:rsidRPr="00036F11" w:rsidRDefault="00036F11" w:rsidP="00036F11">
      <w:pPr>
        <w:widowControl/>
        <w:suppressAutoHyphens w:val="0"/>
        <w:spacing w:before="0" w:after="160" w:line="259" w:lineRule="auto"/>
        <w:rPr>
          <w:rFonts w:eastAsia="Calibri" w:cs="Arial"/>
          <w:kern w:val="2"/>
          <w:szCs w:val="24"/>
          <w14:ligatures w14:val="standardContextual"/>
        </w:rPr>
      </w:pPr>
      <w:r w:rsidRPr="00036F11">
        <w:rPr>
          <w:rFonts w:eastAsia="Calibri" w:cs="Arial"/>
          <w:kern w:val="2"/>
          <w:szCs w:val="24"/>
          <w14:ligatures w14:val="standardContextual"/>
        </w:rPr>
        <w:t xml:space="preserve">In a letter sent to State chiefs earlier this week, Acting Assistant Secretary </w:t>
      </w:r>
      <w:r w:rsidR="009F65FD">
        <w:rPr>
          <w:rFonts w:eastAsia="Calibri" w:cs="Arial"/>
          <w:kern w:val="2"/>
          <w:szCs w:val="24"/>
          <w14:ligatures w14:val="standardContextual"/>
        </w:rPr>
        <w:t xml:space="preserve">for Elementary and Secondary Education </w:t>
      </w:r>
      <w:r w:rsidRPr="00036F11">
        <w:rPr>
          <w:rFonts w:eastAsia="Calibri" w:cs="Arial"/>
          <w:kern w:val="2"/>
          <w:szCs w:val="24"/>
          <w14:ligatures w14:val="standardContextual"/>
        </w:rPr>
        <w:t>James Lane offered reassurance that stimulus funds allocated to States would not be included in the recissions of the debt ceiling legislation.</w:t>
      </w:r>
    </w:p>
    <w:p w14:paraId="7B6B7210" w14:textId="6BE14673" w:rsidR="00036F11" w:rsidRPr="00036F11" w:rsidRDefault="00036F11" w:rsidP="00036F11">
      <w:pPr>
        <w:widowControl/>
        <w:suppressAutoHyphens w:val="0"/>
        <w:spacing w:before="0" w:after="160" w:line="259" w:lineRule="auto"/>
        <w:rPr>
          <w:rFonts w:eastAsia="Calibri" w:cs="Arial"/>
          <w:kern w:val="2"/>
          <w:szCs w:val="24"/>
          <w14:ligatures w14:val="standardContextual"/>
        </w:rPr>
      </w:pPr>
      <w:r w:rsidRPr="00036F11">
        <w:rPr>
          <w:rFonts w:eastAsia="Calibri" w:cs="Arial"/>
          <w:kern w:val="2"/>
          <w:szCs w:val="24"/>
          <w14:ligatures w14:val="standardContextual"/>
        </w:rPr>
        <w:t>The Fiscal Responsibility Act of 2023, signed into law by the President last week, rescinds unobligated balances held by the federal government in a number of programs including the education stimulus programs under the American Rescue Plan (ARP).  However, the letter from the U.S. Department of Education (ED) said that all funds under the Elementary and Secondary School Emergency Relief Fund (ESSER), Emergency Assistance to Nonpublic Schools (EANS), Governor’s Education Emergency Relief Funds (GEER), and Homeless Children and Youth (ARP-HCY) funds are considered fully obligated by the federal government and are therefor</w:t>
      </w:r>
      <w:r>
        <w:rPr>
          <w:rFonts w:eastAsia="Calibri" w:cs="Arial"/>
          <w:kern w:val="2"/>
          <w:szCs w:val="24"/>
          <w14:ligatures w14:val="standardContextual"/>
        </w:rPr>
        <w:t>e</w:t>
      </w:r>
      <w:r w:rsidRPr="00036F11">
        <w:rPr>
          <w:rFonts w:eastAsia="Calibri" w:cs="Arial"/>
          <w:kern w:val="2"/>
          <w:szCs w:val="24"/>
          <w14:ligatures w14:val="standardContextual"/>
        </w:rPr>
        <w:t xml:space="preserve"> not subject to recission.  “States and subgrantees should continue to spend down these resources urgently and wisely in accordance with approved State and local plans and statutory timelines for spending,” </w:t>
      </w:r>
      <w:r w:rsidRPr="00036F11">
        <w:rPr>
          <w:rFonts w:eastAsia="Calibri" w:cs="Arial"/>
          <w:kern w:val="2"/>
          <w:szCs w:val="24"/>
          <w14:ligatures w14:val="standardContextual"/>
        </w:rPr>
        <w:lastRenderedPageBreak/>
        <w:t>Lane wrote.  ED had previously said that HEERF funds committed to specific institutions would also not be clawed back.</w:t>
      </w:r>
    </w:p>
    <w:p w14:paraId="6403D076" w14:textId="5278EDD5" w:rsidR="00036F11" w:rsidRPr="00036F11" w:rsidRDefault="00036F11" w:rsidP="00036F11">
      <w:pPr>
        <w:widowControl/>
        <w:suppressAutoHyphens w:val="0"/>
        <w:spacing w:before="0" w:after="160" w:line="259" w:lineRule="auto"/>
        <w:rPr>
          <w:rFonts w:eastAsia="Calibri" w:cs="Arial"/>
          <w:kern w:val="2"/>
          <w:szCs w:val="24"/>
          <w14:ligatures w14:val="standardContextual"/>
        </w:rPr>
      </w:pPr>
      <w:r w:rsidRPr="00036F11">
        <w:rPr>
          <w:rFonts w:eastAsia="Calibri" w:cs="Arial"/>
          <w:kern w:val="2"/>
          <w:szCs w:val="24"/>
          <w14:ligatures w14:val="standardContextual"/>
        </w:rPr>
        <w:t>Recissions will affect some ARP funds not yet obligated by ED, including funding for the Institut</w:t>
      </w:r>
      <w:r w:rsidR="009F65FD">
        <w:rPr>
          <w:rFonts w:eastAsia="Calibri" w:cs="Arial"/>
          <w:kern w:val="2"/>
          <w:szCs w:val="24"/>
          <w14:ligatures w14:val="standardContextual"/>
        </w:rPr>
        <w:t>e</w:t>
      </w:r>
      <w:r w:rsidRPr="00036F11">
        <w:rPr>
          <w:rFonts w:eastAsia="Calibri" w:cs="Arial"/>
          <w:kern w:val="2"/>
          <w:szCs w:val="24"/>
          <w14:ligatures w14:val="standardContextual"/>
        </w:rPr>
        <w:t xml:space="preserve"> of Education Sciences and Student Financial Aid administration.</w:t>
      </w:r>
    </w:p>
    <w:p w14:paraId="01613A6E" w14:textId="77777777" w:rsidR="00036F11" w:rsidRPr="00036F11" w:rsidRDefault="00036F11" w:rsidP="00036F11">
      <w:pPr>
        <w:widowControl/>
        <w:suppressAutoHyphens w:val="0"/>
        <w:spacing w:before="0" w:after="160" w:line="259" w:lineRule="auto"/>
        <w:rPr>
          <w:rFonts w:eastAsia="Calibri" w:cs="Arial"/>
          <w:kern w:val="2"/>
          <w:szCs w:val="24"/>
          <w14:ligatures w14:val="standardContextual"/>
        </w:rPr>
      </w:pPr>
      <w:r w:rsidRPr="00036F11">
        <w:rPr>
          <w:rFonts w:eastAsia="Calibri" w:cs="Arial"/>
          <w:kern w:val="2"/>
          <w:szCs w:val="24"/>
          <w14:ligatures w14:val="standardContextual"/>
        </w:rPr>
        <w:t>Author: JCM</w:t>
      </w:r>
    </w:p>
    <w:p w14:paraId="4272618B" w14:textId="437FAD73" w:rsidR="008845D1" w:rsidRDefault="00036F11" w:rsidP="00036F11">
      <w:pPr>
        <w:pStyle w:val="Heading3"/>
      </w:pPr>
      <w:bookmarkStart w:id="19" w:name="_Toc137126534"/>
      <w:r w:rsidRPr="00036F11">
        <w:t>Final Title I Equitable Services Guidance Published</w:t>
      </w:r>
      <w:bookmarkEnd w:id="19"/>
    </w:p>
    <w:p w14:paraId="49AA18A5" w14:textId="42354910" w:rsidR="00036F11" w:rsidRPr="00036F11" w:rsidRDefault="00036F11" w:rsidP="00036F11">
      <w:pPr>
        <w:widowControl/>
        <w:suppressAutoHyphens w:val="0"/>
        <w:spacing w:before="0" w:after="160" w:line="259" w:lineRule="auto"/>
        <w:rPr>
          <w:rFonts w:eastAsia="Calibri" w:cs="Arial"/>
          <w:kern w:val="2"/>
          <w:szCs w:val="24"/>
          <w14:ligatures w14:val="standardContextual"/>
        </w:rPr>
      </w:pPr>
      <w:r w:rsidRPr="00036F11">
        <w:rPr>
          <w:rFonts w:eastAsia="Calibri" w:cs="Arial"/>
          <w:kern w:val="2"/>
          <w:szCs w:val="24"/>
          <w14:ligatures w14:val="standardContextual"/>
        </w:rPr>
        <w:t xml:space="preserve">The U.S. Department of Education </w:t>
      </w:r>
      <w:r w:rsidR="00086EF8">
        <w:rPr>
          <w:rFonts w:eastAsia="Calibri" w:cs="Arial"/>
          <w:kern w:val="2"/>
          <w:szCs w:val="24"/>
          <w14:ligatures w14:val="standardContextual"/>
        </w:rPr>
        <w:t xml:space="preserve">(ED) </w:t>
      </w:r>
      <w:r w:rsidRPr="00036F11">
        <w:rPr>
          <w:rFonts w:eastAsia="Calibri" w:cs="Arial"/>
          <w:kern w:val="2"/>
          <w:szCs w:val="24"/>
          <w14:ligatures w14:val="standardContextual"/>
        </w:rPr>
        <w:t xml:space="preserve">has published a final version of its updated guidance on providing equitable services under Title I of the Elementary and Secondary Education Act (ESEA).  This is the final version of guidance updates originally issued in November of last </w:t>
      </w:r>
      <w:r w:rsidR="00503BC8" w:rsidRPr="00036F11">
        <w:rPr>
          <w:rFonts w:eastAsia="Calibri" w:cs="Arial"/>
          <w:kern w:val="2"/>
          <w:szCs w:val="24"/>
          <w14:ligatures w14:val="standardContextual"/>
        </w:rPr>
        <w:t>year and</w:t>
      </w:r>
      <w:r w:rsidRPr="00036F11">
        <w:rPr>
          <w:rFonts w:eastAsia="Calibri" w:cs="Arial"/>
          <w:kern w:val="2"/>
          <w:szCs w:val="24"/>
          <w14:ligatures w14:val="standardContextual"/>
        </w:rPr>
        <w:t xml:space="preserve"> has been updated to add more context to – but not change ED’s position on – the calculation of the private school proportionate share through surveys and other means.</w:t>
      </w:r>
    </w:p>
    <w:p w14:paraId="1D805945" w14:textId="77777777" w:rsidR="00036F11" w:rsidRPr="00036F11" w:rsidRDefault="00036F11" w:rsidP="00036F11">
      <w:pPr>
        <w:widowControl/>
        <w:suppressAutoHyphens w:val="0"/>
        <w:spacing w:before="0" w:after="160" w:line="259" w:lineRule="auto"/>
        <w:rPr>
          <w:rFonts w:eastAsia="Calibri" w:cs="Arial"/>
          <w:kern w:val="2"/>
          <w:szCs w:val="24"/>
          <w14:ligatures w14:val="standardContextual"/>
        </w:rPr>
      </w:pPr>
      <w:r w:rsidRPr="00036F11">
        <w:rPr>
          <w:rFonts w:eastAsia="Calibri" w:cs="Arial"/>
          <w:kern w:val="2"/>
          <w:szCs w:val="24"/>
          <w14:ligatures w14:val="standardContextual"/>
        </w:rPr>
        <w:t>Under the final guidance, as under the draft, districts who wish to use survey responses to calculate the proportionate share must ensure that the sample of responses collected is “representative” of the district and the students attending private school.  While the updated guidance allows districts to presume that any survey data is representative, it also allows private schools to challenge that assertion during the consultation process.  Following a challenge, the LEA must engage in a review of the data and share its conclusions with private schools.  If the sample is found not to be representative of the population, then the district must supplement it with data from other sources.</w:t>
      </w:r>
    </w:p>
    <w:p w14:paraId="5FED720C" w14:textId="692BAA42" w:rsidR="00036F11" w:rsidRPr="00036F11" w:rsidRDefault="00036F11" w:rsidP="00036F11">
      <w:pPr>
        <w:widowControl/>
        <w:suppressAutoHyphens w:val="0"/>
        <w:spacing w:before="0" w:after="160" w:line="259" w:lineRule="auto"/>
        <w:rPr>
          <w:rFonts w:eastAsia="Calibri" w:cs="Arial"/>
          <w:kern w:val="2"/>
          <w:szCs w:val="24"/>
          <w14:ligatures w14:val="standardContextual"/>
        </w:rPr>
      </w:pPr>
      <w:r w:rsidRPr="00036F11">
        <w:rPr>
          <w:rFonts w:eastAsia="Calibri" w:cs="Arial"/>
          <w:kern w:val="2"/>
          <w:szCs w:val="24"/>
          <w14:ligatures w14:val="standardContextual"/>
        </w:rPr>
        <w:t xml:space="preserve">This new ability to challenge the representative nature of a sample means that LEAs must engage in ongoing consultation with multiple instances of contact and feedback if they plan to use survey data. </w:t>
      </w:r>
      <w:r w:rsidR="00DB6D16">
        <w:rPr>
          <w:rFonts w:eastAsia="Calibri" w:cs="Arial"/>
          <w:kern w:val="2"/>
          <w:szCs w:val="24"/>
          <w14:ligatures w14:val="standardContextual"/>
        </w:rPr>
        <w:t xml:space="preserve"> </w:t>
      </w:r>
      <w:r w:rsidRPr="00036F11">
        <w:rPr>
          <w:rFonts w:eastAsia="Calibri" w:cs="Arial"/>
          <w:kern w:val="2"/>
          <w:szCs w:val="24"/>
          <w14:ligatures w14:val="standardContextual"/>
        </w:rPr>
        <w:t>ED says that districts must consult with participating non-public schools on the choice of data being used to calculate proportionate share in a way that discusses all allowable data sources under Title I and allows for meaningful feedback “before the LEA makes any decision that affects the opportunities of private school children.”</w:t>
      </w:r>
    </w:p>
    <w:p w14:paraId="333D293A" w14:textId="77777777" w:rsidR="00036F11" w:rsidRPr="00036F11" w:rsidRDefault="00036F11" w:rsidP="00036F11">
      <w:pPr>
        <w:widowControl/>
        <w:suppressAutoHyphens w:val="0"/>
        <w:spacing w:before="0" w:after="160" w:line="259" w:lineRule="auto"/>
        <w:rPr>
          <w:rFonts w:eastAsia="Calibri" w:cs="Arial"/>
          <w:kern w:val="2"/>
          <w:szCs w:val="24"/>
          <w14:ligatures w14:val="standardContextual"/>
        </w:rPr>
      </w:pPr>
      <w:r w:rsidRPr="00036F11">
        <w:rPr>
          <w:rFonts w:eastAsia="Calibri" w:cs="Arial"/>
          <w:kern w:val="2"/>
          <w:szCs w:val="24"/>
          <w14:ligatures w14:val="standardContextual"/>
        </w:rPr>
        <w:t>The updated guidance, like its predecessor, does not define what kind of sample it considers to be adequately representative.  However, in two examples it suggests that a sample of 300 out of 400 students is representative, while a sample of 25 out of 100 students is not.  The guidance does suggest that in gauging whether survey data is representative, a district “consider the degree to which respondents are similar to non-respondents such as by using neighborhood or Title I public school attendance area characteristics.”  The new version of the guidance also eliminates a sentence stating that “[r]</w:t>
      </w:r>
      <w:proofErr w:type="spellStart"/>
      <w:r w:rsidRPr="00036F11">
        <w:rPr>
          <w:rFonts w:eastAsia="Calibri" w:cs="Arial"/>
          <w:kern w:val="2"/>
          <w:szCs w:val="24"/>
          <w14:ligatures w14:val="standardContextual"/>
        </w:rPr>
        <w:t>igorous</w:t>
      </w:r>
      <w:proofErr w:type="spellEnd"/>
      <w:r w:rsidRPr="00036F11">
        <w:rPr>
          <w:rFonts w:eastAsia="Calibri" w:cs="Arial"/>
          <w:kern w:val="2"/>
          <w:szCs w:val="24"/>
          <w14:ligatures w14:val="standardContextual"/>
        </w:rPr>
        <w:t xml:space="preserve"> statistical analyses may not be necessary to justify the representativeness of the sample.”</w:t>
      </w:r>
    </w:p>
    <w:p w14:paraId="4C635B01" w14:textId="77777777" w:rsidR="00036F11" w:rsidRPr="00036F11" w:rsidRDefault="00036F11" w:rsidP="00036F11">
      <w:pPr>
        <w:widowControl/>
        <w:suppressAutoHyphens w:val="0"/>
        <w:spacing w:before="0" w:after="160" w:line="259" w:lineRule="auto"/>
        <w:rPr>
          <w:rFonts w:eastAsia="Calibri" w:cs="Arial"/>
          <w:kern w:val="2"/>
          <w:szCs w:val="24"/>
          <w14:ligatures w14:val="standardContextual"/>
        </w:rPr>
      </w:pPr>
      <w:r w:rsidRPr="00036F11">
        <w:rPr>
          <w:rFonts w:eastAsia="Calibri" w:cs="Arial"/>
          <w:kern w:val="2"/>
          <w:szCs w:val="24"/>
          <w14:ligatures w14:val="standardContextual"/>
        </w:rPr>
        <w:t>Finally, the updated guidance does not acknowledge concerns expressed by stakeholders that survey data is often used as a fallback when other reliable data sources are not available and therefore cannot be supplemented, instead suggesting that private schools encourage families to respond to surveys by writing a “cover note” or including the surveys in a registration packet.</w:t>
      </w:r>
    </w:p>
    <w:p w14:paraId="1AA71367" w14:textId="77777777" w:rsidR="00036F11" w:rsidRPr="00036F11" w:rsidRDefault="00036F11" w:rsidP="00036F11">
      <w:pPr>
        <w:widowControl/>
        <w:suppressAutoHyphens w:val="0"/>
        <w:spacing w:before="0" w:after="160" w:line="259" w:lineRule="auto"/>
        <w:rPr>
          <w:rFonts w:eastAsia="Calibri" w:cs="Arial"/>
          <w:kern w:val="2"/>
          <w:szCs w:val="24"/>
          <w14:ligatures w14:val="standardContextual"/>
        </w:rPr>
      </w:pPr>
      <w:r w:rsidRPr="00036F11">
        <w:rPr>
          <w:rFonts w:eastAsia="Calibri" w:cs="Arial"/>
          <w:kern w:val="2"/>
          <w:szCs w:val="24"/>
          <w14:ligatures w14:val="standardContextual"/>
        </w:rPr>
        <w:t xml:space="preserve">The </w:t>
      </w:r>
      <w:hyperlink r:id="rId12" w:history="1">
        <w:r w:rsidRPr="00036F11">
          <w:rPr>
            <w:rFonts w:eastAsia="Calibri" w:cs="Arial"/>
            <w:color w:val="0563C1"/>
            <w:kern w:val="2"/>
            <w:szCs w:val="24"/>
            <w:u w:val="single"/>
            <w14:ligatures w14:val="standardContextual"/>
          </w:rPr>
          <w:t>final version of this guidance</w:t>
        </w:r>
      </w:hyperlink>
      <w:r w:rsidRPr="00036F11">
        <w:rPr>
          <w:rFonts w:eastAsia="Calibri" w:cs="Arial"/>
          <w:kern w:val="2"/>
          <w:szCs w:val="24"/>
          <w14:ligatures w14:val="standardContextual"/>
        </w:rPr>
        <w:t xml:space="preserve"> is available here.</w:t>
      </w:r>
    </w:p>
    <w:p w14:paraId="16A00853" w14:textId="77777777" w:rsidR="00036F11" w:rsidRPr="00036F11" w:rsidRDefault="00036F11" w:rsidP="00036F11">
      <w:pPr>
        <w:widowControl/>
        <w:suppressAutoHyphens w:val="0"/>
        <w:spacing w:before="0" w:after="160" w:line="259" w:lineRule="auto"/>
        <w:rPr>
          <w:rFonts w:eastAsia="Calibri" w:cs="Arial"/>
          <w:kern w:val="2"/>
          <w:szCs w:val="24"/>
          <w14:ligatures w14:val="standardContextual"/>
        </w:rPr>
      </w:pPr>
      <w:r w:rsidRPr="00036F11">
        <w:rPr>
          <w:rFonts w:eastAsia="Calibri" w:cs="Arial"/>
          <w:kern w:val="2"/>
          <w:szCs w:val="24"/>
          <w14:ligatures w14:val="standardContextual"/>
        </w:rPr>
        <w:t>Author: JCM</w:t>
      </w:r>
    </w:p>
    <w:p w14:paraId="3A3A9ADC" w14:textId="31C51752" w:rsidR="00E87AA8" w:rsidRDefault="00036F11" w:rsidP="00036F11">
      <w:pPr>
        <w:pStyle w:val="Heading3"/>
      </w:pPr>
      <w:bookmarkStart w:id="20" w:name="_Toc137126535"/>
      <w:r w:rsidRPr="00036F11">
        <w:t>President Vetoes Student Loan Resolution</w:t>
      </w:r>
      <w:bookmarkEnd w:id="20"/>
    </w:p>
    <w:p w14:paraId="2E485E47" w14:textId="631DE5B0" w:rsidR="00036F11" w:rsidRPr="00036F11" w:rsidRDefault="00036F11" w:rsidP="00036F11">
      <w:pPr>
        <w:widowControl/>
        <w:suppressAutoHyphens w:val="0"/>
        <w:spacing w:before="0" w:after="160" w:line="259" w:lineRule="auto"/>
        <w:rPr>
          <w:rFonts w:eastAsia="Calibri" w:cs="Arial"/>
          <w:kern w:val="2"/>
          <w:szCs w:val="24"/>
          <w14:ligatures w14:val="standardContextual"/>
        </w:rPr>
      </w:pPr>
      <w:r w:rsidRPr="00036F11">
        <w:rPr>
          <w:rFonts w:eastAsia="Calibri" w:cs="Arial"/>
          <w:kern w:val="2"/>
          <w:szCs w:val="24"/>
          <w14:ligatures w14:val="standardContextual"/>
        </w:rPr>
        <w:t>On Wednesday President Biden vetoed legislation passed under the Congressional Review Act that would have repealed his plan to provide up to $20,000 of student loan forgiveness for borrowers.</w:t>
      </w:r>
    </w:p>
    <w:p w14:paraId="295592C6" w14:textId="78B9C265" w:rsidR="00036F11" w:rsidRPr="00036F11" w:rsidRDefault="00036F11" w:rsidP="00036F11">
      <w:pPr>
        <w:widowControl/>
        <w:suppressAutoHyphens w:val="0"/>
        <w:spacing w:before="0" w:after="160" w:line="259" w:lineRule="auto"/>
        <w:rPr>
          <w:rFonts w:eastAsia="Calibri" w:cs="Arial"/>
          <w:kern w:val="2"/>
          <w:szCs w:val="24"/>
          <w14:ligatures w14:val="standardContextual"/>
        </w:rPr>
      </w:pPr>
      <w:r w:rsidRPr="00036F11">
        <w:rPr>
          <w:rFonts w:eastAsia="Calibri" w:cs="Arial"/>
          <w:kern w:val="2"/>
          <w:szCs w:val="24"/>
          <w14:ligatures w14:val="standardContextual"/>
        </w:rPr>
        <w:t xml:space="preserve">The resolution passed the House and Senate last week and claimed </w:t>
      </w:r>
      <w:r w:rsidR="00716E79">
        <w:rPr>
          <w:rFonts w:eastAsia="Calibri" w:cs="Arial"/>
          <w:kern w:val="2"/>
          <w:szCs w:val="24"/>
          <w14:ligatures w14:val="standardContextual"/>
        </w:rPr>
        <w:t xml:space="preserve">that </w:t>
      </w:r>
      <w:r w:rsidRPr="00036F11">
        <w:rPr>
          <w:rFonts w:eastAsia="Calibri" w:cs="Arial"/>
          <w:kern w:val="2"/>
          <w:szCs w:val="24"/>
          <w14:ligatures w14:val="standardContextual"/>
        </w:rPr>
        <w:t xml:space="preserve">the plan would be too costly and unfair to Americans who didn’t attend college to bear a share of the cost of forgiveness via federal income taxes.  But </w:t>
      </w:r>
      <w:r w:rsidR="00716E79">
        <w:rPr>
          <w:rFonts w:eastAsia="Calibri" w:cs="Arial"/>
          <w:kern w:val="2"/>
          <w:szCs w:val="24"/>
          <w14:ligatures w14:val="standardContextual"/>
        </w:rPr>
        <w:t>the President</w:t>
      </w:r>
      <w:r w:rsidRPr="00036F11">
        <w:rPr>
          <w:rFonts w:eastAsia="Calibri" w:cs="Arial"/>
          <w:kern w:val="2"/>
          <w:szCs w:val="24"/>
          <w14:ligatures w14:val="standardContextual"/>
        </w:rPr>
        <w:t xml:space="preserve"> – who had promised to veto the bill if it is passed by Congress – said he would “not… back down on my efforts to help tens of millions of working- and middle-class families.”</w:t>
      </w:r>
    </w:p>
    <w:p w14:paraId="52EC8C9F" w14:textId="07464227" w:rsidR="00036F11" w:rsidRPr="00036F11" w:rsidRDefault="00036F11" w:rsidP="00036F11">
      <w:pPr>
        <w:widowControl/>
        <w:suppressAutoHyphens w:val="0"/>
        <w:spacing w:before="0" w:after="160" w:line="259" w:lineRule="auto"/>
        <w:rPr>
          <w:rFonts w:eastAsia="Calibri" w:cs="Arial"/>
          <w:kern w:val="2"/>
          <w:szCs w:val="24"/>
          <w14:ligatures w14:val="standardContextual"/>
        </w:rPr>
      </w:pPr>
      <w:r w:rsidRPr="00036F11">
        <w:rPr>
          <w:rFonts w:eastAsia="Calibri" w:cs="Arial"/>
          <w:kern w:val="2"/>
          <w:szCs w:val="24"/>
          <w14:ligatures w14:val="standardContextual"/>
        </w:rPr>
        <w:t xml:space="preserve">Under the Congressional Review Act, Congress can pass resolutions seeking the recission of federal regulations promulgated by the administration within the past 60 legislative days.  However, such resolutions have to be signed by the President to take effect.  The administration is also awaiting a decision from the U.S. Supreme Court as to whether the President has the authority to offer such forgiveness under the 2003 </w:t>
      </w:r>
      <w:r w:rsidR="00716E79" w:rsidRPr="00716E79">
        <w:rPr>
          <w:rFonts w:eastAsia="Calibri" w:cs="Arial"/>
          <w:kern w:val="2"/>
          <w:szCs w:val="24"/>
          <w14:ligatures w14:val="standardContextual"/>
        </w:rPr>
        <w:t>Higher Education Relief Opportunities for Students</w:t>
      </w:r>
      <w:r w:rsidR="00716E79">
        <w:rPr>
          <w:rFonts w:eastAsia="Calibri" w:cs="Arial"/>
          <w:kern w:val="2"/>
          <w:szCs w:val="24"/>
          <w14:ligatures w14:val="standardContextual"/>
        </w:rPr>
        <w:t xml:space="preserve"> (HEROES)</w:t>
      </w:r>
      <w:r w:rsidR="00716E79" w:rsidRPr="00716E79">
        <w:rPr>
          <w:rFonts w:eastAsia="Calibri" w:cs="Arial"/>
          <w:kern w:val="2"/>
          <w:szCs w:val="24"/>
          <w14:ligatures w14:val="standardContextual"/>
        </w:rPr>
        <w:t xml:space="preserve"> Act</w:t>
      </w:r>
      <w:r w:rsidRPr="00036F11">
        <w:rPr>
          <w:rFonts w:eastAsia="Calibri" w:cs="Arial"/>
          <w:kern w:val="2"/>
          <w:szCs w:val="24"/>
          <w14:ligatures w14:val="standardContextual"/>
        </w:rPr>
        <w:t xml:space="preserve">, or whether it is simply too big a financial question for the executive to answer without explicit Congressional authority.  That decision could come any day between now and the end of June.  </w:t>
      </w:r>
    </w:p>
    <w:p w14:paraId="57DB8FAB" w14:textId="77777777" w:rsidR="00036F11" w:rsidRPr="00036F11" w:rsidRDefault="00036F11" w:rsidP="00036F11">
      <w:pPr>
        <w:widowControl/>
        <w:suppressAutoHyphens w:val="0"/>
        <w:spacing w:before="0" w:after="160" w:line="259" w:lineRule="auto"/>
        <w:rPr>
          <w:rFonts w:eastAsia="Calibri" w:cs="Arial"/>
          <w:kern w:val="2"/>
          <w:szCs w:val="24"/>
          <w14:ligatures w14:val="standardContextual"/>
        </w:rPr>
      </w:pPr>
      <w:r w:rsidRPr="00036F11">
        <w:rPr>
          <w:rFonts w:eastAsia="Calibri" w:cs="Arial"/>
          <w:kern w:val="2"/>
          <w:szCs w:val="24"/>
          <w14:ligatures w14:val="standardContextual"/>
        </w:rPr>
        <w:t>Author: JCM</w:t>
      </w:r>
    </w:p>
    <w:p w14:paraId="5C11DF63" w14:textId="1FF6C66C" w:rsidR="007B60D3" w:rsidRDefault="00036F11" w:rsidP="007B60D3">
      <w:pPr>
        <w:pStyle w:val="Heading3"/>
      </w:pPr>
      <w:bookmarkStart w:id="21" w:name="_Toc137126536"/>
      <w:r w:rsidRPr="00036F11">
        <w:t>ED Publishes Draft 21st CCLC Guidance</w:t>
      </w:r>
      <w:bookmarkEnd w:id="21"/>
    </w:p>
    <w:bookmarkEnd w:id="6"/>
    <w:bookmarkEnd w:id="7"/>
    <w:bookmarkEnd w:id="8"/>
    <w:bookmarkEnd w:id="9"/>
    <w:bookmarkEnd w:id="16"/>
    <w:p w14:paraId="7E4CA336" w14:textId="5890B349" w:rsidR="00036F11" w:rsidRPr="00036F11" w:rsidRDefault="00036F11" w:rsidP="00036F11">
      <w:pPr>
        <w:widowControl/>
        <w:suppressAutoHyphens w:val="0"/>
        <w:spacing w:before="0" w:after="160" w:line="259" w:lineRule="auto"/>
        <w:rPr>
          <w:rFonts w:eastAsia="Calibri" w:cs="Arial"/>
          <w:kern w:val="2"/>
          <w:szCs w:val="24"/>
          <w14:ligatures w14:val="standardContextual"/>
        </w:rPr>
      </w:pPr>
      <w:r w:rsidRPr="00036F11">
        <w:rPr>
          <w:rFonts w:eastAsia="Calibri" w:cs="Arial"/>
          <w:kern w:val="2"/>
          <w:szCs w:val="24"/>
          <w14:ligatures w14:val="standardContextual"/>
        </w:rPr>
        <w:t>The U.S. Department of Education (ED) published draft guidance last month on the 21</w:t>
      </w:r>
      <w:r w:rsidRPr="00036F11">
        <w:rPr>
          <w:rFonts w:eastAsia="Calibri" w:cs="Arial"/>
          <w:kern w:val="2"/>
          <w:szCs w:val="24"/>
          <w:vertAlign w:val="superscript"/>
          <w14:ligatures w14:val="standardContextual"/>
        </w:rPr>
        <w:t>st</w:t>
      </w:r>
      <w:r w:rsidRPr="00036F11">
        <w:rPr>
          <w:rFonts w:eastAsia="Calibri" w:cs="Arial"/>
          <w:kern w:val="2"/>
          <w:szCs w:val="24"/>
          <w14:ligatures w14:val="standardContextual"/>
        </w:rPr>
        <w:t xml:space="preserve"> Century Community Learning Centers </w:t>
      </w:r>
      <w:r w:rsidR="00716E79">
        <w:rPr>
          <w:rFonts w:eastAsia="Calibri" w:cs="Arial"/>
          <w:kern w:val="2"/>
          <w:szCs w:val="24"/>
          <w14:ligatures w14:val="standardContextual"/>
        </w:rPr>
        <w:t>(21</w:t>
      </w:r>
      <w:r w:rsidR="00716E79" w:rsidRPr="00716E79">
        <w:rPr>
          <w:rFonts w:eastAsia="Calibri" w:cs="Arial"/>
          <w:kern w:val="2"/>
          <w:szCs w:val="24"/>
          <w:vertAlign w:val="superscript"/>
          <w14:ligatures w14:val="standardContextual"/>
        </w:rPr>
        <w:t>st</w:t>
      </w:r>
      <w:r w:rsidR="00716E79">
        <w:rPr>
          <w:rFonts w:eastAsia="Calibri" w:cs="Arial"/>
          <w:kern w:val="2"/>
          <w:szCs w:val="24"/>
          <w14:ligatures w14:val="standardContextual"/>
        </w:rPr>
        <w:t xml:space="preserve"> CCLC) </w:t>
      </w:r>
      <w:r w:rsidRPr="00036F11">
        <w:rPr>
          <w:rFonts w:eastAsia="Calibri" w:cs="Arial"/>
          <w:kern w:val="2"/>
          <w:szCs w:val="24"/>
          <w14:ligatures w14:val="standardContextual"/>
        </w:rPr>
        <w:t xml:space="preserve">program under Title IV-B of the Elementary and Secondary Education Act.  The new frequently asked questions </w:t>
      </w:r>
      <w:r w:rsidR="00716E79">
        <w:rPr>
          <w:rFonts w:eastAsia="Calibri" w:cs="Arial"/>
          <w:kern w:val="2"/>
          <w:szCs w:val="24"/>
          <w14:ligatures w14:val="standardContextual"/>
        </w:rPr>
        <w:t xml:space="preserve">(FAQs) </w:t>
      </w:r>
      <w:r w:rsidRPr="00036F11">
        <w:rPr>
          <w:rFonts w:eastAsia="Calibri" w:cs="Arial"/>
          <w:kern w:val="2"/>
          <w:szCs w:val="24"/>
          <w14:ligatures w14:val="standardContextual"/>
        </w:rPr>
        <w:t xml:space="preserve">supersede prior guidance on the program, which was issued in 2003.  </w:t>
      </w:r>
    </w:p>
    <w:p w14:paraId="5D1E3A5D" w14:textId="60DFF09D" w:rsidR="00036F11" w:rsidRPr="00036F11" w:rsidRDefault="00036F11" w:rsidP="00036F11">
      <w:pPr>
        <w:widowControl/>
        <w:suppressAutoHyphens w:val="0"/>
        <w:spacing w:before="0" w:after="160" w:line="259" w:lineRule="auto"/>
        <w:rPr>
          <w:rFonts w:eastAsia="Calibri" w:cs="Arial"/>
          <w:kern w:val="2"/>
          <w:szCs w:val="24"/>
          <w14:ligatures w14:val="standardContextual"/>
        </w:rPr>
      </w:pPr>
      <w:r w:rsidRPr="00036F11">
        <w:rPr>
          <w:rFonts w:eastAsia="Calibri" w:cs="Arial"/>
          <w:kern w:val="2"/>
          <w:szCs w:val="24"/>
          <w14:ligatures w14:val="standardContextual"/>
        </w:rPr>
        <w:t>While many of the FAQs in the draft guidance remain the same as the 2003 guidance, some questions have been removed or added to reflect current law, as the prior guidance was issued prior to the 2015 reauthorization of the Elementary and Secondary Education Act</w:t>
      </w:r>
      <w:r w:rsidR="00007DB1">
        <w:rPr>
          <w:rFonts w:eastAsia="Calibri" w:cs="Arial"/>
          <w:kern w:val="2"/>
          <w:szCs w:val="24"/>
          <w14:ligatures w14:val="standardContextual"/>
        </w:rPr>
        <w:t xml:space="preserve"> and the restriction on the use of funding for weapons or weapons training passed through the Bipartisan Safer Communities Act in June of 2022</w:t>
      </w:r>
      <w:r w:rsidRPr="00036F11">
        <w:rPr>
          <w:rFonts w:eastAsia="Calibri" w:cs="Arial"/>
          <w:kern w:val="2"/>
          <w:szCs w:val="24"/>
          <w14:ligatures w14:val="standardContextual"/>
        </w:rPr>
        <w:t>.  The draft guidance provides an overview of the 21</w:t>
      </w:r>
      <w:r w:rsidRPr="00036F11">
        <w:rPr>
          <w:rFonts w:eastAsia="Calibri" w:cs="Arial"/>
          <w:kern w:val="2"/>
          <w:szCs w:val="24"/>
          <w:vertAlign w:val="superscript"/>
          <w14:ligatures w14:val="standardContextual"/>
        </w:rPr>
        <w:t>st</w:t>
      </w:r>
      <w:r w:rsidRPr="00036F11">
        <w:rPr>
          <w:rFonts w:eastAsia="Calibri" w:cs="Arial"/>
          <w:kern w:val="2"/>
          <w:szCs w:val="24"/>
          <w14:ligatures w14:val="standardContextual"/>
        </w:rPr>
        <w:t xml:space="preserve"> CCLC program, covers State allocations and State responsibilities, including fiscal flexibilities such as transferability and consolidation of funds, addresses the State competitive grant process and allowable local uses of funds, and provides information on State and local evaluation and monitoring requirements.  The draft guidance is more streamlined than the 2003 guidance and includes appropriate updates based on the 2015 ESEA reauthorization, including accurate citations and updated language to reflect changes in the law, such as the move from “scientifically based research” to “evidence-based interventions.” </w:t>
      </w:r>
    </w:p>
    <w:p w14:paraId="6BB1E36A" w14:textId="77777777" w:rsidR="00036F11" w:rsidRPr="00036F11" w:rsidRDefault="00036F11" w:rsidP="00036F11">
      <w:pPr>
        <w:widowControl/>
        <w:suppressAutoHyphens w:val="0"/>
        <w:spacing w:before="0" w:after="160" w:line="259" w:lineRule="auto"/>
        <w:rPr>
          <w:rFonts w:eastAsia="Calibri" w:cs="Arial"/>
          <w:kern w:val="2"/>
          <w:szCs w:val="24"/>
          <w14:ligatures w14:val="standardContextual"/>
        </w:rPr>
      </w:pPr>
      <w:r w:rsidRPr="00036F11">
        <w:rPr>
          <w:rFonts w:eastAsia="Calibri" w:cs="Arial"/>
          <w:kern w:val="2"/>
          <w:szCs w:val="24"/>
          <w14:ligatures w14:val="standardContextual"/>
        </w:rPr>
        <w:t xml:space="preserve">Stakeholders may submit comments to ED on the draft guidance by June 16 to </w:t>
      </w:r>
      <w:hyperlink r:id="rId13" w:history="1">
        <w:r w:rsidRPr="00036F11">
          <w:rPr>
            <w:rFonts w:eastAsia="Calibri" w:cs="Arial"/>
            <w:color w:val="0563C1"/>
            <w:kern w:val="2"/>
            <w:szCs w:val="24"/>
            <w:u w:val="single"/>
            <w14:ligatures w14:val="standardContextual"/>
          </w:rPr>
          <w:t>OESE.feedback@ed.gov</w:t>
        </w:r>
      </w:hyperlink>
      <w:r w:rsidRPr="00036F11">
        <w:rPr>
          <w:rFonts w:eastAsia="Calibri" w:cs="Arial"/>
          <w:kern w:val="2"/>
          <w:szCs w:val="24"/>
          <w14:ligatures w14:val="standardContextual"/>
        </w:rPr>
        <w:t xml:space="preserve">.  ED notes that it will not respond directly to all comments received but will consider stakeholder feedback in finalizing the guidance and issue any amendments as appropriate. </w:t>
      </w:r>
    </w:p>
    <w:p w14:paraId="226E4D59" w14:textId="77777777" w:rsidR="00036F11" w:rsidRPr="00036F11" w:rsidRDefault="00000000" w:rsidP="00036F11">
      <w:pPr>
        <w:widowControl/>
        <w:suppressAutoHyphens w:val="0"/>
        <w:spacing w:before="0" w:after="160" w:line="259" w:lineRule="auto"/>
        <w:rPr>
          <w:rFonts w:eastAsia="Calibri" w:cs="Arial"/>
          <w:kern w:val="2"/>
          <w:szCs w:val="24"/>
          <w14:ligatures w14:val="standardContextual"/>
        </w:rPr>
      </w:pPr>
      <w:hyperlink r:id="rId14" w:history="1">
        <w:r w:rsidR="00036F11" w:rsidRPr="00036F11">
          <w:rPr>
            <w:rFonts w:eastAsia="Calibri" w:cs="Arial"/>
            <w:color w:val="0563C1"/>
            <w:kern w:val="2"/>
            <w:szCs w:val="24"/>
            <w:u w:val="single"/>
            <w14:ligatures w14:val="standardContextual"/>
          </w:rPr>
          <w:t>The draft 21</w:t>
        </w:r>
        <w:r w:rsidR="00036F11" w:rsidRPr="00036F11">
          <w:rPr>
            <w:rFonts w:eastAsia="Calibri" w:cs="Arial"/>
            <w:color w:val="0563C1"/>
            <w:kern w:val="2"/>
            <w:szCs w:val="24"/>
            <w:u w:val="single"/>
            <w:vertAlign w:val="superscript"/>
            <w14:ligatures w14:val="standardContextual"/>
          </w:rPr>
          <w:t>st</w:t>
        </w:r>
        <w:r w:rsidR="00036F11" w:rsidRPr="00036F11">
          <w:rPr>
            <w:rFonts w:eastAsia="Calibri" w:cs="Arial"/>
            <w:color w:val="0563C1"/>
            <w:kern w:val="2"/>
            <w:szCs w:val="24"/>
            <w:u w:val="single"/>
            <w14:ligatures w14:val="standardContextual"/>
          </w:rPr>
          <w:t xml:space="preserve"> CCLC guidance is available here</w:t>
        </w:r>
      </w:hyperlink>
      <w:r w:rsidR="00036F11" w:rsidRPr="00036F11">
        <w:rPr>
          <w:rFonts w:eastAsia="Calibri" w:cs="Arial"/>
          <w:kern w:val="2"/>
          <w:szCs w:val="24"/>
          <w14:ligatures w14:val="standardContextual"/>
        </w:rPr>
        <w:t xml:space="preserve">. </w:t>
      </w:r>
    </w:p>
    <w:p w14:paraId="7C9A2246" w14:textId="77777777" w:rsidR="00036F11" w:rsidRDefault="00036F11" w:rsidP="00036F11">
      <w:pPr>
        <w:widowControl/>
        <w:suppressAutoHyphens w:val="0"/>
        <w:spacing w:before="0" w:after="160" w:line="259" w:lineRule="auto"/>
        <w:rPr>
          <w:rFonts w:eastAsia="Calibri" w:cs="Arial"/>
          <w:kern w:val="2"/>
          <w:szCs w:val="24"/>
          <w14:ligatures w14:val="standardContextual"/>
        </w:rPr>
      </w:pPr>
      <w:r w:rsidRPr="00036F11">
        <w:rPr>
          <w:rFonts w:eastAsia="Calibri" w:cs="Arial"/>
          <w:kern w:val="2"/>
          <w:szCs w:val="24"/>
          <w14:ligatures w14:val="standardContextual"/>
        </w:rPr>
        <w:t>Author: KSC</w:t>
      </w:r>
    </w:p>
    <w:p w14:paraId="165F9C0B" w14:textId="6CF21E58" w:rsidR="00036F11" w:rsidRPr="00036F11" w:rsidRDefault="00036F11" w:rsidP="00ED6663">
      <w:pPr>
        <w:pStyle w:val="Heading2"/>
        <w:rPr>
          <w:rFonts w:eastAsia="Times New Roman"/>
        </w:rPr>
      </w:pPr>
      <w:bookmarkStart w:id="22" w:name="_Toc137126537"/>
      <w:r w:rsidRPr="00036F11">
        <w:t>Reports</w:t>
      </w:r>
      <w:bookmarkEnd w:id="22"/>
      <w:r w:rsidRPr="00036F11">
        <w:t xml:space="preserve"> </w:t>
      </w:r>
    </w:p>
    <w:p w14:paraId="037D81BB" w14:textId="5F8DE884" w:rsidR="00036F11" w:rsidRDefault="00ED6663" w:rsidP="00036F11">
      <w:pPr>
        <w:pStyle w:val="Heading3"/>
        <w:rPr>
          <w:rFonts w:eastAsia="Times New Roman"/>
        </w:rPr>
      </w:pPr>
      <w:bookmarkStart w:id="23" w:name="_Toc137126538"/>
      <w:r>
        <w:rPr>
          <w:rFonts w:eastAsia="Times New Roman"/>
        </w:rPr>
        <w:t>ED OIG Publishes Semiannual Report to Congress</w:t>
      </w:r>
      <w:bookmarkEnd w:id="23"/>
    </w:p>
    <w:p w14:paraId="698B4CF1" w14:textId="0376B471" w:rsidR="00ED6663" w:rsidRPr="00ED6663" w:rsidRDefault="00716E79" w:rsidP="00ED6663">
      <w:r>
        <w:t>The</w:t>
      </w:r>
      <w:r w:rsidR="00ED6663" w:rsidRPr="00ED6663">
        <w:t xml:space="preserve"> U.S. Department of Education Office of Inspector General (ED OIG) released its Semiannual Report to Congress</w:t>
      </w:r>
      <w:r>
        <w:t xml:space="preserve"> this month</w:t>
      </w:r>
      <w:r w:rsidR="00ED6663" w:rsidRPr="00ED6663">
        <w:t xml:space="preserve">.  The report highlights ED OIG’s audits and investigations from October 1, </w:t>
      </w:r>
      <w:proofErr w:type="gramStart"/>
      <w:r w:rsidR="00ED6663" w:rsidRPr="00ED6663">
        <w:t>2022</w:t>
      </w:r>
      <w:proofErr w:type="gramEnd"/>
      <w:r w:rsidR="00ED6663" w:rsidRPr="00ED6663">
        <w:t xml:space="preserve"> through March 31, 2023 and covers actions related to pandemic relief, federal student aid programs, and </w:t>
      </w:r>
      <w:r>
        <w:t>ED</w:t>
      </w:r>
      <w:r w:rsidR="00ED6663" w:rsidRPr="00ED6663">
        <w:t xml:space="preserve"> management and operations.  </w:t>
      </w:r>
    </w:p>
    <w:p w14:paraId="2013963D" w14:textId="77777777" w:rsidR="00ED6663" w:rsidRPr="00ED6663" w:rsidRDefault="00ED6663" w:rsidP="00ED6663">
      <w:r w:rsidRPr="00ED6663">
        <w:t xml:space="preserve">ED OIG reports that their audits detected over $2.7 million in questioned and unsupported costs.  The report notes a recent audit of the University of Cincinnati’s use of Higher Education Emergency Relief Funds (HEERF) grant funds, in which ED OIG found that the University did not fully comply with cash management and reporting requirements and needed to enhance its allowability review and documentation processes.  Additionally, the report discussed an inspection of ED’s Experimental Sites Initiative.  The inspection found that ED was not submitting biannual reports to Congress, as required by the Higher Education Act.  </w:t>
      </w:r>
    </w:p>
    <w:p w14:paraId="2A777016" w14:textId="77777777" w:rsidR="00ED6663" w:rsidRPr="00ED6663" w:rsidRDefault="00ED6663" w:rsidP="00ED6663">
      <w:r w:rsidRPr="00ED6663">
        <w:t xml:space="preserve">The report notes that ED OIG performed 17 quality control and desk reviews of audits submitted by funding recipients.  ED OIG also issued a new audit guide for for-profit schools and third-party servicers that administer Title IV programs.  </w:t>
      </w:r>
    </w:p>
    <w:p w14:paraId="4313D23C" w14:textId="77777777" w:rsidR="00ED6663" w:rsidRPr="00ED6663" w:rsidRDefault="00ED6663" w:rsidP="00ED6663">
      <w:r w:rsidRPr="00ED6663">
        <w:t xml:space="preserve">Further, ED OIG closed 32 investigations of fraud and corruption, which led to the securing of over $41.92 million in settlements, fines, and recoveries.  The report highlights some of those investigations.  In one closed investigation, ED OIG worked to prosecute a U.S. Army soldier who charged money in exchange for submitting false Veterans Affairs certifications for disability to ED, which discharged student loans.  The soldier was sentenced to three and a half years in prison and was ordered to pay more than $3.6 million in restitution. </w:t>
      </w:r>
    </w:p>
    <w:p w14:paraId="6A752442" w14:textId="77777777" w:rsidR="00ED6663" w:rsidRPr="00ED6663" w:rsidRDefault="00ED6663" w:rsidP="00ED6663">
      <w:r w:rsidRPr="00ED6663">
        <w:t xml:space="preserve">Another case involved a man who coordinated a $3 million student aid fraud ring by using the identities of over 180 people to apply for admission and receive student aid from Baton Rouge Community College.  He was sentenced to 11 years in prison.  In another investigation, former administrators at the Apex School of Theology were sentenced to prison for engaging in a $12 million student aid fraud scam, where the administrators told recruits to enroll in the school so that they could split student aid award balances with them.  ED OIG closed an investigation, which resulted in prison time for a former financial aid officer at Manatee Technical College.  The financial aid officer stole $300,000 from the school by convincing students to return unused Pell Grant funds to the school by money order, which she would deposit into her bank account. </w:t>
      </w:r>
    </w:p>
    <w:p w14:paraId="2AFCD75D" w14:textId="2FAEB509" w:rsidR="00ED6663" w:rsidRPr="00ED6663" w:rsidRDefault="00ED6663" w:rsidP="00ED6663">
      <w:r w:rsidRPr="00ED6663">
        <w:t>In the report, ED OIG restates their commitment to combating fraud, waste and abuse</w:t>
      </w:r>
      <w:r w:rsidR="00F74DC1">
        <w:t>,</w:t>
      </w:r>
      <w:r w:rsidRPr="00ED6663">
        <w:t xml:space="preserve"> and ensuring that federal funds are used efficiently and effectively. </w:t>
      </w:r>
    </w:p>
    <w:p w14:paraId="40DEC707" w14:textId="77777777" w:rsidR="00ED6663" w:rsidRPr="00ED6663" w:rsidRDefault="00000000" w:rsidP="00ED6663">
      <w:hyperlink r:id="rId15" w:history="1">
        <w:r w:rsidR="00ED6663" w:rsidRPr="00ED6663">
          <w:rPr>
            <w:rStyle w:val="Hyperlink"/>
          </w:rPr>
          <w:t>The semiannual report can be viewed here.</w:t>
        </w:r>
      </w:hyperlink>
      <w:r w:rsidR="00ED6663" w:rsidRPr="00ED6663">
        <w:t xml:space="preserve"> </w:t>
      </w:r>
    </w:p>
    <w:p w14:paraId="344DB800" w14:textId="59A299D7" w:rsidR="00ED6663" w:rsidRPr="00ED6663" w:rsidRDefault="00ED6663" w:rsidP="00ED6663">
      <w:r w:rsidRPr="00ED6663">
        <w:t xml:space="preserve">Author: BNT </w:t>
      </w:r>
    </w:p>
    <w:p w14:paraId="203DB500" w14:textId="1F8319B2" w:rsidR="0023348E" w:rsidRPr="0044546C" w:rsidRDefault="0023348E" w:rsidP="0023348E">
      <w:pPr>
        <w:spacing w:before="240" w:after="0"/>
      </w:pPr>
      <w:r w:rsidRPr="000D1533">
        <w:rPr>
          <w:rFonts w:eastAsia="Times New Roman" w:cs="Arial"/>
          <w:i/>
          <w:iCs/>
          <w:szCs w:val="24"/>
        </w:rPr>
        <w:t>To</w:t>
      </w:r>
      <w:r>
        <w:rPr>
          <w:rFonts w:eastAsia="Times New Roman" w:cs="Arial"/>
          <w:i/>
          <w:iCs/>
          <w:szCs w:val="24"/>
        </w:rPr>
        <w:t xml:space="preserve"> </w:t>
      </w:r>
      <w:r w:rsidRPr="000D1533">
        <w:rPr>
          <w:rFonts w:eastAsia="Times New Roman" w:cs="Arial"/>
          <w:i/>
          <w:iCs/>
          <w:szCs w:val="24"/>
        </w:rPr>
        <w:t xml:space="preserve">stay </w:t>
      </w:r>
      <w:proofErr w:type="gramStart"/>
      <w:r w:rsidRPr="000D1533">
        <w:rPr>
          <w:rFonts w:eastAsia="Times New Roman" w:cs="Arial"/>
          <w:i/>
          <w:iCs/>
          <w:szCs w:val="24"/>
        </w:rPr>
        <w:t>up-to-date</w:t>
      </w:r>
      <w:proofErr w:type="gramEnd"/>
      <w:r w:rsidRPr="000D1533">
        <w:rPr>
          <w:rFonts w:eastAsia="Times New Roman" w:cs="Arial"/>
          <w:i/>
          <w:iCs/>
          <w:szCs w:val="24"/>
        </w:rPr>
        <w:t xml:space="preserve"> on new regulations and guidance from the U.S. Department of Education, register for one of </w:t>
      </w:r>
      <w:r w:rsidR="00DD4EAC">
        <w:rPr>
          <w:rFonts w:eastAsia="Times New Roman" w:cs="Arial"/>
          <w:i/>
          <w:iCs/>
          <w:szCs w:val="24"/>
        </w:rPr>
        <w:t>The Bruman Group, PLLC’s</w:t>
      </w:r>
      <w:r w:rsidRPr="000D1533">
        <w:rPr>
          <w:rFonts w:eastAsia="Times New Roman" w:cs="Arial"/>
          <w:i/>
          <w:iCs/>
          <w:szCs w:val="24"/>
        </w:rPr>
        <w:t xml:space="preserve"> </w:t>
      </w:r>
      <w:r>
        <w:rPr>
          <w:rFonts w:eastAsia="Times New Roman" w:cs="Arial"/>
          <w:i/>
          <w:iCs/>
          <w:szCs w:val="24"/>
        </w:rPr>
        <w:t>virtual trainings</w:t>
      </w:r>
      <w:r w:rsidRPr="000D1533">
        <w:rPr>
          <w:rFonts w:eastAsia="Times New Roman" w:cs="Arial"/>
          <w:i/>
          <w:iCs/>
          <w:szCs w:val="24"/>
        </w:rPr>
        <w:t xml:space="preserve">.  Topics cover a range of issues, grants management, </w:t>
      </w:r>
      <w:r w:rsidR="000B31F8">
        <w:rPr>
          <w:rFonts w:eastAsia="Times New Roman" w:cs="Arial"/>
          <w:i/>
          <w:iCs/>
          <w:szCs w:val="24"/>
        </w:rPr>
        <w:t xml:space="preserve">COVID-19 relief programs, </w:t>
      </w:r>
      <w:r w:rsidRPr="000D1533">
        <w:rPr>
          <w:rFonts w:eastAsia="Times New Roman" w:cs="Arial"/>
          <w:i/>
          <w:iCs/>
          <w:szCs w:val="24"/>
        </w:rPr>
        <w:t xml:space="preserve">the </w:t>
      </w:r>
      <w:r w:rsidR="00DD4EAC">
        <w:rPr>
          <w:rFonts w:eastAsia="Times New Roman" w:cs="Arial"/>
          <w:i/>
          <w:iCs/>
          <w:szCs w:val="24"/>
        </w:rPr>
        <w:t>Elementary and Secondary Education Act,</w:t>
      </w:r>
      <w:r w:rsidRPr="000D1533">
        <w:rPr>
          <w:rFonts w:eastAsia="Times New Roman" w:cs="Arial"/>
          <w:i/>
          <w:iCs/>
          <w:szCs w:val="24"/>
        </w:rPr>
        <w:t xml:space="preserve"> and more.  To view all upcoming </w:t>
      </w:r>
      <w:r>
        <w:rPr>
          <w:rFonts w:eastAsia="Times New Roman" w:cs="Arial"/>
          <w:i/>
          <w:iCs/>
          <w:szCs w:val="24"/>
        </w:rPr>
        <w:t>virtual training</w:t>
      </w:r>
      <w:r w:rsidRPr="000D1533">
        <w:rPr>
          <w:rFonts w:eastAsia="Times New Roman" w:cs="Arial"/>
          <w:i/>
          <w:iCs/>
          <w:szCs w:val="24"/>
        </w:rPr>
        <w:t xml:space="preserve"> topics and to register, </w:t>
      </w:r>
      <w:r w:rsidRPr="0044546C">
        <w:rPr>
          <w:rFonts w:eastAsia="Times New Roman" w:cs="Arial"/>
          <w:i/>
          <w:iCs/>
          <w:szCs w:val="24"/>
        </w:rPr>
        <w:t xml:space="preserve">visit </w:t>
      </w:r>
      <w:hyperlink r:id="rId16" w:history="1">
        <w:r w:rsidR="0044546C" w:rsidRPr="00083DB4">
          <w:rPr>
            <w:rStyle w:val="Hyperlink"/>
          </w:rPr>
          <w:t>www.bruman.com/training-and-recordings/</w:t>
        </w:r>
      </w:hyperlink>
      <w:r w:rsidR="0044546C">
        <w:rPr>
          <w:i/>
          <w:iCs/>
        </w:rPr>
        <w:t xml:space="preserve">. </w:t>
      </w:r>
    </w:p>
    <w:p w14:paraId="5620654A" w14:textId="08542D9A" w:rsidR="00201433" w:rsidRPr="0063135C" w:rsidRDefault="00201433" w:rsidP="00201433">
      <w:pPr>
        <w:spacing w:before="240" w:after="240"/>
        <w:rPr>
          <w:b/>
          <w:i/>
        </w:rPr>
      </w:pPr>
      <w:r w:rsidRPr="0063135C">
        <w:rPr>
          <w:b/>
          <w:i/>
        </w:rPr>
        <w:t xml:space="preserve">The Federal Update has been prepared to inform </w:t>
      </w:r>
      <w:r w:rsidR="00C138EF">
        <w:rPr>
          <w:b/>
          <w:i/>
        </w:rPr>
        <w:t>The Bruman Group</w:t>
      </w:r>
      <w:r w:rsidRPr="0063135C">
        <w:rPr>
          <w:b/>
          <w:i/>
        </w:rPr>
        <w: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relationship between </w:t>
      </w:r>
      <w:r w:rsidR="00C138EF">
        <w:rPr>
          <w:b/>
          <w:i/>
        </w:rPr>
        <w:t>The Bruman Group,</w:t>
      </w:r>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185F0B82"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B70C25">
        <w:rPr>
          <w:rFonts w:eastAsia="Times New Roman" w:cs="Arial"/>
          <w:szCs w:val="24"/>
        </w:rPr>
        <w:t xml:space="preserve">Julia Martin, </w:t>
      </w:r>
      <w:r w:rsidR="00E87AA8">
        <w:rPr>
          <w:rFonts w:eastAsia="Times New Roman" w:cs="Arial"/>
          <w:szCs w:val="24"/>
        </w:rPr>
        <w:t>Kelly Christiansen</w:t>
      </w:r>
      <w:r w:rsidR="0044546C">
        <w:rPr>
          <w:rFonts w:eastAsia="Times New Roman" w:cs="Arial"/>
          <w:szCs w:val="24"/>
        </w:rPr>
        <w:t>, Brandi Tennant</w:t>
      </w:r>
    </w:p>
    <w:p w14:paraId="5A69E8E8" w14:textId="1B775348" w:rsidR="00B05921" w:rsidRPr="003D7BE9" w:rsidRDefault="00B05921" w:rsidP="003D7BE9">
      <w:pPr>
        <w:spacing w:before="240" w:after="240"/>
        <w:rPr>
          <w:rFonts w:eastAsia="Times New Roman" w:cs="Arial"/>
          <w:szCs w:val="24"/>
        </w:rPr>
      </w:pPr>
      <w:r>
        <w:t>Posted by the California Department of Education, June 2023</w:t>
      </w:r>
      <w:r>
        <w:br/>
      </w:r>
      <w:hyperlink r:id="rId17" w:history="1">
        <w:r w:rsidRPr="00770128">
          <w:rPr>
            <w:rStyle w:val="Hyperlink"/>
            <w:szCs w:val="24"/>
          </w:rPr>
          <w:t>www.bruman.com</w:t>
        </w:r>
      </w:hyperlink>
    </w:p>
    <w:sectPr w:rsidR="00B05921" w:rsidRPr="003D7BE9" w:rsidSect="00BA5BFE">
      <w:headerReference w:type="default" r:id="rId18"/>
      <w:footerReference w:type="default" r:id="rId19"/>
      <w:footerReference w:type="first" r:id="rId20"/>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01C42" w14:textId="77777777" w:rsidR="0013371C" w:rsidRDefault="0013371C">
      <w:pPr>
        <w:spacing w:before="0" w:after="0"/>
      </w:pPr>
      <w:r>
        <w:separator/>
      </w:r>
    </w:p>
  </w:endnote>
  <w:endnote w:type="continuationSeparator" w:id="0">
    <w:p w14:paraId="26D46F49" w14:textId="77777777" w:rsidR="0013371C" w:rsidRDefault="0013371C">
      <w:pPr>
        <w:spacing w:before="0" w:after="0"/>
      </w:pPr>
      <w:r>
        <w:continuationSeparator/>
      </w:r>
    </w:p>
  </w:endnote>
  <w:endnote w:type="continuationNotice" w:id="1">
    <w:p w14:paraId="1C0F1FE7" w14:textId="77777777" w:rsidR="0013371C" w:rsidRDefault="0013371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000000">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8DD3D" w14:textId="77777777" w:rsidR="0013371C" w:rsidRDefault="0013371C">
      <w:pPr>
        <w:spacing w:before="0" w:after="0"/>
      </w:pPr>
      <w:r>
        <w:separator/>
      </w:r>
    </w:p>
  </w:footnote>
  <w:footnote w:type="continuationSeparator" w:id="0">
    <w:p w14:paraId="7869045B" w14:textId="77777777" w:rsidR="0013371C" w:rsidRDefault="0013371C">
      <w:pPr>
        <w:spacing w:before="0" w:after="0"/>
      </w:pPr>
      <w:r>
        <w:continuationSeparator/>
      </w:r>
    </w:p>
  </w:footnote>
  <w:footnote w:type="continuationNotice" w:id="1">
    <w:p w14:paraId="752D84CB" w14:textId="77777777" w:rsidR="0013371C" w:rsidRDefault="0013371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2E04682D" w:rsidR="003C7552" w:rsidRPr="00662BDC" w:rsidRDefault="0044546C" w:rsidP="000A590A">
    <w:pPr>
      <w:pStyle w:val="NoSpacing"/>
      <w:tabs>
        <w:tab w:val="left" w:pos="7920"/>
      </w:tabs>
    </w:pPr>
    <w:r>
      <w:t xml:space="preserve">June </w:t>
    </w:r>
    <w:r w:rsidR="00036F11">
      <w:t>9</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0500138">
    <w:abstractNumId w:val="1"/>
  </w:num>
  <w:num w:numId="2" w16cid:durableId="1454247323">
    <w:abstractNumId w:val="10"/>
  </w:num>
  <w:num w:numId="3" w16cid:durableId="1725133262">
    <w:abstractNumId w:val="11"/>
  </w:num>
  <w:num w:numId="4" w16cid:durableId="1221593150">
    <w:abstractNumId w:val="12"/>
  </w:num>
  <w:num w:numId="5" w16cid:durableId="1154907898">
    <w:abstractNumId w:val="13"/>
  </w:num>
  <w:num w:numId="6" w16cid:durableId="597064778">
    <w:abstractNumId w:val="2"/>
  </w:num>
  <w:num w:numId="7" w16cid:durableId="1271818808">
    <w:abstractNumId w:val="8"/>
  </w:num>
  <w:num w:numId="8" w16cid:durableId="52436246">
    <w:abstractNumId w:val="7"/>
  </w:num>
  <w:num w:numId="9" w16cid:durableId="1903639004">
    <w:abstractNumId w:val="5"/>
  </w:num>
  <w:num w:numId="10" w16cid:durableId="1209804298">
    <w:abstractNumId w:val="4"/>
  </w:num>
  <w:num w:numId="11" w16cid:durableId="433745272">
    <w:abstractNumId w:val="0"/>
  </w:num>
  <w:num w:numId="12" w16cid:durableId="881021931">
    <w:abstractNumId w:val="9"/>
  </w:num>
  <w:num w:numId="13" w16cid:durableId="1463769237">
    <w:abstractNumId w:val="6"/>
  </w:num>
  <w:num w:numId="14" w16cid:durableId="1539512868">
    <w:abstractNumId w:val="3"/>
  </w:num>
  <w:num w:numId="15" w16cid:durableId="1283999609">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savePreviewPicture/>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07DB1"/>
    <w:rsid w:val="0001000F"/>
    <w:rsid w:val="00012854"/>
    <w:rsid w:val="0001395B"/>
    <w:rsid w:val="00014C12"/>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5D68"/>
    <w:rsid w:val="00026CC7"/>
    <w:rsid w:val="00030888"/>
    <w:rsid w:val="00031955"/>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404C0"/>
    <w:rsid w:val="0004092B"/>
    <w:rsid w:val="00040C8E"/>
    <w:rsid w:val="000410C9"/>
    <w:rsid w:val="000416FA"/>
    <w:rsid w:val="00041B30"/>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9A9"/>
    <w:rsid w:val="00052274"/>
    <w:rsid w:val="00052796"/>
    <w:rsid w:val="0005283F"/>
    <w:rsid w:val="00052FED"/>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0CD"/>
    <w:rsid w:val="0006249A"/>
    <w:rsid w:val="0006395F"/>
    <w:rsid w:val="00064293"/>
    <w:rsid w:val="000646D5"/>
    <w:rsid w:val="00064BE3"/>
    <w:rsid w:val="0006523C"/>
    <w:rsid w:val="00065428"/>
    <w:rsid w:val="00065B0A"/>
    <w:rsid w:val="000665F7"/>
    <w:rsid w:val="000672A1"/>
    <w:rsid w:val="00067617"/>
    <w:rsid w:val="00070453"/>
    <w:rsid w:val="00070D9A"/>
    <w:rsid w:val="00071071"/>
    <w:rsid w:val="000713E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C9"/>
    <w:rsid w:val="00083DB4"/>
    <w:rsid w:val="0008416E"/>
    <w:rsid w:val="00084A5E"/>
    <w:rsid w:val="000853E4"/>
    <w:rsid w:val="00085F42"/>
    <w:rsid w:val="000860D9"/>
    <w:rsid w:val="000865B6"/>
    <w:rsid w:val="00086917"/>
    <w:rsid w:val="00086C31"/>
    <w:rsid w:val="00086EF8"/>
    <w:rsid w:val="0009086F"/>
    <w:rsid w:val="00090CCE"/>
    <w:rsid w:val="00090D1F"/>
    <w:rsid w:val="00090F78"/>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3157"/>
    <w:rsid w:val="000B31F8"/>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9B8"/>
    <w:rsid w:val="000D3BDA"/>
    <w:rsid w:val="000D422B"/>
    <w:rsid w:val="000D4B79"/>
    <w:rsid w:val="000D5CAC"/>
    <w:rsid w:val="000D6373"/>
    <w:rsid w:val="000D7447"/>
    <w:rsid w:val="000D7843"/>
    <w:rsid w:val="000D7FEF"/>
    <w:rsid w:val="000E1449"/>
    <w:rsid w:val="000E1A8A"/>
    <w:rsid w:val="000E245F"/>
    <w:rsid w:val="000E2840"/>
    <w:rsid w:val="000E2D37"/>
    <w:rsid w:val="000E41B6"/>
    <w:rsid w:val="000E43E4"/>
    <w:rsid w:val="000E440E"/>
    <w:rsid w:val="000E4B58"/>
    <w:rsid w:val="000E4CF7"/>
    <w:rsid w:val="000E4E17"/>
    <w:rsid w:val="000E5992"/>
    <w:rsid w:val="000E626C"/>
    <w:rsid w:val="000F0FF6"/>
    <w:rsid w:val="000F1CA0"/>
    <w:rsid w:val="000F1FA4"/>
    <w:rsid w:val="000F2605"/>
    <w:rsid w:val="000F2F8F"/>
    <w:rsid w:val="000F34DF"/>
    <w:rsid w:val="000F3E0E"/>
    <w:rsid w:val="000F3EDC"/>
    <w:rsid w:val="000F4531"/>
    <w:rsid w:val="000F4968"/>
    <w:rsid w:val="000F4DD2"/>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6DE"/>
    <w:rsid w:val="00126B91"/>
    <w:rsid w:val="001270EE"/>
    <w:rsid w:val="00127450"/>
    <w:rsid w:val="00127604"/>
    <w:rsid w:val="00127F6A"/>
    <w:rsid w:val="00132668"/>
    <w:rsid w:val="00133136"/>
    <w:rsid w:val="0013371C"/>
    <w:rsid w:val="00134012"/>
    <w:rsid w:val="001344A8"/>
    <w:rsid w:val="001346D4"/>
    <w:rsid w:val="0013495C"/>
    <w:rsid w:val="0013520A"/>
    <w:rsid w:val="001352C5"/>
    <w:rsid w:val="001360C6"/>
    <w:rsid w:val="00136CC2"/>
    <w:rsid w:val="001370DE"/>
    <w:rsid w:val="0013714B"/>
    <w:rsid w:val="001377E4"/>
    <w:rsid w:val="00137ED4"/>
    <w:rsid w:val="0014025D"/>
    <w:rsid w:val="0014197D"/>
    <w:rsid w:val="00141FE5"/>
    <w:rsid w:val="00142555"/>
    <w:rsid w:val="001427F9"/>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47"/>
    <w:rsid w:val="00164E6E"/>
    <w:rsid w:val="00165384"/>
    <w:rsid w:val="00165479"/>
    <w:rsid w:val="001658A3"/>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2B6"/>
    <w:rsid w:val="0017660C"/>
    <w:rsid w:val="0017750A"/>
    <w:rsid w:val="00177B72"/>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D0718"/>
    <w:rsid w:val="001D09B1"/>
    <w:rsid w:val="001D0AAC"/>
    <w:rsid w:val="001D0DBD"/>
    <w:rsid w:val="001D1D17"/>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66D0"/>
    <w:rsid w:val="001E6AF7"/>
    <w:rsid w:val="001E7AF8"/>
    <w:rsid w:val="001E7F0B"/>
    <w:rsid w:val="001F12C3"/>
    <w:rsid w:val="001F278C"/>
    <w:rsid w:val="001F2AED"/>
    <w:rsid w:val="001F2DEC"/>
    <w:rsid w:val="001F390B"/>
    <w:rsid w:val="001F3DA1"/>
    <w:rsid w:val="001F3E0E"/>
    <w:rsid w:val="001F42EB"/>
    <w:rsid w:val="001F48E4"/>
    <w:rsid w:val="001F5C18"/>
    <w:rsid w:val="001F6102"/>
    <w:rsid w:val="001F746A"/>
    <w:rsid w:val="001F7778"/>
    <w:rsid w:val="001F7CE1"/>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B62"/>
    <w:rsid w:val="0023061E"/>
    <w:rsid w:val="00230E5E"/>
    <w:rsid w:val="00231DE5"/>
    <w:rsid w:val="00232375"/>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C34"/>
    <w:rsid w:val="00267F36"/>
    <w:rsid w:val="002719DA"/>
    <w:rsid w:val="00271A72"/>
    <w:rsid w:val="00271D7B"/>
    <w:rsid w:val="002724B9"/>
    <w:rsid w:val="00272C79"/>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064"/>
    <w:rsid w:val="0028584F"/>
    <w:rsid w:val="00285D69"/>
    <w:rsid w:val="002862BE"/>
    <w:rsid w:val="0028656E"/>
    <w:rsid w:val="00287C64"/>
    <w:rsid w:val="00290631"/>
    <w:rsid w:val="0029073F"/>
    <w:rsid w:val="00290969"/>
    <w:rsid w:val="002911F6"/>
    <w:rsid w:val="00291408"/>
    <w:rsid w:val="002928A6"/>
    <w:rsid w:val="00293204"/>
    <w:rsid w:val="00293756"/>
    <w:rsid w:val="002943DB"/>
    <w:rsid w:val="002946A2"/>
    <w:rsid w:val="0029674B"/>
    <w:rsid w:val="00296A2C"/>
    <w:rsid w:val="00297C3E"/>
    <w:rsid w:val="00297C7B"/>
    <w:rsid w:val="00297D74"/>
    <w:rsid w:val="002A0178"/>
    <w:rsid w:val="002A05F7"/>
    <w:rsid w:val="002A09D0"/>
    <w:rsid w:val="002A2263"/>
    <w:rsid w:val="002A249C"/>
    <w:rsid w:val="002A52C6"/>
    <w:rsid w:val="002A597D"/>
    <w:rsid w:val="002A6033"/>
    <w:rsid w:val="002A701C"/>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53A4"/>
    <w:rsid w:val="002C5453"/>
    <w:rsid w:val="002C6198"/>
    <w:rsid w:val="002C6290"/>
    <w:rsid w:val="002C633B"/>
    <w:rsid w:val="002C6512"/>
    <w:rsid w:val="002C6FEE"/>
    <w:rsid w:val="002D03E0"/>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95B"/>
    <w:rsid w:val="002F1ADC"/>
    <w:rsid w:val="002F1E9D"/>
    <w:rsid w:val="002F30A4"/>
    <w:rsid w:val="002F3A49"/>
    <w:rsid w:val="002F423A"/>
    <w:rsid w:val="002F4815"/>
    <w:rsid w:val="002F4834"/>
    <w:rsid w:val="002F488B"/>
    <w:rsid w:val="002F5933"/>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376D"/>
    <w:rsid w:val="00314E5B"/>
    <w:rsid w:val="00315408"/>
    <w:rsid w:val="00315517"/>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210E"/>
    <w:rsid w:val="00333407"/>
    <w:rsid w:val="003334AC"/>
    <w:rsid w:val="00333BDA"/>
    <w:rsid w:val="00336532"/>
    <w:rsid w:val="003365D6"/>
    <w:rsid w:val="00336976"/>
    <w:rsid w:val="0033719E"/>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7017A"/>
    <w:rsid w:val="00370B65"/>
    <w:rsid w:val="00371EBC"/>
    <w:rsid w:val="00371EEC"/>
    <w:rsid w:val="00373C8D"/>
    <w:rsid w:val="00375630"/>
    <w:rsid w:val="00375874"/>
    <w:rsid w:val="00375876"/>
    <w:rsid w:val="003769CB"/>
    <w:rsid w:val="003802D7"/>
    <w:rsid w:val="003804F7"/>
    <w:rsid w:val="00381DFE"/>
    <w:rsid w:val="00382236"/>
    <w:rsid w:val="0038286F"/>
    <w:rsid w:val="003844B3"/>
    <w:rsid w:val="00384B3B"/>
    <w:rsid w:val="003859D6"/>
    <w:rsid w:val="00385DC2"/>
    <w:rsid w:val="0038606C"/>
    <w:rsid w:val="0038607C"/>
    <w:rsid w:val="00386112"/>
    <w:rsid w:val="0038643F"/>
    <w:rsid w:val="00386B98"/>
    <w:rsid w:val="003916F7"/>
    <w:rsid w:val="003918BB"/>
    <w:rsid w:val="00391B69"/>
    <w:rsid w:val="00391C56"/>
    <w:rsid w:val="00391DC9"/>
    <w:rsid w:val="003929AC"/>
    <w:rsid w:val="0039442C"/>
    <w:rsid w:val="00396888"/>
    <w:rsid w:val="0039795F"/>
    <w:rsid w:val="00397E13"/>
    <w:rsid w:val="003A0053"/>
    <w:rsid w:val="003A1F22"/>
    <w:rsid w:val="003A22E1"/>
    <w:rsid w:val="003A27A0"/>
    <w:rsid w:val="003A2AE8"/>
    <w:rsid w:val="003A3035"/>
    <w:rsid w:val="003A446E"/>
    <w:rsid w:val="003A4BE6"/>
    <w:rsid w:val="003A52A7"/>
    <w:rsid w:val="003A5579"/>
    <w:rsid w:val="003A5937"/>
    <w:rsid w:val="003A5A8D"/>
    <w:rsid w:val="003A5DB9"/>
    <w:rsid w:val="003A5FED"/>
    <w:rsid w:val="003A65F3"/>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2DA4"/>
    <w:rsid w:val="003D3BF6"/>
    <w:rsid w:val="003D47C8"/>
    <w:rsid w:val="003D4C95"/>
    <w:rsid w:val="003D642E"/>
    <w:rsid w:val="003D65C7"/>
    <w:rsid w:val="003D6E35"/>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FE4"/>
    <w:rsid w:val="004011E3"/>
    <w:rsid w:val="004012FC"/>
    <w:rsid w:val="004017B0"/>
    <w:rsid w:val="00402381"/>
    <w:rsid w:val="004030B5"/>
    <w:rsid w:val="0040359A"/>
    <w:rsid w:val="00403F9B"/>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752C"/>
    <w:rsid w:val="00441535"/>
    <w:rsid w:val="00441A68"/>
    <w:rsid w:val="00442079"/>
    <w:rsid w:val="004426BA"/>
    <w:rsid w:val="00443545"/>
    <w:rsid w:val="004437B8"/>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2B3C"/>
    <w:rsid w:val="0045376D"/>
    <w:rsid w:val="00453788"/>
    <w:rsid w:val="00453D66"/>
    <w:rsid w:val="00454232"/>
    <w:rsid w:val="00454A7A"/>
    <w:rsid w:val="00454E5B"/>
    <w:rsid w:val="00454FF1"/>
    <w:rsid w:val="004563BD"/>
    <w:rsid w:val="0045679B"/>
    <w:rsid w:val="00456AF3"/>
    <w:rsid w:val="00456BA9"/>
    <w:rsid w:val="00460166"/>
    <w:rsid w:val="0046093F"/>
    <w:rsid w:val="00460B48"/>
    <w:rsid w:val="00460CD9"/>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517"/>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7022"/>
    <w:rsid w:val="004B731B"/>
    <w:rsid w:val="004B7B42"/>
    <w:rsid w:val="004C0948"/>
    <w:rsid w:val="004C1494"/>
    <w:rsid w:val="004C167F"/>
    <w:rsid w:val="004C1B9A"/>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30F"/>
    <w:rsid w:val="004E3A51"/>
    <w:rsid w:val="004E3F70"/>
    <w:rsid w:val="004E5B63"/>
    <w:rsid w:val="004E6085"/>
    <w:rsid w:val="004E69A4"/>
    <w:rsid w:val="004E760D"/>
    <w:rsid w:val="004E78E8"/>
    <w:rsid w:val="004F1022"/>
    <w:rsid w:val="004F1212"/>
    <w:rsid w:val="004F134A"/>
    <w:rsid w:val="004F4312"/>
    <w:rsid w:val="004F47DD"/>
    <w:rsid w:val="004F4D47"/>
    <w:rsid w:val="004F5285"/>
    <w:rsid w:val="004F54EE"/>
    <w:rsid w:val="004F64BB"/>
    <w:rsid w:val="004F693D"/>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17FC"/>
    <w:rsid w:val="00511ABC"/>
    <w:rsid w:val="0051214A"/>
    <w:rsid w:val="00513AE4"/>
    <w:rsid w:val="00514315"/>
    <w:rsid w:val="005155B1"/>
    <w:rsid w:val="005162C9"/>
    <w:rsid w:val="005164A6"/>
    <w:rsid w:val="0051689D"/>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F6C"/>
    <w:rsid w:val="00540241"/>
    <w:rsid w:val="00540A6D"/>
    <w:rsid w:val="00540BF2"/>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764"/>
    <w:rsid w:val="00560B2E"/>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F26"/>
    <w:rsid w:val="00576175"/>
    <w:rsid w:val="00577476"/>
    <w:rsid w:val="0058069C"/>
    <w:rsid w:val="00580C78"/>
    <w:rsid w:val="00582A0F"/>
    <w:rsid w:val="00582BD0"/>
    <w:rsid w:val="00582C23"/>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6D88"/>
    <w:rsid w:val="005A7070"/>
    <w:rsid w:val="005A70B5"/>
    <w:rsid w:val="005A7219"/>
    <w:rsid w:val="005A7E08"/>
    <w:rsid w:val="005B03C7"/>
    <w:rsid w:val="005B056F"/>
    <w:rsid w:val="005B1118"/>
    <w:rsid w:val="005B2A9A"/>
    <w:rsid w:val="005B2DE3"/>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0CD6"/>
    <w:rsid w:val="005D127E"/>
    <w:rsid w:val="005D12A4"/>
    <w:rsid w:val="005D1736"/>
    <w:rsid w:val="005D29F7"/>
    <w:rsid w:val="005D2AF2"/>
    <w:rsid w:val="005D36C3"/>
    <w:rsid w:val="005D3FF9"/>
    <w:rsid w:val="005D4843"/>
    <w:rsid w:val="005D564B"/>
    <w:rsid w:val="005D5BE6"/>
    <w:rsid w:val="005D618F"/>
    <w:rsid w:val="005D661F"/>
    <w:rsid w:val="005E0364"/>
    <w:rsid w:val="005E0800"/>
    <w:rsid w:val="005E0CCF"/>
    <w:rsid w:val="005E1F2B"/>
    <w:rsid w:val="005E1FC7"/>
    <w:rsid w:val="005E49B8"/>
    <w:rsid w:val="005E4A28"/>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4AF"/>
    <w:rsid w:val="0060255B"/>
    <w:rsid w:val="006028A0"/>
    <w:rsid w:val="00602C0F"/>
    <w:rsid w:val="00602F30"/>
    <w:rsid w:val="00604C3A"/>
    <w:rsid w:val="0060551A"/>
    <w:rsid w:val="00605B53"/>
    <w:rsid w:val="00605E2D"/>
    <w:rsid w:val="00605FDB"/>
    <w:rsid w:val="00606F22"/>
    <w:rsid w:val="00607255"/>
    <w:rsid w:val="00607D91"/>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100"/>
    <w:rsid w:val="00640713"/>
    <w:rsid w:val="0064121B"/>
    <w:rsid w:val="00641588"/>
    <w:rsid w:val="0064160F"/>
    <w:rsid w:val="006425D5"/>
    <w:rsid w:val="006427CF"/>
    <w:rsid w:val="00643730"/>
    <w:rsid w:val="00643A94"/>
    <w:rsid w:val="00644053"/>
    <w:rsid w:val="006445B8"/>
    <w:rsid w:val="00646E75"/>
    <w:rsid w:val="0064763E"/>
    <w:rsid w:val="00647C12"/>
    <w:rsid w:val="00651242"/>
    <w:rsid w:val="00651279"/>
    <w:rsid w:val="006513EB"/>
    <w:rsid w:val="006515EA"/>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C2A"/>
    <w:rsid w:val="006774FD"/>
    <w:rsid w:val="006775E5"/>
    <w:rsid w:val="00677A59"/>
    <w:rsid w:val="00680208"/>
    <w:rsid w:val="00680AF1"/>
    <w:rsid w:val="00681CD8"/>
    <w:rsid w:val="0068222C"/>
    <w:rsid w:val="00682EDE"/>
    <w:rsid w:val="006831D7"/>
    <w:rsid w:val="006832E9"/>
    <w:rsid w:val="006842E9"/>
    <w:rsid w:val="0068449A"/>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807"/>
    <w:rsid w:val="006C38D8"/>
    <w:rsid w:val="006C3A1A"/>
    <w:rsid w:val="006C3AEB"/>
    <w:rsid w:val="006C41EB"/>
    <w:rsid w:val="006C460A"/>
    <w:rsid w:val="006C4620"/>
    <w:rsid w:val="006C4DE1"/>
    <w:rsid w:val="006C4E5B"/>
    <w:rsid w:val="006C5BC5"/>
    <w:rsid w:val="006C6F8F"/>
    <w:rsid w:val="006C74B2"/>
    <w:rsid w:val="006D0AD7"/>
    <w:rsid w:val="006D113B"/>
    <w:rsid w:val="006D155D"/>
    <w:rsid w:val="006D18E3"/>
    <w:rsid w:val="006D1908"/>
    <w:rsid w:val="006D2442"/>
    <w:rsid w:val="006D3F73"/>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E73D8"/>
    <w:rsid w:val="006F07D8"/>
    <w:rsid w:val="006F07E0"/>
    <w:rsid w:val="006F0F77"/>
    <w:rsid w:val="006F1102"/>
    <w:rsid w:val="006F22E1"/>
    <w:rsid w:val="006F23FD"/>
    <w:rsid w:val="006F25CE"/>
    <w:rsid w:val="006F420B"/>
    <w:rsid w:val="006F47EE"/>
    <w:rsid w:val="006F504A"/>
    <w:rsid w:val="006F574F"/>
    <w:rsid w:val="006F5F74"/>
    <w:rsid w:val="006F6E04"/>
    <w:rsid w:val="006F6F0F"/>
    <w:rsid w:val="006F74FF"/>
    <w:rsid w:val="006F7687"/>
    <w:rsid w:val="006F79C3"/>
    <w:rsid w:val="006F7A12"/>
    <w:rsid w:val="0070034D"/>
    <w:rsid w:val="00700513"/>
    <w:rsid w:val="00700857"/>
    <w:rsid w:val="00701457"/>
    <w:rsid w:val="007015AF"/>
    <w:rsid w:val="00701DE9"/>
    <w:rsid w:val="00701E2D"/>
    <w:rsid w:val="0070216B"/>
    <w:rsid w:val="00702C5E"/>
    <w:rsid w:val="00703049"/>
    <w:rsid w:val="00703EF4"/>
    <w:rsid w:val="00704B49"/>
    <w:rsid w:val="00704E8B"/>
    <w:rsid w:val="00704FF2"/>
    <w:rsid w:val="00705339"/>
    <w:rsid w:val="007053F6"/>
    <w:rsid w:val="007057B6"/>
    <w:rsid w:val="00705F6C"/>
    <w:rsid w:val="00705FA0"/>
    <w:rsid w:val="00706012"/>
    <w:rsid w:val="007060AD"/>
    <w:rsid w:val="0070657D"/>
    <w:rsid w:val="0070684B"/>
    <w:rsid w:val="00707CFC"/>
    <w:rsid w:val="0071096E"/>
    <w:rsid w:val="00710ED0"/>
    <w:rsid w:val="0071258C"/>
    <w:rsid w:val="007130F9"/>
    <w:rsid w:val="007133DE"/>
    <w:rsid w:val="00713D84"/>
    <w:rsid w:val="00713DD2"/>
    <w:rsid w:val="0071470C"/>
    <w:rsid w:val="00714B81"/>
    <w:rsid w:val="007155E3"/>
    <w:rsid w:val="007158CC"/>
    <w:rsid w:val="00715C06"/>
    <w:rsid w:val="00715D1B"/>
    <w:rsid w:val="00716130"/>
    <w:rsid w:val="007169EA"/>
    <w:rsid w:val="00716E79"/>
    <w:rsid w:val="007171A6"/>
    <w:rsid w:val="0071756B"/>
    <w:rsid w:val="00720226"/>
    <w:rsid w:val="007209CF"/>
    <w:rsid w:val="007209E7"/>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2539"/>
    <w:rsid w:val="00743081"/>
    <w:rsid w:val="00743166"/>
    <w:rsid w:val="0074325E"/>
    <w:rsid w:val="007437B1"/>
    <w:rsid w:val="00743B00"/>
    <w:rsid w:val="007449A3"/>
    <w:rsid w:val="007451F4"/>
    <w:rsid w:val="00745758"/>
    <w:rsid w:val="007459CA"/>
    <w:rsid w:val="00745DB5"/>
    <w:rsid w:val="00746612"/>
    <w:rsid w:val="00746A45"/>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89"/>
    <w:rsid w:val="007674F1"/>
    <w:rsid w:val="007674FC"/>
    <w:rsid w:val="00767BD5"/>
    <w:rsid w:val="00767BD9"/>
    <w:rsid w:val="00770B2D"/>
    <w:rsid w:val="00771307"/>
    <w:rsid w:val="007717D1"/>
    <w:rsid w:val="007723D9"/>
    <w:rsid w:val="0077250D"/>
    <w:rsid w:val="0077287A"/>
    <w:rsid w:val="00773E28"/>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DC9"/>
    <w:rsid w:val="00783FE7"/>
    <w:rsid w:val="007843B1"/>
    <w:rsid w:val="00785EA2"/>
    <w:rsid w:val="00786F86"/>
    <w:rsid w:val="00787EEF"/>
    <w:rsid w:val="007926C1"/>
    <w:rsid w:val="00792EFB"/>
    <w:rsid w:val="00793312"/>
    <w:rsid w:val="007949D8"/>
    <w:rsid w:val="007952D8"/>
    <w:rsid w:val="00795935"/>
    <w:rsid w:val="00795A89"/>
    <w:rsid w:val="00795FAF"/>
    <w:rsid w:val="007962C8"/>
    <w:rsid w:val="007968C1"/>
    <w:rsid w:val="00796C2E"/>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0D3"/>
    <w:rsid w:val="007B63A4"/>
    <w:rsid w:val="007B7A19"/>
    <w:rsid w:val="007C11B4"/>
    <w:rsid w:val="007C127F"/>
    <w:rsid w:val="007C20C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D"/>
    <w:rsid w:val="007E308D"/>
    <w:rsid w:val="007E4608"/>
    <w:rsid w:val="007E4B00"/>
    <w:rsid w:val="007E59A3"/>
    <w:rsid w:val="007E63C3"/>
    <w:rsid w:val="007E659D"/>
    <w:rsid w:val="007E6A89"/>
    <w:rsid w:val="007E6DB3"/>
    <w:rsid w:val="007E7936"/>
    <w:rsid w:val="007E7E66"/>
    <w:rsid w:val="007F0003"/>
    <w:rsid w:val="007F0120"/>
    <w:rsid w:val="007F2B24"/>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62DB"/>
    <w:rsid w:val="00807337"/>
    <w:rsid w:val="0080753E"/>
    <w:rsid w:val="00807D6C"/>
    <w:rsid w:val="00807D8E"/>
    <w:rsid w:val="00810336"/>
    <w:rsid w:val="00810C08"/>
    <w:rsid w:val="008120BC"/>
    <w:rsid w:val="0081282E"/>
    <w:rsid w:val="00812CAA"/>
    <w:rsid w:val="0081310A"/>
    <w:rsid w:val="008131BD"/>
    <w:rsid w:val="0081384E"/>
    <w:rsid w:val="00813D74"/>
    <w:rsid w:val="008148C8"/>
    <w:rsid w:val="00815143"/>
    <w:rsid w:val="00816A90"/>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43DC"/>
    <w:rsid w:val="0083445F"/>
    <w:rsid w:val="00834737"/>
    <w:rsid w:val="00834DD6"/>
    <w:rsid w:val="00836183"/>
    <w:rsid w:val="00836DD6"/>
    <w:rsid w:val="00840235"/>
    <w:rsid w:val="008407D7"/>
    <w:rsid w:val="008413D3"/>
    <w:rsid w:val="00841A39"/>
    <w:rsid w:val="00841E4E"/>
    <w:rsid w:val="00842DC4"/>
    <w:rsid w:val="008446A7"/>
    <w:rsid w:val="0084494E"/>
    <w:rsid w:val="00844B0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2D"/>
    <w:rsid w:val="00865D85"/>
    <w:rsid w:val="00866023"/>
    <w:rsid w:val="008665F9"/>
    <w:rsid w:val="008675ED"/>
    <w:rsid w:val="00867A85"/>
    <w:rsid w:val="0087122C"/>
    <w:rsid w:val="00871998"/>
    <w:rsid w:val="008720F6"/>
    <w:rsid w:val="008721B7"/>
    <w:rsid w:val="008730BB"/>
    <w:rsid w:val="0087472F"/>
    <w:rsid w:val="00874E1E"/>
    <w:rsid w:val="00877017"/>
    <w:rsid w:val="00877189"/>
    <w:rsid w:val="00880DFD"/>
    <w:rsid w:val="008824E5"/>
    <w:rsid w:val="00882C55"/>
    <w:rsid w:val="00883016"/>
    <w:rsid w:val="008834DC"/>
    <w:rsid w:val="0088354C"/>
    <w:rsid w:val="00883C2B"/>
    <w:rsid w:val="00883F5F"/>
    <w:rsid w:val="00884216"/>
    <w:rsid w:val="008845D1"/>
    <w:rsid w:val="00884EC9"/>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6"/>
    <w:rsid w:val="008D7830"/>
    <w:rsid w:val="008D78AB"/>
    <w:rsid w:val="008D7C19"/>
    <w:rsid w:val="008E1034"/>
    <w:rsid w:val="008E16DE"/>
    <w:rsid w:val="008E21F2"/>
    <w:rsid w:val="008E3D6C"/>
    <w:rsid w:val="008E462E"/>
    <w:rsid w:val="008E519F"/>
    <w:rsid w:val="008E5623"/>
    <w:rsid w:val="008E5D0F"/>
    <w:rsid w:val="008E5FB3"/>
    <w:rsid w:val="008E7110"/>
    <w:rsid w:val="008E7224"/>
    <w:rsid w:val="008E755E"/>
    <w:rsid w:val="008E7D09"/>
    <w:rsid w:val="008F0AED"/>
    <w:rsid w:val="008F0B95"/>
    <w:rsid w:val="008F2235"/>
    <w:rsid w:val="008F2317"/>
    <w:rsid w:val="008F2EF7"/>
    <w:rsid w:val="008F32CF"/>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369C"/>
    <w:rsid w:val="009037BE"/>
    <w:rsid w:val="00903A97"/>
    <w:rsid w:val="00904447"/>
    <w:rsid w:val="00906A59"/>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5564"/>
    <w:rsid w:val="00946302"/>
    <w:rsid w:val="009469CA"/>
    <w:rsid w:val="00946A2E"/>
    <w:rsid w:val="009471B1"/>
    <w:rsid w:val="00947BC2"/>
    <w:rsid w:val="00950087"/>
    <w:rsid w:val="00950981"/>
    <w:rsid w:val="009516E3"/>
    <w:rsid w:val="00951A93"/>
    <w:rsid w:val="00951AD4"/>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4806"/>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62B"/>
    <w:rsid w:val="00976845"/>
    <w:rsid w:val="009771B6"/>
    <w:rsid w:val="009779D3"/>
    <w:rsid w:val="009800F9"/>
    <w:rsid w:val="009803F6"/>
    <w:rsid w:val="00980884"/>
    <w:rsid w:val="00981689"/>
    <w:rsid w:val="009818E4"/>
    <w:rsid w:val="009819A0"/>
    <w:rsid w:val="00982A07"/>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551D"/>
    <w:rsid w:val="009A5CA5"/>
    <w:rsid w:val="009A67F7"/>
    <w:rsid w:val="009A6A34"/>
    <w:rsid w:val="009A7031"/>
    <w:rsid w:val="009B015F"/>
    <w:rsid w:val="009B0B72"/>
    <w:rsid w:val="009B16D9"/>
    <w:rsid w:val="009B1E90"/>
    <w:rsid w:val="009B23E0"/>
    <w:rsid w:val="009B2937"/>
    <w:rsid w:val="009B3260"/>
    <w:rsid w:val="009B329F"/>
    <w:rsid w:val="009B3684"/>
    <w:rsid w:val="009B3C8E"/>
    <w:rsid w:val="009B3FE2"/>
    <w:rsid w:val="009B407E"/>
    <w:rsid w:val="009B41B2"/>
    <w:rsid w:val="009B424F"/>
    <w:rsid w:val="009B4356"/>
    <w:rsid w:val="009B46E4"/>
    <w:rsid w:val="009B483C"/>
    <w:rsid w:val="009B48F1"/>
    <w:rsid w:val="009B4E11"/>
    <w:rsid w:val="009B4EA5"/>
    <w:rsid w:val="009B4F83"/>
    <w:rsid w:val="009B5568"/>
    <w:rsid w:val="009B5A91"/>
    <w:rsid w:val="009B5DA7"/>
    <w:rsid w:val="009B5EDA"/>
    <w:rsid w:val="009B6D65"/>
    <w:rsid w:val="009B7706"/>
    <w:rsid w:val="009B7C09"/>
    <w:rsid w:val="009C02A0"/>
    <w:rsid w:val="009C0D29"/>
    <w:rsid w:val="009C0E62"/>
    <w:rsid w:val="009C1545"/>
    <w:rsid w:val="009C1688"/>
    <w:rsid w:val="009C21B3"/>
    <w:rsid w:val="009C3C95"/>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50AC"/>
    <w:rsid w:val="009D5BB4"/>
    <w:rsid w:val="009D6215"/>
    <w:rsid w:val="009D64FF"/>
    <w:rsid w:val="009D65B3"/>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76A0"/>
    <w:rsid w:val="009E7960"/>
    <w:rsid w:val="009E7C00"/>
    <w:rsid w:val="009E7FD2"/>
    <w:rsid w:val="009F0BAD"/>
    <w:rsid w:val="009F1C08"/>
    <w:rsid w:val="009F2F7A"/>
    <w:rsid w:val="009F39DE"/>
    <w:rsid w:val="009F3CDE"/>
    <w:rsid w:val="009F41B2"/>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52A5"/>
    <w:rsid w:val="00A15438"/>
    <w:rsid w:val="00A1604A"/>
    <w:rsid w:val="00A16ACA"/>
    <w:rsid w:val="00A17F93"/>
    <w:rsid w:val="00A20B84"/>
    <w:rsid w:val="00A20C93"/>
    <w:rsid w:val="00A214DE"/>
    <w:rsid w:val="00A22DAC"/>
    <w:rsid w:val="00A22FA2"/>
    <w:rsid w:val="00A2419A"/>
    <w:rsid w:val="00A24C85"/>
    <w:rsid w:val="00A24E16"/>
    <w:rsid w:val="00A250BA"/>
    <w:rsid w:val="00A25A32"/>
    <w:rsid w:val="00A26CA2"/>
    <w:rsid w:val="00A2715B"/>
    <w:rsid w:val="00A302F5"/>
    <w:rsid w:val="00A3060C"/>
    <w:rsid w:val="00A30BA9"/>
    <w:rsid w:val="00A30E8F"/>
    <w:rsid w:val="00A31766"/>
    <w:rsid w:val="00A327FC"/>
    <w:rsid w:val="00A32A3B"/>
    <w:rsid w:val="00A33341"/>
    <w:rsid w:val="00A34354"/>
    <w:rsid w:val="00A34928"/>
    <w:rsid w:val="00A35211"/>
    <w:rsid w:val="00A352A8"/>
    <w:rsid w:val="00A37428"/>
    <w:rsid w:val="00A4023F"/>
    <w:rsid w:val="00A40736"/>
    <w:rsid w:val="00A40C92"/>
    <w:rsid w:val="00A41223"/>
    <w:rsid w:val="00A41D42"/>
    <w:rsid w:val="00A42813"/>
    <w:rsid w:val="00A42831"/>
    <w:rsid w:val="00A42E85"/>
    <w:rsid w:val="00A43075"/>
    <w:rsid w:val="00A4434D"/>
    <w:rsid w:val="00A45798"/>
    <w:rsid w:val="00A45F6C"/>
    <w:rsid w:val="00A460F3"/>
    <w:rsid w:val="00A461EF"/>
    <w:rsid w:val="00A46A05"/>
    <w:rsid w:val="00A471C1"/>
    <w:rsid w:val="00A500C3"/>
    <w:rsid w:val="00A500DE"/>
    <w:rsid w:val="00A50F0F"/>
    <w:rsid w:val="00A5401A"/>
    <w:rsid w:val="00A545C8"/>
    <w:rsid w:val="00A547A0"/>
    <w:rsid w:val="00A55DE9"/>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1829"/>
    <w:rsid w:val="00A91849"/>
    <w:rsid w:val="00A91AF5"/>
    <w:rsid w:val="00A91FB4"/>
    <w:rsid w:val="00A92613"/>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5BEA"/>
    <w:rsid w:val="00AC6C87"/>
    <w:rsid w:val="00AC71E1"/>
    <w:rsid w:val="00AC7570"/>
    <w:rsid w:val="00AC7A49"/>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0C7"/>
    <w:rsid w:val="00AE06B6"/>
    <w:rsid w:val="00AE1336"/>
    <w:rsid w:val="00AE153D"/>
    <w:rsid w:val="00AE2FB6"/>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5921"/>
    <w:rsid w:val="00B06F0A"/>
    <w:rsid w:val="00B07AFF"/>
    <w:rsid w:val="00B109EF"/>
    <w:rsid w:val="00B10E55"/>
    <w:rsid w:val="00B11587"/>
    <w:rsid w:val="00B11ADA"/>
    <w:rsid w:val="00B12C75"/>
    <w:rsid w:val="00B1339A"/>
    <w:rsid w:val="00B13555"/>
    <w:rsid w:val="00B13C69"/>
    <w:rsid w:val="00B13F71"/>
    <w:rsid w:val="00B14243"/>
    <w:rsid w:val="00B15498"/>
    <w:rsid w:val="00B15A6B"/>
    <w:rsid w:val="00B15B2B"/>
    <w:rsid w:val="00B15D8C"/>
    <w:rsid w:val="00B16FA0"/>
    <w:rsid w:val="00B17339"/>
    <w:rsid w:val="00B17907"/>
    <w:rsid w:val="00B179B9"/>
    <w:rsid w:val="00B20581"/>
    <w:rsid w:val="00B2058A"/>
    <w:rsid w:val="00B21FDE"/>
    <w:rsid w:val="00B22305"/>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69EA"/>
    <w:rsid w:val="00BA799F"/>
    <w:rsid w:val="00BB0050"/>
    <w:rsid w:val="00BB02AA"/>
    <w:rsid w:val="00BB0E11"/>
    <w:rsid w:val="00BB1C7E"/>
    <w:rsid w:val="00BB2474"/>
    <w:rsid w:val="00BB28F4"/>
    <w:rsid w:val="00BB33C7"/>
    <w:rsid w:val="00BB44AA"/>
    <w:rsid w:val="00BB4B35"/>
    <w:rsid w:val="00BB5785"/>
    <w:rsid w:val="00BB680D"/>
    <w:rsid w:val="00BB6896"/>
    <w:rsid w:val="00BC093F"/>
    <w:rsid w:val="00BC0A2F"/>
    <w:rsid w:val="00BC0AD5"/>
    <w:rsid w:val="00BC15E3"/>
    <w:rsid w:val="00BC1A4A"/>
    <w:rsid w:val="00BC1B8A"/>
    <w:rsid w:val="00BC460A"/>
    <w:rsid w:val="00BC5BCC"/>
    <w:rsid w:val="00BC5E1D"/>
    <w:rsid w:val="00BC64B0"/>
    <w:rsid w:val="00BC6703"/>
    <w:rsid w:val="00BC7B41"/>
    <w:rsid w:val="00BD0279"/>
    <w:rsid w:val="00BD06A4"/>
    <w:rsid w:val="00BD1461"/>
    <w:rsid w:val="00BD1C9C"/>
    <w:rsid w:val="00BD1F05"/>
    <w:rsid w:val="00BD282A"/>
    <w:rsid w:val="00BD49CF"/>
    <w:rsid w:val="00BD53BD"/>
    <w:rsid w:val="00BD56FA"/>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5EB"/>
    <w:rsid w:val="00C14806"/>
    <w:rsid w:val="00C14B17"/>
    <w:rsid w:val="00C153C4"/>
    <w:rsid w:val="00C156B0"/>
    <w:rsid w:val="00C15A0F"/>
    <w:rsid w:val="00C15E97"/>
    <w:rsid w:val="00C16E74"/>
    <w:rsid w:val="00C16E8E"/>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CD7"/>
    <w:rsid w:val="00C43FAD"/>
    <w:rsid w:val="00C443EE"/>
    <w:rsid w:val="00C44CC4"/>
    <w:rsid w:val="00C45B06"/>
    <w:rsid w:val="00C46462"/>
    <w:rsid w:val="00C46883"/>
    <w:rsid w:val="00C473CA"/>
    <w:rsid w:val="00C4767B"/>
    <w:rsid w:val="00C47746"/>
    <w:rsid w:val="00C47B9B"/>
    <w:rsid w:val="00C47BD2"/>
    <w:rsid w:val="00C50A61"/>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15B"/>
    <w:rsid w:val="00C603C2"/>
    <w:rsid w:val="00C615AB"/>
    <w:rsid w:val="00C62067"/>
    <w:rsid w:val="00C6223B"/>
    <w:rsid w:val="00C622C7"/>
    <w:rsid w:val="00C62359"/>
    <w:rsid w:val="00C6286B"/>
    <w:rsid w:val="00C62F3F"/>
    <w:rsid w:val="00C63561"/>
    <w:rsid w:val="00C637E5"/>
    <w:rsid w:val="00C655AF"/>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560"/>
    <w:rsid w:val="00C76A1B"/>
    <w:rsid w:val="00C76ECB"/>
    <w:rsid w:val="00C7765C"/>
    <w:rsid w:val="00C77811"/>
    <w:rsid w:val="00C802C4"/>
    <w:rsid w:val="00C8074F"/>
    <w:rsid w:val="00C8125F"/>
    <w:rsid w:val="00C82EA4"/>
    <w:rsid w:val="00C833CE"/>
    <w:rsid w:val="00C8515E"/>
    <w:rsid w:val="00C85924"/>
    <w:rsid w:val="00C85C5E"/>
    <w:rsid w:val="00C85D2E"/>
    <w:rsid w:val="00C86C74"/>
    <w:rsid w:val="00C8727F"/>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5D48"/>
    <w:rsid w:val="00CA6483"/>
    <w:rsid w:val="00CA6B85"/>
    <w:rsid w:val="00CA76EA"/>
    <w:rsid w:val="00CA799F"/>
    <w:rsid w:val="00CB02A1"/>
    <w:rsid w:val="00CB086C"/>
    <w:rsid w:val="00CB0B9D"/>
    <w:rsid w:val="00CB2A3B"/>
    <w:rsid w:val="00CB3F31"/>
    <w:rsid w:val="00CB42D6"/>
    <w:rsid w:val="00CB4660"/>
    <w:rsid w:val="00CB4FBC"/>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5979"/>
    <w:rsid w:val="00D072A0"/>
    <w:rsid w:val="00D07425"/>
    <w:rsid w:val="00D10B69"/>
    <w:rsid w:val="00D10DD0"/>
    <w:rsid w:val="00D11FFA"/>
    <w:rsid w:val="00D13448"/>
    <w:rsid w:val="00D13E31"/>
    <w:rsid w:val="00D13F21"/>
    <w:rsid w:val="00D1404B"/>
    <w:rsid w:val="00D14719"/>
    <w:rsid w:val="00D149ED"/>
    <w:rsid w:val="00D14AA7"/>
    <w:rsid w:val="00D15037"/>
    <w:rsid w:val="00D15A57"/>
    <w:rsid w:val="00D15D1D"/>
    <w:rsid w:val="00D160A7"/>
    <w:rsid w:val="00D16E69"/>
    <w:rsid w:val="00D16FFF"/>
    <w:rsid w:val="00D2004B"/>
    <w:rsid w:val="00D204FE"/>
    <w:rsid w:val="00D20995"/>
    <w:rsid w:val="00D21D80"/>
    <w:rsid w:val="00D22622"/>
    <w:rsid w:val="00D228F6"/>
    <w:rsid w:val="00D238FA"/>
    <w:rsid w:val="00D23D84"/>
    <w:rsid w:val="00D24201"/>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AAA"/>
    <w:rsid w:val="00D53E09"/>
    <w:rsid w:val="00D54185"/>
    <w:rsid w:val="00D543F7"/>
    <w:rsid w:val="00D551EC"/>
    <w:rsid w:val="00D55949"/>
    <w:rsid w:val="00D56C3D"/>
    <w:rsid w:val="00D5718F"/>
    <w:rsid w:val="00D574DA"/>
    <w:rsid w:val="00D57B71"/>
    <w:rsid w:val="00D604AF"/>
    <w:rsid w:val="00D60524"/>
    <w:rsid w:val="00D60734"/>
    <w:rsid w:val="00D60E68"/>
    <w:rsid w:val="00D6134B"/>
    <w:rsid w:val="00D61EE7"/>
    <w:rsid w:val="00D6234C"/>
    <w:rsid w:val="00D624F9"/>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7ED"/>
    <w:rsid w:val="00D86922"/>
    <w:rsid w:val="00D86BC1"/>
    <w:rsid w:val="00D86E30"/>
    <w:rsid w:val="00D874CE"/>
    <w:rsid w:val="00D87653"/>
    <w:rsid w:val="00D876C2"/>
    <w:rsid w:val="00D87932"/>
    <w:rsid w:val="00D90A53"/>
    <w:rsid w:val="00D917C1"/>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6D16"/>
    <w:rsid w:val="00DB7F97"/>
    <w:rsid w:val="00DB7FA6"/>
    <w:rsid w:val="00DC11AF"/>
    <w:rsid w:val="00DC1446"/>
    <w:rsid w:val="00DC1AD5"/>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32A"/>
    <w:rsid w:val="00DD3505"/>
    <w:rsid w:val="00DD443A"/>
    <w:rsid w:val="00DD4D7B"/>
    <w:rsid w:val="00DD4DAC"/>
    <w:rsid w:val="00DD4EAC"/>
    <w:rsid w:val="00DD5C76"/>
    <w:rsid w:val="00DD5CDE"/>
    <w:rsid w:val="00DD5E44"/>
    <w:rsid w:val="00DD608A"/>
    <w:rsid w:val="00DD65FA"/>
    <w:rsid w:val="00DD6B2D"/>
    <w:rsid w:val="00DD758F"/>
    <w:rsid w:val="00DE099A"/>
    <w:rsid w:val="00DE1A56"/>
    <w:rsid w:val="00DE1AFE"/>
    <w:rsid w:val="00DE21A8"/>
    <w:rsid w:val="00DE2800"/>
    <w:rsid w:val="00DE3037"/>
    <w:rsid w:val="00DE3DB3"/>
    <w:rsid w:val="00DE3ED5"/>
    <w:rsid w:val="00DE5156"/>
    <w:rsid w:val="00DE56A8"/>
    <w:rsid w:val="00DE64C2"/>
    <w:rsid w:val="00DE66F6"/>
    <w:rsid w:val="00DE69C9"/>
    <w:rsid w:val="00DE7698"/>
    <w:rsid w:val="00DE789F"/>
    <w:rsid w:val="00DE7E53"/>
    <w:rsid w:val="00DE7F1B"/>
    <w:rsid w:val="00DE7FF4"/>
    <w:rsid w:val="00DF18BF"/>
    <w:rsid w:val="00DF1E97"/>
    <w:rsid w:val="00DF2133"/>
    <w:rsid w:val="00DF219D"/>
    <w:rsid w:val="00DF277C"/>
    <w:rsid w:val="00DF3701"/>
    <w:rsid w:val="00DF4609"/>
    <w:rsid w:val="00DF51FA"/>
    <w:rsid w:val="00DF5272"/>
    <w:rsid w:val="00DF5E31"/>
    <w:rsid w:val="00DF5EE1"/>
    <w:rsid w:val="00DF68B4"/>
    <w:rsid w:val="00DF76AA"/>
    <w:rsid w:val="00DF79EC"/>
    <w:rsid w:val="00E00B96"/>
    <w:rsid w:val="00E01FC9"/>
    <w:rsid w:val="00E02149"/>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2D59"/>
    <w:rsid w:val="00E22D5C"/>
    <w:rsid w:val="00E23D66"/>
    <w:rsid w:val="00E23E2F"/>
    <w:rsid w:val="00E244A1"/>
    <w:rsid w:val="00E24B55"/>
    <w:rsid w:val="00E2552D"/>
    <w:rsid w:val="00E25CC5"/>
    <w:rsid w:val="00E26080"/>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0AEF"/>
    <w:rsid w:val="00E4123D"/>
    <w:rsid w:val="00E41245"/>
    <w:rsid w:val="00E412C6"/>
    <w:rsid w:val="00E41567"/>
    <w:rsid w:val="00E42295"/>
    <w:rsid w:val="00E4289B"/>
    <w:rsid w:val="00E42EF1"/>
    <w:rsid w:val="00E43C15"/>
    <w:rsid w:val="00E44F9E"/>
    <w:rsid w:val="00E45C83"/>
    <w:rsid w:val="00E45DED"/>
    <w:rsid w:val="00E4639D"/>
    <w:rsid w:val="00E465DA"/>
    <w:rsid w:val="00E46E22"/>
    <w:rsid w:val="00E4759C"/>
    <w:rsid w:val="00E50A57"/>
    <w:rsid w:val="00E512BD"/>
    <w:rsid w:val="00E515BD"/>
    <w:rsid w:val="00E52632"/>
    <w:rsid w:val="00E530FE"/>
    <w:rsid w:val="00E53B74"/>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7F8"/>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796"/>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294D"/>
    <w:rsid w:val="00ED376A"/>
    <w:rsid w:val="00ED3F7B"/>
    <w:rsid w:val="00ED480F"/>
    <w:rsid w:val="00ED4874"/>
    <w:rsid w:val="00ED4966"/>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424E"/>
    <w:rsid w:val="00F04EAF"/>
    <w:rsid w:val="00F051F8"/>
    <w:rsid w:val="00F057C7"/>
    <w:rsid w:val="00F06174"/>
    <w:rsid w:val="00F06E7A"/>
    <w:rsid w:val="00F07015"/>
    <w:rsid w:val="00F07E1A"/>
    <w:rsid w:val="00F10CE4"/>
    <w:rsid w:val="00F1292D"/>
    <w:rsid w:val="00F12C83"/>
    <w:rsid w:val="00F12D79"/>
    <w:rsid w:val="00F1336F"/>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5477"/>
    <w:rsid w:val="00F46983"/>
    <w:rsid w:val="00F46A48"/>
    <w:rsid w:val="00F46CA3"/>
    <w:rsid w:val="00F47376"/>
    <w:rsid w:val="00F47B65"/>
    <w:rsid w:val="00F500F7"/>
    <w:rsid w:val="00F506C6"/>
    <w:rsid w:val="00F50F97"/>
    <w:rsid w:val="00F50FAA"/>
    <w:rsid w:val="00F51773"/>
    <w:rsid w:val="00F51F76"/>
    <w:rsid w:val="00F5297E"/>
    <w:rsid w:val="00F52D31"/>
    <w:rsid w:val="00F53614"/>
    <w:rsid w:val="00F53FCC"/>
    <w:rsid w:val="00F5477B"/>
    <w:rsid w:val="00F55FA1"/>
    <w:rsid w:val="00F563C7"/>
    <w:rsid w:val="00F56C43"/>
    <w:rsid w:val="00F57970"/>
    <w:rsid w:val="00F60343"/>
    <w:rsid w:val="00F606F6"/>
    <w:rsid w:val="00F60A81"/>
    <w:rsid w:val="00F62313"/>
    <w:rsid w:val="00F62E36"/>
    <w:rsid w:val="00F63179"/>
    <w:rsid w:val="00F6381F"/>
    <w:rsid w:val="00F64C66"/>
    <w:rsid w:val="00F6596A"/>
    <w:rsid w:val="00F67252"/>
    <w:rsid w:val="00F67917"/>
    <w:rsid w:val="00F70448"/>
    <w:rsid w:val="00F70720"/>
    <w:rsid w:val="00F70DC7"/>
    <w:rsid w:val="00F70F19"/>
    <w:rsid w:val="00F71096"/>
    <w:rsid w:val="00F71876"/>
    <w:rsid w:val="00F72CBA"/>
    <w:rsid w:val="00F72D10"/>
    <w:rsid w:val="00F73A70"/>
    <w:rsid w:val="00F73EFB"/>
    <w:rsid w:val="00F74156"/>
    <w:rsid w:val="00F7495F"/>
    <w:rsid w:val="00F74DC1"/>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CA4"/>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71C7"/>
    <w:rsid w:val="00FA7278"/>
    <w:rsid w:val="00FA7A0F"/>
    <w:rsid w:val="00FA7A6C"/>
    <w:rsid w:val="00FA7F66"/>
    <w:rsid w:val="00FB1499"/>
    <w:rsid w:val="00FB167E"/>
    <w:rsid w:val="00FB1FB2"/>
    <w:rsid w:val="00FB2535"/>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9D4"/>
    <w:rsid w:val="00FC20B0"/>
    <w:rsid w:val="00FC31B8"/>
    <w:rsid w:val="00FC3791"/>
    <w:rsid w:val="00FC43E4"/>
    <w:rsid w:val="00FC56E8"/>
    <w:rsid w:val="00FC7391"/>
    <w:rsid w:val="00FD0045"/>
    <w:rsid w:val="00FD0555"/>
    <w:rsid w:val="00FD078F"/>
    <w:rsid w:val="00FD0CEE"/>
    <w:rsid w:val="00FD25F7"/>
    <w:rsid w:val="00FD2A56"/>
    <w:rsid w:val="00FD2C57"/>
    <w:rsid w:val="00FD2C65"/>
    <w:rsid w:val="00FD5573"/>
    <w:rsid w:val="00FD6531"/>
    <w:rsid w:val="00FD6C03"/>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FD2C57"/>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464C55"/>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ESE.feedback@ed.gov"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oese.ed.gov/files/2023/05/Title-I-ES-guidance-revised-5-2023.pdf" TargetMode="External"/><Relationship Id="rId17" Type="http://schemas.openxmlformats.org/officeDocument/2006/relationships/hyperlink" Target="http://www.bruman.com" TargetMode="External"/><Relationship Id="rId2" Type="http://schemas.openxmlformats.org/officeDocument/2006/relationships/customXml" Target="../customXml/item2.xml"/><Relationship Id="rId16" Type="http://schemas.openxmlformats.org/officeDocument/2006/relationships/hyperlink" Target="http://www.bruman.com/training-and-recording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s://www2.ed.gov/about/offices/list/oig/ed-oig-sar-86.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oese.ed.gov/files/2023/05/DRAFT-21st-cclc-non-reg-guidance-for-publication.pdf"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6981df1d-dee0-4b8e-8ac5-8723dd3ace6f"/>
    <lcf76f155ced4ddcb4097134ff3c332f xmlns="abacdef5-31a9-4667-b32d-69d0773486e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6" ma:contentTypeDescription="Create a new document." ma:contentTypeScope="" ma:versionID="8e07ddbf57ab90a1042339102ab02fe9">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5217b44ba01d384de2a36f6078cd8f77"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2.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3.xml><?xml version="1.0" encoding="utf-8"?>
<ds:datastoreItem xmlns:ds="http://schemas.openxmlformats.org/officeDocument/2006/customXml" ds:itemID="{D5A8F5BC-3D3B-4C50-A934-DE54D6BFD139}">
  <ds:schemaRefs>
    <ds:schemaRef ds:uri="http://schemas.microsoft.com/office/2006/metadata/properties"/>
    <ds:schemaRef ds:uri="http://schemas.microsoft.com/office/infopath/2007/PartnerControls"/>
    <ds:schemaRef ds:uri="6981df1d-dee0-4b8e-8ac5-8723dd3ace6f"/>
    <ds:schemaRef ds:uri="abacdef5-31a9-4667-b32d-69d0773486e9"/>
  </ds:schemaRefs>
</ds:datastoreItem>
</file>

<file path=customXml/itemProps4.xml><?xml version="1.0" encoding="utf-8"?>
<ds:datastoreItem xmlns:ds="http://schemas.openxmlformats.org/officeDocument/2006/customXml" ds:itemID="{3304707F-AE78-4B30-B255-FF7329A6C0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1878</Words>
  <Characters>10705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June 9, 2023 - Government Affairs (CA Dept of Education)</dc:title>
  <dc:subject>The BruMan Group weekly Federal Update Report for June 9, 2023.</dc:subject>
  <dc:creator>Kelly Christiansen</dc:creator>
  <cp:lastModifiedBy>Mason Diab</cp:lastModifiedBy>
  <cp:revision>6</cp:revision>
  <cp:lastPrinted>2023-06-02T18:18:00Z</cp:lastPrinted>
  <dcterms:created xsi:type="dcterms:W3CDTF">2023-06-09T17:52:00Z</dcterms:created>
  <dcterms:modified xsi:type="dcterms:W3CDTF">2023-06-14T20:24:00Z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