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2462E785">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402F9B08-BC44-4637-B903-4F38FF33B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3C483189" w:rsidR="00196BB4" w:rsidRDefault="005D7A2A"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Ju</w:t>
      </w:r>
      <w:r w:rsidR="00901A88">
        <w:rPr>
          <w:rFonts w:ascii="Noticia Text" w:eastAsiaTheme="majorEastAsia" w:hAnsi="Noticia Text" w:cstheme="majorBidi"/>
          <w:b/>
          <w:iCs/>
          <w:sz w:val="32"/>
          <w:szCs w:val="32"/>
        </w:rPr>
        <w:t>ly 1</w:t>
      </w:r>
      <w:r w:rsidR="006D569D">
        <w:rPr>
          <w:rFonts w:ascii="Noticia Text" w:eastAsiaTheme="majorEastAsia" w:hAnsi="Noticia Text" w:cstheme="majorBidi"/>
          <w:b/>
          <w:iCs/>
          <w:sz w:val="32"/>
          <w:szCs w:val="32"/>
        </w:rPr>
        <w:t>7</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519C4A56" w14:textId="421C0260" w:rsidR="0021569E" w:rsidRDefault="006D569D" w:rsidP="0021569E">
      <w:pPr>
        <w:pStyle w:val="Heading2"/>
      </w:pPr>
      <w:r w:rsidRPr="006D569D">
        <w:t>House Committee Approves Plan to Permanently Move ED Programs</w:t>
      </w:r>
    </w:p>
    <w:p w14:paraId="0FF52B45" w14:textId="77777777" w:rsidR="00487595" w:rsidRDefault="00487595" w:rsidP="00487595"/>
    <w:p w14:paraId="10EEB9D0" w14:textId="43BE42B7" w:rsidR="006D569D" w:rsidRDefault="006D569D" w:rsidP="006D569D">
      <w:r>
        <w:t xml:space="preserve">In a markup Wednesday, the House Committee on Education and Workforce approved </w:t>
      </w:r>
      <w:r w:rsidR="0015316F">
        <w:t xml:space="preserve">ten bills that </w:t>
      </w:r>
      <w:r>
        <w:t xml:space="preserve">would permanently move programs out of the </w:t>
      </w:r>
      <w:r w:rsidR="004F37E6">
        <w:t xml:space="preserve">U.S. </w:t>
      </w:r>
      <w:r>
        <w:t>Department of Education (ED) and into other agencies currently administering those programs through interagency agreements</w:t>
      </w:r>
      <w:r w:rsidR="004C79C9">
        <w:t xml:space="preserve"> (IAAs)</w:t>
      </w:r>
      <w:r>
        <w:t xml:space="preserve">. The </w:t>
      </w:r>
      <w:r w:rsidR="0015316F">
        <w:t>bills passed</w:t>
      </w:r>
      <w:r>
        <w:t xml:space="preserve"> would each individually cement one of the agreements put into place by the agency, formalizing the administration’s moves and permitting the agencies receiving these programs to directly issue grant awards, run competitions, and promulgate regulations.</w:t>
      </w:r>
    </w:p>
    <w:p w14:paraId="346CA01F" w14:textId="77777777" w:rsidR="006D569D" w:rsidRDefault="006D569D" w:rsidP="006D569D"/>
    <w:p w14:paraId="315B0BF2" w14:textId="460F72CC" w:rsidR="006D569D" w:rsidRDefault="006D569D" w:rsidP="006D569D">
      <w:r>
        <w:t xml:space="preserve">In the markup, House Education and Workforce Chairman Tim Walberg (R-MI) called the creation of </w:t>
      </w:r>
      <w:r w:rsidR="00F16857">
        <w:t>ED</w:t>
      </w:r>
      <w:r>
        <w:t xml:space="preserve"> a “politically motivated mistake” designed to reward the support of the teachers’ unions, but none of the bills would directly eliminate the agency – only shrink its scope. They would, however, delegate some specific responsibilities of ED officials to counterparts at partner agencies</w:t>
      </w:r>
      <w:r w:rsidR="006D3DBF">
        <w:t>.</w:t>
      </w:r>
      <w:r>
        <w:t xml:space="preserve"> </w:t>
      </w:r>
      <w:r w:rsidR="006D3DBF">
        <w:t>F</w:t>
      </w:r>
      <w:r>
        <w:t>or example, one bill would delegate t</w:t>
      </w:r>
      <w:r w:rsidRPr="00F77A82">
        <w:t xml:space="preserve">he functions of </w:t>
      </w:r>
      <w:r w:rsidR="004F37E6">
        <w:t xml:space="preserve">ED’s </w:t>
      </w:r>
      <w:r w:rsidRPr="00F77A82">
        <w:t xml:space="preserve">assistant secretary for elementary and secondary education to </w:t>
      </w:r>
      <w:r w:rsidR="000B3F7F">
        <w:t xml:space="preserve">the Department of </w:t>
      </w:r>
      <w:r w:rsidRPr="00F77A82">
        <w:t xml:space="preserve">Labor’s </w:t>
      </w:r>
      <w:r w:rsidR="0015316F">
        <w:t>A</w:t>
      </w:r>
      <w:r w:rsidRPr="00F77A82">
        <w:t xml:space="preserve">ssistant </w:t>
      </w:r>
      <w:r w:rsidR="0015316F">
        <w:t>S</w:t>
      </w:r>
      <w:r w:rsidRPr="00F77A82">
        <w:t xml:space="preserve">ecretary for </w:t>
      </w:r>
      <w:r w:rsidR="0015316F">
        <w:t>E</w:t>
      </w:r>
      <w:r w:rsidRPr="00F77A82">
        <w:t xml:space="preserve">mployment and </w:t>
      </w:r>
      <w:r w:rsidR="0015316F">
        <w:t>T</w:t>
      </w:r>
      <w:r w:rsidRPr="00F77A82">
        <w:t>raining.</w:t>
      </w:r>
    </w:p>
    <w:p w14:paraId="19766E11" w14:textId="77777777" w:rsidR="006D569D" w:rsidRDefault="006D569D" w:rsidP="006D569D"/>
    <w:p w14:paraId="0CE62346" w14:textId="59B3CED4" w:rsidR="006D569D" w:rsidRDefault="006D569D" w:rsidP="006D569D">
      <w:r>
        <w:t>Committee Democrats criticized the bills, expressing concern about the unproven capacity of the “partner” agencies to maintain administration of the programs. Representative Bobby Scott (D-VA) asked</w:t>
      </w:r>
      <w:r w:rsidR="008C3697">
        <w:t>,</w:t>
      </w:r>
      <w:r>
        <w:t xml:space="preserve"> “[a]</w:t>
      </w:r>
      <w:r w:rsidRPr="00F77A82">
        <w:t>re you conceding that the existing IAAs are illegal, and therefore only an Act of Congress can dismantle the Department of Education? And if they are not illegal, then why are these bills necessary?”</w:t>
      </w:r>
    </w:p>
    <w:p w14:paraId="3A171757" w14:textId="77777777" w:rsidR="006D569D" w:rsidRDefault="006D569D" w:rsidP="006D569D"/>
    <w:p w14:paraId="73E3FE88" w14:textId="0B78F336" w:rsidR="006D569D" w:rsidRDefault="006D569D" w:rsidP="006D569D">
      <w:r>
        <w:t>The legislative package faces an uncertain fate on the floor of the House, and Senators like Patty Murray (D-WA) have said the bills have no chance of passing in the Senate.</w:t>
      </w:r>
    </w:p>
    <w:p w14:paraId="454BE40F" w14:textId="77777777" w:rsidR="006D569D" w:rsidRDefault="006D569D" w:rsidP="006D569D"/>
    <w:p w14:paraId="6DB943C1" w14:textId="6018DB6B" w:rsidR="00DC3E48" w:rsidRPr="00DC3E48" w:rsidRDefault="006D569D" w:rsidP="00DC3E48">
      <w:r>
        <w:t>Author: JCM</w:t>
      </w:r>
    </w:p>
    <w:p w14:paraId="1A4B4861" w14:textId="1D0FC56A" w:rsidR="003D7956" w:rsidRPr="00296B30" w:rsidRDefault="00172559" w:rsidP="00296B30">
      <w:pPr>
        <w:pStyle w:val="Heading2"/>
        <w:pBdr>
          <w:bottom w:val="single" w:sz="6" w:space="1" w:color="auto"/>
        </w:pBdr>
        <w:spacing w:before="240"/>
        <w:rPr>
          <w:rFonts w:ascii="Noticia Text" w:hAnsi="Noticia Text"/>
          <w:smallCaps/>
          <w:sz w:val="36"/>
          <w:szCs w:val="32"/>
        </w:rPr>
      </w:pPr>
      <w:r w:rsidRPr="00296B30">
        <w:rPr>
          <w:rFonts w:ascii="Noticia Text" w:hAnsi="Noticia Text"/>
          <w:smallCaps/>
          <w:sz w:val="36"/>
          <w:szCs w:val="32"/>
        </w:rPr>
        <w:lastRenderedPageBreak/>
        <w:t>O</w:t>
      </w:r>
      <w:r w:rsidR="00CB1542" w:rsidRPr="00296B30">
        <w:rPr>
          <w:rFonts w:ascii="Noticia Text" w:hAnsi="Noticia Text"/>
          <w:smallCaps/>
          <w:sz w:val="36"/>
          <w:szCs w:val="32"/>
        </w:rPr>
        <w:t>t</w:t>
      </w:r>
      <w:r w:rsidRPr="00296B30">
        <w:rPr>
          <w:rFonts w:ascii="Noticia Text" w:hAnsi="Noticia Text"/>
          <w:smallCaps/>
          <w:sz w:val="36"/>
          <w:szCs w:val="32"/>
        </w:rPr>
        <w:t>h</w:t>
      </w:r>
      <w:r w:rsidR="00A72286" w:rsidRPr="00296B30">
        <w:rPr>
          <w:rFonts w:ascii="Noticia Text" w:hAnsi="Noticia Text"/>
          <w:smallCaps/>
          <w:sz w:val="36"/>
          <w:szCs w:val="32"/>
        </w:rPr>
        <w:t>e</w:t>
      </w:r>
      <w:r w:rsidRPr="00296B30">
        <w:rPr>
          <w:rFonts w:ascii="Noticia Text" w:hAnsi="Noticia Text"/>
          <w:smallCaps/>
          <w:sz w:val="36"/>
          <w:szCs w:val="32"/>
        </w:rPr>
        <w:t xml:space="preserve">r </w:t>
      </w:r>
      <w:r w:rsidR="00CD52DA" w:rsidRPr="00296B30">
        <w:rPr>
          <w:rFonts w:ascii="Noticia Text" w:hAnsi="Noticia Text"/>
          <w:smallCaps/>
          <w:sz w:val="36"/>
          <w:szCs w:val="32"/>
        </w:rPr>
        <w:t>Items</w:t>
      </w:r>
      <w:r w:rsidRPr="00296B30">
        <w:rPr>
          <w:rFonts w:ascii="Noticia Text" w:hAnsi="Noticia Text"/>
          <w:smallCaps/>
          <w:sz w:val="36"/>
          <w:szCs w:val="32"/>
        </w:rPr>
        <w:t xml:space="preserve"> to Watch</w:t>
      </w:r>
    </w:p>
    <w:p w14:paraId="0E0A8406" w14:textId="77777777" w:rsidR="00A07C4A" w:rsidRDefault="00A07C4A" w:rsidP="00A07C4A"/>
    <w:p w14:paraId="36C6127D" w14:textId="731896AE" w:rsidR="00784131" w:rsidRDefault="00784131" w:rsidP="00784131">
      <w:r>
        <w:t>The public comment period for the Uniform Grant Guidance closed on Monday. According to regulations.gov, there are more than 54,000 publicly posted comments on the proposed changes, with a total of 496,775 received overall (the received comment count includes comments received but not publicly posted due to duplicates from mass campaigns, comments with inappropriate language, etc.). The Office of Management and Budget must now review all comments and respond to any substantive ones as part of finalizing the rule. OMB stated it plans to finalize the rule before October 1, 2026, but it is unclear whether it will be able to meet that deadline.</w:t>
      </w:r>
    </w:p>
    <w:p w14:paraId="0E7EEFE6" w14:textId="77777777" w:rsidR="00784131" w:rsidRDefault="00784131" w:rsidP="00784131"/>
    <w:p w14:paraId="2B9EB2E8" w14:textId="6EEA3710" w:rsidR="00784131" w:rsidRDefault="00784131" w:rsidP="00784131">
      <w:r>
        <w:t>Acting Secretary of Labor Keith Sonderling, who</w:t>
      </w:r>
      <w:r w:rsidR="00C4545F">
        <w:t>m</w:t>
      </w:r>
      <w:r>
        <w:t xml:space="preserve"> President Trump has nominated to the role on a permanent basis, </w:t>
      </w:r>
      <w:hyperlink r:id="rId8" w:tooltip="Watch the nomination hearing" w:history="1">
        <w:r w:rsidRPr="00784131">
          <w:rPr>
            <w:rStyle w:val="Hyperlink"/>
          </w:rPr>
          <w:t>testified</w:t>
        </w:r>
      </w:hyperlink>
      <w:r>
        <w:t xml:space="preserve"> in front of the Senate Committee on Health, Education, Labor, and Pensions (HELP) Thursday. Senators questioned him on a range of workforce and education issues, including the shift of education programs to the Department of Labor. The HELP Committee has an executive meeting scheduled for July 23</w:t>
      </w:r>
      <w:r w:rsidRPr="00E71B67">
        <w:rPr>
          <w:vertAlign w:val="superscript"/>
        </w:rPr>
        <w:t>rd</w:t>
      </w:r>
      <w:r>
        <w:t xml:space="preserve"> to vote on whether to advance the nomination to the full Senate. </w:t>
      </w:r>
    </w:p>
    <w:p w14:paraId="02424B45" w14:textId="77777777" w:rsidR="00784131" w:rsidRDefault="00784131" w:rsidP="00784131"/>
    <w:p w14:paraId="41F3CCDE" w14:textId="48093129" w:rsidR="00784131" w:rsidRDefault="00784131" w:rsidP="006D569D">
      <w:r>
        <w:t>The House Transportation and Infrastructure Committee advanced a proposal this week from the General Services Administration (GSA) to allocate $215 million for renovations of the current U.S. Department of Education</w:t>
      </w:r>
      <w:r w:rsidR="00B83E26">
        <w:t xml:space="preserve"> (ED)</w:t>
      </w:r>
      <w:r>
        <w:t xml:space="preserve"> building, which the Department of Energy (DOE) plans to take over later this year. ED staff who have not been transferred to another agency will move to a smaller building as part of the reshuffling. Despite the price tag of the renovations, GSA states that it is still less expensive than renovating DOE’s current building.</w:t>
      </w:r>
    </w:p>
    <w:p w14:paraId="4CA6873B" w14:textId="77777777" w:rsidR="00784131" w:rsidRDefault="00784131" w:rsidP="006D569D"/>
    <w:p w14:paraId="21DED432" w14:textId="3DB4B66E" w:rsidR="006D569D" w:rsidRPr="00F77A82" w:rsidRDefault="006D569D" w:rsidP="006D569D">
      <w:r>
        <w:t xml:space="preserve">A group of former Department of Education officials </w:t>
      </w:r>
      <w:hyperlink r:id="rId9" w:tooltip="Read the letter" w:history="1">
        <w:r w:rsidRPr="00923DAD">
          <w:rPr>
            <w:rStyle w:val="Hyperlink"/>
          </w:rPr>
          <w:t>has written to lawmakers</w:t>
        </w:r>
      </w:hyperlink>
      <w:r>
        <w:t xml:space="preserve"> asking them to halt the plann</w:t>
      </w:r>
      <w:r w:rsidR="00BA4C0A">
        <w:t>ed</w:t>
      </w:r>
      <w:r>
        <w:t xml:space="preserve"> move of special education services to other agencies. They argue that moving administration of the Individuals with Disabilities Education Act (IDEA) to the Department of Health and Human Services “</w:t>
      </w:r>
      <w:r w:rsidRPr="003B47E0">
        <w:t>dismantles, rather than relocates, the federal infrastructure built over five decades</w:t>
      </w:r>
      <w:r>
        <w:t xml:space="preserve">.” </w:t>
      </w:r>
      <w:r w:rsidRPr="00923DAD">
        <w:t xml:space="preserve">“Moving IDEA’s implementation into a </w:t>
      </w:r>
      <w:proofErr w:type="gramStart"/>
      <w:r w:rsidRPr="00923DAD">
        <w:t>health agency risks</w:t>
      </w:r>
      <w:proofErr w:type="gramEnd"/>
      <w:r w:rsidRPr="00923DAD">
        <w:t xml:space="preserve"> substituting medical management for educational access,” the</w:t>
      </w:r>
      <w:r>
        <w:t>y add.</w:t>
      </w:r>
    </w:p>
    <w:p w14:paraId="24A855AC" w14:textId="77777777" w:rsidR="00032E0B" w:rsidRDefault="00032E0B" w:rsidP="00F048C7"/>
    <w:p w14:paraId="6B21C7B1" w14:textId="48739E37" w:rsidR="00784131" w:rsidRDefault="00784131" w:rsidP="00F048C7">
      <w:r w:rsidRPr="00784131">
        <w:t>The American Federation of Government Employees, along with former officials in the Office of Career</w:t>
      </w:r>
      <w:r>
        <w:t>,</w:t>
      </w:r>
      <w:r w:rsidRPr="00784131">
        <w:t xml:space="preserve"> Technical</w:t>
      </w:r>
      <w:r>
        <w:t>, and Adult</w:t>
      </w:r>
      <w:r w:rsidRPr="00784131">
        <w:t xml:space="preserve"> Education (OCTAE), </w:t>
      </w:r>
      <w:hyperlink r:id="rId10" w:tooltip="Read the letter to OIG" w:history="1">
        <w:r w:rsidRPr="00784131">
          <w:rPr>
            <w:rStyle w:val="Hyperlink"/>
          </w:rPr>
          <w:t>sent a letter to the</w:t>
        </w:r>
        <w:r w:rsidR="004F37E6">
          <w:rPr>
            <w:rStyle w:val="Hyperlink"/>
          </w:rPr>
          <w:t xml:space="preserve"> U.S. Department of Education (ED)</w:t>
        </w:r>
        <w:r w:rsidRPr="00784131">
          <w:rPr>
            <w:rStyle w:val="Hyperlink"/>
          </w:rPr>
          <w:t xml:space="preserve"> Inspector General</w:t>
        </w:r>
      </w:hyperlink>
      <w:r w:rsidRPr="00784131">
        <w:t xml:space="preserve"> asking for an investigation into the interagency agreement between the </w:t>
      </w:r>
      <w:r w:rsidR="004F37E6">
        <w:t>ED</w:t>
      </w:r>
      <w:r w:rsidRPr="00784131">
        <w:t xml:space="preserve"> </w:t>
      </w:r>
      <w:r w:rsidR="004F37E6">
        <w:t>and the Department of</w:t>
      </w:r>
      <w:r w:rsidRPr="00784131">
        <w:t xml:space="preserve"> Labor, which transferred </w:t>
      </w:r>
      <w:r w:rsidRPr="00784131">
        <w:lastRenderedPageBreak/>
        <w:t>responsibilities for OCTAE</w:t>
      </w:r>
      <w:r w:rsidR="00724BEE">
        <w:t xml:space="preserve"> to Labor</w:t>
      </w:r>
      <w:r w:rsidRPr="00784131">
        <w:t xml:space="preserve">. They are asking for a review of how much the agreement has cost and how it has impacted decision-making, as well as the overall impact the agreement has had on grantees and the effect on grantees’ ability to draw down funds and report on grants. </w:t>
      </w:r>
    </w:p>
    <w:p w14:paraId="49320667" w14:textId="3A226C1E" w:rsidR="003E4968" w:rsidRPr="00333F9D" w:rsidRDefault="003E4968" w:rsidP="003E4968"/>
    <w:p w14:paraId="04CFEE8B" w14:textId="7CBCE6F5"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72C0CF9A" w:rsidR="00C769A4" w:rsidRDefault="00201433" w:rsidP="2193F663">
      <w:pPr>
        <w:spacing w:before="240" w:after="240"/>
        <w:rPr>
          <w:rFonts w:eastAsia="Times New Roman" w:cs="Arial"/>
        </w:rPr>
      </w:pPr>
      <w:r w:rsidRPr="71338862">
        <w:rPr>
          <w:rFonts w:eastAsia="Times New Roman" w:cs="Arial"/>
        </w:rPr>
        <w:t>Contributors:</w:t>
      </w:r>
      <w:r w:rsidR="00122E05" w:rsidRPr="71338862">
        <w:rPr>
          <w:rFonts w:eastAsia="Times New Roman" w:cs="Arial"/>
        </w:rPr>
        <w:t xml:space="preserve"> </w:t>
      </w:r>
      <w:r w:rsidR="00A72E27">
        <w:rPr>
          <w:rFonts w:eastAsia="Times New Roman" w:cs="Arial"/>
        </w:rPr>
        <w:t xml:space="preserve">Julia Martin, </w:t>
      </w:r>
      <w:r w:rsidR="00A81C1E">
        <w:rPr>
          <w:rFonts w:eastAsia="Times New Roman" w:cs="Arial"/>
        </w:rPr>
        <w:t>Kelly Christiansen</w:t>
      </w:r>
      <w:r w:rsidR="000C7544">
        <w:rPr>
          <w:rFonts w:eastAsia="Times New Roman" w:cs="Arial"/>
        </w:rPr>
        <w:t>, Brandi Wills</w:t>
      </w:r>
    </w:p>
    <w:p w14:paraId="63DBF6B8" w14:textId="77777777" w:rsidR="00296B30" w:rsidRDefault="00296B30" w:rsidP="00296B30">
      <w:pPr>
        <w:spacing w:before="240" w:after="240"/>
        <w:rPr>
          <w:rFonts w:eastAsia="Times New Roman" w:cs="Arial"/>
        </w:rPr>
      </w:pPr>
      <w:r w:rsidRPr="00C571F1">
        <w:rPr>
          <w:rFonts w:eastAsia="Times New Roman" w:cs="Arial"/>
        </w:rPr>
        <w:t>Posted by the California Department of Education, July 2026</w:t>
      </w:r>
    </w:p>
    <w:p w14:paraId="5DFD9221" w14:textId="77777777" w:rsidR="00296B30" w:rsidRDefault="00296B30" w:rsidP="2193F663">
      <w:pPr>
        <w:spacing w:before="240" w:after="240"/>
        <w:rPr>
          <w:rFonts w:eastAsia="Times New Roman" w:cs="Arial"/>
        </w:rPr>
      </w:pPr>
    </w:p>
    <w:sectPr w:rsidR="00296B30" w:rsidSect="00A11D40">
      <w:headerReference w:type="default" r:id="rId11"/>
      <w:footerReference w:type="default" r:id="rId12"/>
      <w:footerReference w:type="first" r:id="rId13"/>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D810" w14:textId="77777777" w:rsidR="00E56375" w:rsidRDefault="00E56375">
      <w:r>
        <w:separator/>
      </w:r>
    </w:p>
  </w:endnote>
  <w:endnote w:type="continuationSeparator" w:id="0">
    <w:p w14:paraId="161A56A7" w14:textId="77777777" w:rsidR="00E56375" w:rsidRDefault="00E56375">
      <w:r>
        <w:continuationSeparator/>
      </w:r>
    </w:p>
  </w:endnote>
  <w:endnote w:type="continuationNotice" w:id="1">
    <w:p w14:paraId="09D5FADD" w14:textId="77777777" w:rsidR="00E56375" w:rsidRDefault="00E56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50F4" w14:textId="77777777" w:rsidR="00E56375" w:rsidRDefault="00E56375">
      <w:r>
        <w:separator/>
      </w:r>
    </w:p>
  </w:footnote>
  <w:footnote w:type="continuationSeparator" w:id="0">
    <w:p w14:paraId="5F005C7F" w14:textId="77777777" w:rsidR="00E56375" w:rsidRDefault="00E56375">
      <w:r>
        <w:continuationSeparator/>
      </w:r>
    </w:p>
  </w:footnote>
  <w:footnote w:type="continuationNotice" w:id="1">
    <w:p w14:paraId="352CAA45" w14:textId="77777777" w:rsidR="00E56375" w:rsidRDefault="00E56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2FB7AAFB" w:rsidR="005152A7" w:rsidRPr="001767D4" w:rsidRDefault="005152A7" w:rsidP="00B50AD1">
    <w:pPr>
      <w:pStyle w:val="NoSpacing"/>
      <w:tabs>
        <w:tab w:val="left" w:pos="7920"/>
      </w:tabs>
      <w:spacing w:after="240"/>
      <w:rPr>
        <w:b/>
        <w:bCs/>
      </w:rPr>
    </w:pPr>
    <w:r>
      <w:rPr>
        <w:rFonts w:ascii="Open Sans" w:hAnsi="Open Sans" w:cs="Open Sans"/>
        <w:b/>
        <w:bCs/>
      </w:rPr>
      <w:t>July 1</w:t>
    </w:r>
    <w:r w:rsidR="00784131">
      <w:rPr>
        <w:rFonts w:ascii="Open Sans" w:hAnsi="Open Sans" w:cs="Open Sans"/>
        <w:b/>
        <w:bCs/>
      </w:rPr>
      <w:t>7</w:t>
    </w:r>
    <w:r>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7025"/>
    <w:rsid w:val="0002758A"/>
    <w:rsid w:val="00027A54"/>
    <w:rsid w:val="000301C7"/>
    <w:rsid w:val="000306D4"/>
    <w:rsid w:val="00030888"/>
    <w:rsid w:val="00030F7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CEB"/>
    <w:rsid w:val="000D1FAA"/>
    <w:rsid w:val="000D204A"/>
    <w:rsid w:val="000D214E"/>
    <w:rsid w:val="000D25EF"/>
    <w:rsid w:val="000D298C"/>
    <w:rsid w:val="000D2B68"/>
    <w:rsid w:val="000D314D"/>
    <w:rsid w:val="000D3248"/>
    <w:rsid w:val="000D339F"/>
    <w:rsid w:val="000D3870"/>
    <w:rsid w:val="000D39B8"/>
    <w:rsid w:val="000D39EA"/>
    <w:rsid w:val="000D3A6F"/>
    <w:rsid w:val="000D3BD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A8A"/>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2468"/>
    <w:rsid w:val="00112709"/>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450"/>
    <w:rsid w:val="00127508"/>
    <w:rsid w:val="00127604"/>
    <w:rsid w:val="00127F6A"/>
    <w:rsid w:val="001303AE"/>
    <w:rsid w:val="0013051C"/>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B7F"/>
    <w:rsid w:val="00222EA0"/>
    <w:rsid w:val="00222ED3"/>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1A37"/>
    <w:rsid w:val="00241E52"/>
    <w:rsid w:val="00241FBD"/>
    <w:rsid w:val="00242105"/>
    <w:rsid w:val="002429CC"/>
    <w:rsid w:val="00242A4E"/>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B6E"/>
    <w:rsid w:val="00251F0B"/>
    <w:rsid w:val="002521FA"/>
    <w:rsid w:val="00252796"/>
    <w:rsid w:val="00252951"/>
    <w:rsid w:val="00252FFF"/>
    <w:rsid w:val="00253074"/>
    <w:rsid w:val="0025307A"/>
    <w:rsid w:val="00253399"/>
    <w:rsid w:val="0025352E"/>
    <w:rsid w:val="00253D18"/>
    <w:rsid w:val="00253F40"/>
    <w:rsid w:val="00254058"/>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B30"/>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5054"/>
    <w:rsid w:val="002D5361"/>
    <w:rsid w:val="002D5B29"/>
    <w:rsid w:val="002D5C8A"/>
    <w:rsid w:val="002D5EB5"/>
    <w:rsid w:val="002D6289"/>
    <w:rsid w:val="002D6C55"/>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B16"/>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08AA"/>
    <w:rsid w:val="004210B4"/>
    <w:rsid w:val="004213E0"/>
    <w:rsid w:val="0042187B"/>
    <w:rsid w:val="00421C83"/>
    <w:rsid w:val="00421EB9"/>
    <w:rsid w:val="00422577"/>
    <w:rsid w:val="00422A6E"/>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93E"/>
    <w:rsid w:val="004579FE"/>
    <w:rsid w:val="00460166"/>
    <w:rsid w:val="00460732"/>
    <w:rsid w:val="0046093F"/>
    <w:rsid w:val="00460B48"/>
    <w:rsid w:val="00460CD9"/>
    <w:rsid w:val="00460DB6"/>
    <w:rsid w:val="004612CF"/>
    <w:rsid w:val="004612DC"/>
    <w:rsid w:val="0046165C"/>
    <w:rsid w:val="004617C2"/>
    <w:rsid w:val="00461965"/>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1AD"/>
    <w:rsid w:val="004773AC"/>
    <w:rsid w:val="00477687"/>
    <w:rsid w:val="0047770D"/>
    <w:rsid w:val="004777CA"/>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9C"/>
    <w:rsid w:val="004B29A2"/>
    <w:rsid w:val="004B2CBC"/>
    <w:rsid w:val="004B3394"/>
    <w:rsid w:val="004B3831"/>
    <w:rsid w:val="004B3946"/>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9C9"/>
    <w:rsid w:val="004C7C53"/>
    <w:rsid w:val="004D02E9"/>
    <w:rsid w:val="004D044C"/>
    <w:rsid w:val="004D06CC"/>
    <w:rsid w:val="004D072E"/>
    <w:rsid w:val="004D139D"/>
    <w:rsid w:val="004D1490"/>
    <w:rsid w:val="004D1F9C"/>
    <w:rsid w:val="004D2108"/>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2F8"/>
    <w:rsid w:val="00510391"/>
    <w:rsid w:val="00510E22"/>
    <w:rsid w:val="00510F34"/>
    <w:rsid w:val="0051124D"/>
    <w:rsid w:val="005117FC"/>
    <w:rsid w:val="00511ABC"/>
    <w:rsid w:val="00511B6A"/>
    <w:rsid w:val="0051214A"/>
    <w:rsid w:val="00512513"/>
    <w:rsid w:val="005125B0"/>
    <w:rsid w:val="00512BCC"/>
    <w:rsid w:val="00512D02"/>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BA2"/>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C2B"/>
    <w:rsid w:val="00604C3A"/>
    <w:rsid w:val="006050BD"/>
    <w:rsid w:val="0060551A"/>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7D8"/>
    <w:rsid w:val="006F07E0"/>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84B"/>
    <w:rsid w:val="00707CA4"/>
    <w:rsid w:val="00707CFC"/>
    <w:rsid w:val="007108E8"/>
    <w:rsid w:val="0071096E"/>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382"/>
    <w:rsid w:val="0075255C"/>
    <w:rsid w:val="00752C3E"/>
    <w:rsid w:val="00753226"/>
    <w:rsid w:val="00753804"/>
    <w:rsid w:val="00753A41"/>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278"/>
    <w:rsid w:val="008543AC"/>
    <w:rsid w:val="0085453F"/>
    <w:rsid w:val="008548FE"/>
    <w:rsid w:val="00854933"/>
    <w:rsid w:val="00854982"/>
    <w:rsid w:val="00854B98"/>
    <w:rsid w:val="00854C10"/>
    <w:rsid w:val="00855507"/>
    <w:rsid w:val="008557F2"/>
    <w:rsid w:val="00855845"/>
    <w:rsid w:val="00855919"/>
    <w:rsid w:val="008559EA"/>
    <w:rsid w:val="00855B8A"/>
    <w:rsid w:val="00855E67"/>
    <w:rsid w:val="00856221"/>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A9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CC9"/>
    <w:rsid w:val="009723BC"/>
    <w:rsid w:val="009724DF"/>
    <w:rsid w:val="009726D6"/>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6FC"/>
    <w:rsid w:val="00982A07"/>
    <w:rsid w:val="00982F7E"/>
    <w:rsid w:val="009837EC"/>
    <w:rsid w:val="00983AD5"/>
    <w:rsid w:val="00983B8C"/>
    <w:rsid w:val="009846B3"/>
    <w:rsid w:val="009847D1"/>
    <w:rsid w:val="00984856"/>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F3E"/>
    <w:rsid w:val="009920A1"/>
    <w:rsid w:val="00992215"/>
    <w:rsid w:val="0099248D"/>
    <w:rsid w:val="0099253D"/>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C09"/>
    <w:rsid w:val="009B7D4F"/>
    <w:rsid w:val="009C0052"/>
    <w:rsid w:val="009C0158"/>
    <w:rsid w:val="009C02A0"/>
    <w:rsid w:val="009C0CE7"/>
    <w:rsid w:val="009C0D29"/>
    <w:rsid w:val="009C0E62"/>
    <w:rsid w:val="009C122D"/>
    <w:rsid w:val="009C14DF"/>
    <w:rsid w:val="009C1545"/>
    <w:rsid w:val="009C1688"/>
    <w:rsid w:val="009C1906"/>
    <w:rsid w:val="009C21B3"/>
    <w:rsid w:val="009C288F"/>
    <w:rsid w:val="009C2D2F"/>
    <w:rsid w:val="009C2EFC"/>
    <w:rsid w:val="009C30E0"/>
    <w:rsid w:val="009C324A"/>
    <w:rsid w:val="009C3498"/>
    <w:rsid w:val="009C3561"/>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B4B"/>
    <w:rsid w:val="00A73D20"/>
    <w:rsid w:val="00A73D34"/>
    <w:rsid w:val="00A7408D"/>
    <w:rsid w:val="00A74670"/>
    <w:rsid w:val="00A7479A"/>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B3B"/>
    <w:rsid w:val="00AB2BEB"/>
    <w:rsid w:val="00AB2D28"/>
    <w:rsid w:val="00AB322F"/>
    <w:rsid w:val="00AB325A"/>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E21"/>
    <w:rsid w:val="00B500E5"/>
    <w:rsid w:val="00B5027E"/>
    <w:rsid w:val="00B50AD1"/>
    <w:rsid w:val="00B51063"/>
    <w:rsid w:val="00B5181C"/>
    <w:rsid w:val="00B51AF3"/>
    <w:rsid w:val="00B51FC4"/>
    <w:rsid w:val="00B52270"/>
    <w:rsid w:val="00B5237E"/>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115"/>
    <w:rsid w:val="00B8419B"/>
    <w:rsid w:val="00B84225"/>
    <w:rsid w:val="00B849C3"/>
    <w:rsid w:val="00B84EB0"/>
    <w:rsid w:val="00B84ED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52DE"/>
    <w:rsid w:val="00BE542A"/>
    <w:rsid w:val="00BE551C"/>
    <w:rsid w:val="00BE57D4"/>
    <w:rsid w:val="00BE599D"/>
    <w:rsid w:val="00BE5D94"/>
    <w:rsid w:val="00BE6763"/>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2443"/>
    <w:rsid w:val="00C027D2"/>
    <w:rsid w:val="00C032D2"/>
    <w:rsid w:val="00C0335F"/>
    <w:rsid w:val="00C039A0"/>
    <w:rsid w:val="00C043FC"/>
    <w:rsid w:val="00C04625"/>
    <w:rsid w:val="00C048FE"/>
    <w:rsid w:val="00C04AF7"/>
    <w:rsid w:val="00C04C09"/>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A07"/>
    <w:rsid w:val="00CD6F0E"/>
    <w:rsid w:val="00CD7065"/>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5E7"/>
    <w:rsid w:val="00D146D1"/>
    <w:rsid w:val="00D14719"/>
    <w:rsid w:val="00D149ED"/>
    <w:rsid w:val="00D14AA7"/>
    <w:rsid w:val="00D14B69"/>
    <w:rsid w:val="00D14E75"/>
    <w:rsid w:val="00D15037"/>
    <w:rsid w:val="00D151C7"/>
    <w:rsid w:val="00D15581"/>
    <w:rsid w:val="00D15671"/>
    <w:rsid w:val="00D1576E"/>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FF"/>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F36"/>
    <w:rsid w:val="00D52FC4"/>
    <w:rsid w:val="00D5306C"/>
    <w:rsid w:val="00D53AAA"/>
    <w:rsid w:val="00D53E09"/>
    <w:rsid w:val="00D54185"/>
    <w:rsid w:val="00D543F7"/>
    <w:rsid w:val="00D551EC"/>
    <w:rsid w:val="00D55949"/>
    <w:rsid w:val="00D55F0E"/>
    <w:rsid w:val="00D560A7"/>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EA"/>
    <w:rsid w:val="00D908BF"/>
    <w:rsid w:val="00D90A53"/>
    <w:rsid w:val="00D90B05"/>
    <w:rsid w:val="00D91042"/>
    <w:rsid w:val="00D9107F"/>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6DB"/>
    <w:rsid w:val="00E23C8B"/>
    <w:rsid w:val="00E23D66"/>
    <w:rsid w:val="00E23E2F"/>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375"/>
    <w:rsid w:val="00E56698"/>
    <w:rsid w:val="00E56894"/>
    <w:rsid w:val="00E569B5"/>
    <w:rsid w:val="00E569D9"/>
    <w:rsid w:val="00E569ED"/>
    <w:rsid w:val="00E56F5B"/>
    <w:rsid w:val="00E57191"/>
    <w:rsid w:val="00E57635"/>
    <w:rsid w:val="00E5799F"/>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F3A"/>
    <w:rsid w:val="00EF6231"/>
    <w:rsid w:val="00EF65CB"/>
    <w:rsid w:val="00EF68A3"/>
    <w:rsid w:val="00EF6AA3"/>
    <w:rsid w:val="00EF72EA"/>
    <w:rsid w:val="00EF7359"/>
    <w:rsid w:val="00EF7370"/>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B75"/>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lp.senate.gov/hearings/nomination-of-keith-sonderling-to-be-secretary-of-labo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rive.google.com/file/d/1xF6GGg8H_zofT81A0tCq40_xXctBi1MC/view" TargetMode="External"/><Relationship Id="rId4" Type="http://schemas.openxmlformats.org/officeDocument/2006/relationships/webSettings" Target="webSettings.xml"/><Relationship Id="rId9" Type="http://schemas.openxmlformats.org/officeDocument/2006/relationships/hyperlink" Target="https://ndsccenter.org/file_download/inline/b8bef9c3-02c7-40a2-8972-765d260e56e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July 17 - Government Affairs (CA Dept of Education)</dc:title>
  <dc:subject>Federal Updates for July 17, 2026.</dc:subject>
  <dc:creator/>
  <cp:keywords/>
  <dc:description/>
  <cp:lastModifiedBy/>
  <cp:revision>1</cp:revision>
  <dcterms:created xsi:type="dcterms:W3CDTF">2026-08-11T19:26:00Z</dcterms:created>
  <dcterms:modified xsi:type="dcterms:W3CDTF">2026-08-11T19:30:00Z</dcterms:modified>
  <cp:contentStatus>Federal Updates for July 17, 2026.</cp:contentStatus>
</cp:coreProperties>
</file>