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31CDEEAF">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402F9B08-BC44-4637-B903-4F38FF33B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3E2A0706" w:rsidR="00196BB4" w:rsidRDefault="005D7A2A"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Ju</w:t>
      </w:r>
      <w:r w:rsidR="00901A88">
        <w:rPr>
          <w:rFonts w:ascii="Noticia Text" w:eastAsiaTheme="majorEastAsia" w:hAnsi="Noticia Text" w:cstheme="majorBidi"/>
          <w:b/>
          <w:iCs/>
          <w:sz w:val="32"/>
          <w:szCs w:val="32"/>
        </w:rPr>
        <w:t xml:space="preserve">ly </w:t>
      </w:r>
      <w:r w:rsidR="00BE4591">
        <w:rPr>
          <w:rFonts w:ascii="Noticia Text" w:eastAsiaTheme="majorEastAsia" w:hAnsi="Noticia Text" w:cstheme="majorBidi"/>
          <w:b/>
          <w:iCs/>
          <w:sz w:val="32"/>
          <w:szCs w:val="32"/>
        </w:rPr>
        <w:t>31</w:t>
      </w:r>
      <w:r w:rsidR="008040B1" w:rsidRPr="006B71B6">
        <w:rPr>
          <w:rFonts w:ascii="Noticia Text" w:eastAsiaTheme="majorEastAsia" w:hAnsi="Noticia Text" w:cstheme="majorBidi"/>
          <w:b/>
          <w:iCs/>
          <w:sz w:val="32"/>
          <w:szCs w:val="32"/>
        </w:rPr>
        <w:t>, 2026</w:t>
      </w:r>
    </w:p>
    <w:bookmarkEnd w:id="0"/>
    <w:p w14:paraId="6A1C3434" w14:textId="5CF62EC5" w:rsidR="00E74AA2" w:rsidRDefault="00E74AA2" w:rsidP="00BC7ED4">
      <w:pPr>
        <w:pStyle w:val="Heading1"/>
      </w:pPr>
      <w:r>
        <w:t>Legislation and Guidance</w:t>
      </w:r>
    </w:p>
    <w:p w14:paraId="56CEDAEE" w14:textId="77777777" w:rsidR="00E74AA2" w:rsidRDefault="00E74AA2" w:rsidP="00E74AA2"/>
    <w:p w14:paraId="3B5FCFAB" w14:textId="77777777" w:rsidR="008776D9" w:rsidRDefault="008776D9" w:rsidP="008776D9">
      <w:pPr>
        <w:pStyle w:val="Heading2"/>
      </w:pPr>
      <w:r>
        <w:t>Senate Committee Advances Bipartisan Legislation Prohibiting Certain IAAs</w:t>
      </w:r>
    </w:p>
    <w:p w14:paraId="0FF52B45" w14:textId="77777777" w:rsidR="00487595" w:rsidRDefault="00487595" w:rsidP="00487595"/>
    <w:p w14:paraId="514D1979" w14:textId="63B8E692" w:rsidR="00AB33AB" w:rsidRDefault="00AB33AB" w:rsidP="002D719B">
      <w:r>
        <w:t xml:space="preserve">The Senate Committee on Health, Education, Labor, and Pensions (HELP) advanced multiple pieces of legislation on Thursday, including a bill that would prohibit </w:t>
      </w:r>
      <w:r w:rsidR="002D719B">
        <w:t xml:space="preserve">the U.S. Department of Education (ED) </w:t>
      </w:r>
      <w:r>
        <w:t>from carrying out interagency agreements (IAA) to transfer functions of four of its offices: the Office of Elementary and Secondary Education, the Office of Special Education and Rehabilitative Services (OSERS), the Office of Indian Education, and the Office of Postsecondary Education.</w:t>
      </w:r>
    </w:p>
    <w:p w14:paraId="26677F16" w14:textId="77777777" w:rsidR="00AB33AB" w:rsidRDefault="00AB33AB" w:rsidP="00AB33AB"/>
    <w:p w14:paraId="15D72867" w14:textId="7FDE7E1F" w:rsidR="00AB33AB" w:rsidRDefault="00AB33AB" w:rsidP="00AB33AB">
      <w:r>
        <w:t xml:space="preserve">The IAA legislation, </w:t>
      </w:r>
      <w:hyperlink r:id="rId8" w:tooltip="Read S. 5046" w:history="1">
        <w:r w:rsidRPr="005823C7">
          <w:rPr>
            <w:rStyle w:val="Hyperlink"/>
          </w:rPr>
          <w:t>S. 5046</w:t>
        </w:r>
      </w:hyperlink>
      <w:r>
        <w:t>, advanced out of the Committee with some bipartisan support in a 13-9 vote. Two Republicans supported the bill, Senators Susan Collins (R-ME) and Lisa Murkowski (R-AK). Both senators also played a key role in negotiations with Senator</w:t>
      </w:r>
      <w:r w:rsidR="00753153">
        <w:t>s</w:t>
      </w:r>
      <w:r>
        <w:t xml:space="preserve"> Tim Kaine (D-VA), Maggie Hassan (D-NH), and Tammy Baldwin (D-WI) to draft the legislation. An </w:t>
      </w:r>
      <w:hyperlink r:id="rId9" w:tooltip="Read the Murray amendment" w:history="1">
        <w:r w:rsidRPr="005823C7">
          <w:rPr>
            <w:rStyle w:val="Hyperlink"/>
          </w:rPr>
          <w:t>amendment</w:t>
        </w:r>
      </w:hyperlink>
      <w:r>
        <w:t xml:space="preserve"> offered by Senator Patty Murray (D-WA) to require the Secretary of Education to report to Congress and make publicly available information on the cost of implementing each IAA was adopted. During her comments on the legislation, Collins stated that covered programs should remain where Congress intentionally placed them, referring to Congress’ 1979 passage of the Department of Education Organization Act, which established the agency. In addition, Collins noted that as demonstrated by the IAA to shift OSERS functions, </w:t>
      </w:r>
      <w:r w:rsidR="002101A3">
        <w:t xml:space="preserve">ED under </w:t>
      </w:r>
      <w:r>
        <w:t xml:space="preserve">the Trump administration “fundamentally misunderstands” the intent of the Individuals with Disabilities Education Act. Cassidy made similar comments on the OSERS IAA during discussion on his legislation, the Special Education </w:t>
      </w:r>
      <w:proofErr w:type="gramStart"/>
      <w:r>
        <w:t>Administration Protection</w:t>
      </w:r>
      <w:proofErr w:type="gramEnd"/>
      <w:r>
        <w:t xml:space="preserve"> Act, stating that transferring functions to HHS would wrongfully shift the special education model to be </w:t>
      </w:r>
      <w:proofErr w:type="gramStart"/>
      <w:r>
        <w:t>medically-focused</w:t>
      </w:r>
      <w:proofErr w:type="gramEnd"/>
      <w:r>
        <w:t>, instead of education- and civil rights-centered. Cassidy’s legislation was ultimately pulled from consideration, as S. 5046</w:t>
      </w:r>
      <w:r w:rsidR="00461A7F">
        <w:t xml:space="preserve"> also</w:t>
      </w:r>
      <w:r>
        <w:t xml:space="preserve"> incorporated the special education IAA prohibition</w:t>
      </w:r>
      <w:r w:rsidR="00753153">
        <w:t xml:space="preserve">. </w:t>
      </w:r>
      <w:r>
        <w:t xml:space="preserve">Cassidy stated during the markup that he opposes the OSERS IAA but does support other IAAs that ED is implementing. In discussing her </w:t>
      </w:r>
      <w:r>
        <w:lastRenderedPageBreak/>
        <w:t xml:space="preserve">support for the bill, Murkowski raised concerns from tribal populations in her State of Alaska, who were not consulted as part of ED’s decision to enter into these agreements. </w:t>
      </w:r>
    </w:p>
    <w:p w14:paraId="1FE50E20" w14:textId="77777777" w:rsidR="00AB33AB" w:rsidRDefault="00AB33AB" w:rsidP="00AB33AB"/>
    <w:p w14:paraId="7A35AB0A" w14:textId="2F54E05E" w:rsidR="00AB33AB" w:rsidRDefault="00AB33AB" w:rsidP="00AB33AB">
      <w:r>
        <w:t xml:space="preserve">Following today’s markup, </w:t>
      </w:r>
      <w:r w:rsidR="002D719B">
        <w:t>ED</w:t>
      </w:r>
      <w:r>
        <w:t xml:space="preserve"> made public a lengthy </w:t>
      </w:r>
      <w:hyperlink r:id="rId10" w:tooltip="Read ED's letter to Congress" w:history="1">
        <w:r w:rsidRPr="00696629">
          <w:rPr>
            <w:rStyle w:val="Hyperlink"/>
          </w:rPr>
          <w:t>letter</w:t>
        </w:r>
      </w:hyperlink>
      <w:r>
        <w:t xml:space="preserve"> </w:t>
      </w:r>
      <w:r w:rsidR="002D719B">
        <w:t>that the Secretary of Education and the leaders of agencies ED is partnering with</w:t>
      </w:r>
      <w:r>
        <w:t xml:space="preserve"> submitted to Congressional leadership arguing that the IAAs have been beneficial. ED highlights that certain programs have received “record-breaking” numbers of grant applications and that operations are being streamlined. The letter also states that ED held the “largest tribal consultation in its history</w:t>
      </w:r>
      <w:r w:rsidR="002D719B">
        <w:t xml:space="preserve">” – an action that </w:t>
      </w:r>
      <w:r>
        <w:t xml:space="preserve">was likely highlighted </w:t>
      </w:r>
      <w:r w:rsidR="00164C79">
        <w:t xml:space="preserve">as a </w:t>
      </w:r>
      <w:r>
        <w:t>response to the concerns raised by Murkowski. The letter closes out by “</w:t>
      </w:r>
      <w:proofErr w:type="spellStart"/>
      <w:r>
        <w:t>reiterat</w:t>
      </w:r>
      <w:proofErr w:type="spellEnd"/>
      <w:r>
        <w:t>[</w:t>
      </w:r>
      <w:proofErr w:type="spellStart"/>
      <w:r>
        <w:t>ing</w:t>
      </w:r>
      <w:proofErr w:type="spellEnd"/>
      <w:r>
        <w:t xml:space="preserve">] the President’s promise to wind down the Department of Education and return authority over education to the States, including by transferring programs to other agencies that can deliver better results.” </w:t>
      </w:r>
    </w:p>
    <w:p w14:paraId="77234736" w14:textId="77777777" w:rsidR="00AB33AB" w:rsidRDefault="00AB33AB" w:rsidP="00AB33AB"/>
    <w:p w14:paraId="77EFA49A" w14:textId="00131542" w:rsidR="00AB33AB" w:rsidRDefault="00AB33AB" w:rsidP="00AB33AB">
      <w:r>
        <w:t xml:space="preserve">The Committee advanced several other pieces of legislation impacting K-12 and higher education as well, including </w:t>
      </w:r>
      <w:hyperlink r:id="rId11" w:tooltip="View the READ Act" w:history="1">
        <w:r w:rsidRPr="005823C7">
          <w:rPr>
            <w:rStyle w:val="Hyperlink"/>
          </w:rPr>
          <w:t>the Reading Excellence and Achievement for Development (READ) Act</w:t>
        </w:r>
      </w:hyperlink>
      <w:r>
        <w:t xml:space="preserve">, </w:t>
      </w:r>
      <w:hyperlink r:id="rId12" w:tooltip="Read the College Transparency Act" w:history="1">
        <w:r w:rsidRPr="005823C7">
          <w:rPr>
            <w:rStyle w:val="Hyperlink"/>
          </w:rPr>
          <w:t>the College Transparency Act</w:t>
        </w:r>
      </w:hyperlink>
      <w:r>
        <w:t xml:space="preserve">, </w:t>
      </w:r>
      <w:hyperlink r:id="rId13" w:tooltip="Read the RISE Act" w:history="1">
        <w:r w:rsidRPr="005823C7">
          <w:rPr>
            <w:rStyle w:val="Hyperlink"/>
          </w:rPr>
          <w:t>the Respond, Innovate, Succeed, and Empower (RISE) Act</w:t>
        </w:r>
      </w:hyperlink>
      <w:r>
        <w:t xml:space="preserve">, and </w:t>
      </w:r>
      <w:hyperlink r:id="rId14" w:tooltip="Read the State-Based Education Loan Awareness Act" w:history="1">
        <w:r w:rsidRPr="005823C7">
          <w:rPr>
            <w:rStyle w:val="Hyperlink"/>
          </w:rPr>
          <w:t>the State-Based Education Loan Awareness Act</w:t>
        </w:r>
      </w:hyperlink>
      <w:r>
        <w:t xml:space="preserve">, which were all approved with bipartisan support. Another bill, </w:t>
      </w:r>
      <w:hyperlink r:id="rId15" w:tooltip="Read the 21st Century Dyslexia Act" w:history="1">
        <w:r w:rsidRPr="005823C7">
          <w:rPr>
            <w:rStyle w:val="Hyperlink"/>
          </w:rPr>
          <w:t>the 21</w:t>
        </w:r>
        <w:r w:rsidRPr="005823C7">
          <w:rPr>
            <w:rStyle w:val="Hyperlink"/>
            <w:vertAlign w:val="superscript"/>
          </w:rPr>
          <w:t>st</w:t>
        </w:r>
        <w:r w:rsidRPr="005823C7">
          <w:rPr>
            <w:rStyle w:val="Hyperlink"/>
          </w:rPr>
          <w:t xml:space="preserve"> Century Dyslexia Act</w:t>
        </w:r>
      </w:hyperlink>
      <w:r>
        <w:t xml:space="preserve">, which would create a new definition for dyslexia in the IDEA, advanced mostly along party lines. </w:t>
      </w:r>
    </w:p>
    <w:p w14:paraId="2E8D5C1A" w14:textId="77777777" w:rsidR="00AB33AB" w:rsidRDefault="00AB33AB" w:rsidP="00AB33AB"/>
    <w:p w14:paraId="3F8A9F75" w14:textId="6704646B" w:rsidR="00AB33AB" w:rsidRDefault="00AB33AB" w:rsidP="00AB33AB">
      <w:r>
        <w:t>Finally, the Committee considered some Trump administration nominations, which were originally set to be voted on last week. Thursday’s vote included advancement of Keith Sonderling’s nomination to serve as the Secretary of Labor to the full Senate for consideration. Sonderling is currently serving in that role in an acting capacity.</w:t>
      </w:r>
    </w:p>
    <w:p w14:paraId="32399B37" w14:textId="77777777" w:rsidR="00AB33AB" w:rsidRDefault="00AB33AB" w:rsidP="00AB33AB"/>
    <w:p w14:paraId="44141A8E" w14:textId="2930D87E" w:rsidR="00AB33AB" w:rsidRDefault="00AB33AB" w:rsidP="00AB33AB">
      <w:r>
        <w:t>The legislation approved by the Committee this week, including the IAA bill, must now face a vote in the full Senate. It is unclear whether the IAA legislation, or other bills, will pass the Senate. However, even if the IAA legislation is approved, it likely faces significant challenges in the Republican-controlled House. The House Committee on Education and Workforce advanced legislation last month that is at odds with the Senate bill and would codify 10 of ED’s IAAs (though the House bills do not include the OSERS IAA). In the meantime, ED is moving forward with implementation of its IAAs</w:t>
      </w:r>
      <w:r w:rsidR="002D719B">
        <w:t xml:space="preserve"> and has continued to shift offices to DOL and other agencies</w:t>
      </w:r>
      <w:r>
        <w:t>.</w:t>
      </w:r>
    </w:p>
    <w:p w14:paraId="6DB943C1" w14:textId="3B54C651" w:rsidR="00DC3E48" w:rsidRDefault="00DC3E48" w:rsidP="00DC3E48"/>
    <w:p w14:paraId="2DE26B04" w14:textId="3C72E707" w:rsidR="00AB33AB" w:rsidRDefault="00AB33AB" w:rsidP="00DC3E48">
      <w:r>
        <w:t>Author: KSC</w:t>
      </w:r>
    </w:p>
    <w:p w14:paraId="22A6F2EE" w14:textId="77777777" w:rsidR="00AB33AB" w:rsidRDefault="00AB33AB" w:rsidP="00DC3E48"/>
    <w:p w14:paraId="5FF40BD0" w14:textId="77777777" w:rsidR="005131CC" w:rsidRDefault="005131CC" w:rsidP="00751176">
      <w:pPr>
        <w:pStyle w:val="Heading3"/>
        <w:jc w:val="left"/>
      </w:pPr>
      <w:r>
        <w:lastRenderedPageBreak/>
        <w:t>OCTAE Issues Guidance on Defend the Spend</w:t>
      </w:r>
    </w:p>
    <w:p w14:paraId="5F82ECBB" w14:textId="77777777" w:rsidR="005131CC" w:rsidRDefault="005131CC" w:rsidP="005131CC"/>
    <w:p w14:paraId="307626B8" w14:textId="4D0DC071" w:rsidR="005131CC" w:rsidRDefault="005131CC" w:rsidP="005131CC">
      <w:r>
        <w:t>More than 10 months after Perkins Career and Technical Education and Adult Education grants were transferr</w:t>
      </w:r>
      <w:r w:rsidR="00AB26B7">
        <w:t>ed</w:t>
      </w:r>
      <w:r>
        <w:t xml:space="preserve"> to the U.S. Department of Labor’s (DOL’s) Employment and Training Administration (ETA), the U.S. Department of Education (ED) has </w:t>
      </w:r>
      <w:hyperlink r:id="rId16" w:tooltip="Read the guidance letter" w:history="1">
        <w:r w:rsidRPr="00130E13">
          <w:rPr>
            <w:rStyle w:val="Hyperlink"/>
          </w:rPr>
          <w:t>issued guidance</w:t>
        </w:r>
      </w:hyperlink>
      <w:r>
        <w:t xml:space="preserve"> on how grantees should comply with DOL’s Defend the Spend requirements. </w:t>
      </w:r>
    </w:p>
    <w:p w14:paraId="0022C33A" w14:textId="77777777" w:rsidR="005131CC" w:rsidRDefault="005131CC" w:rsidP="005131CC"/>
    <w:p w14:paraId="3FB839DC" w14:textId="573A7E3A" w:rsidR="005131CC" w:rsidRDefault="005131CC" w:rsidP="005131CC">
      <w:r>
        <w:t xml:space="preserve">DOL participates in a government initiative known as Defend the Spend (DTS), which was established by Executive Order last year to ensure transparency in the spending of federal funds. Under that initiative, grantees must submit a written justification with each of </w:t>
      </w:r>
      <w:r w:rsidR="007C51C7">
        <w:t xml:space="preserve">their </w:t>
      </w:r>
      <w:r>
        <w:t xml:space="preserve">drawdown requests. As grants have been shifted to DOL for “co-administration,” education grantees have been required to comply with these new drawdown requirements for certain programs. </w:t>
      </w:r>
    </w:p>
    <w:p w14:paraId="65A9E439" w14:textId="77777777" w:rsidR="005131CC" w:rsidRDefault="005131CC" w:rsidP="005131CC"/>
    <w:p w14:paraId="19907EAC" w14:textId="4B34E378" w:rsidR="005131CC" w:rsidRDefault="005131CC" w:rsidP="005131CC">
      <w:r>
        <w:t>ED’s Office of Career, Technical, and Adult Education (OCTAE) sent a letter to State Directors on July 27</w:t>
      </w:r>
      <w:r w:rsidRPr="000D34D6">
        <w:rPr>
          <w:vertAlign w:val="superscript"/>
        </w:rPr>
        <w:t>th</w:t>
      </w:r>
      <w:r>
        <w:t xml:space="preserve"> that outlines the required written justification information grantees must submit as part of their drawdown requests, including program name, expense category, amount of funding, and the date range for the cost. In addition, the letter emphasizes that submissions should be succinct while addressing all required components. Grantees are limited to 255 characters. The guidance also provides examples of compliant written justifications, and states that “</w:t>
      </w:r>
      <w:r w:rsidR="007C51C7">
        <w:t>[g]</w:t>
      </w:r>
      <w:proofErr w:type="spellStart"/>
      <w:r w:rsidRPr="00F63BEC">
        <w:t>rantees</w:t>
      </w:r>
      <w:proofErr w:type="spellEnd"/>
      <w:r w:rsidRPr="00F63BEC">
        <w:t xml:space="preserve"> who have followed the guidance above will experience no delays in accessing funds</w:t>
      </w:r>
      <w:r>
        <w:t xml:space="preserve">.” If additional information or edits are required, a program officer will reach out to the appropriate State contact. </w:t>
      </w:r>
    </w:p>
    <w:p w14:paraId="59188E96" w14:textId="77777777" w:rsidR="005131CC" w:rsidRDefault="005131CC" w:rsidP="005131CC"/>
    <w:p w14:paraId="5758467A" w14:textId="217D259C" w:rsidR="005131CC" w:rsidRDefault="005131CC" w:rsidP="005131CC">
      <w:r>
        <w:t>The OCTAE guidance is notably different from guidance issued by ETA in December, which is the division co-administering Perkins and Adult Education grants. The guidance provided by OCTAE requests pared back responses, whereas the examples provided in ETA’s December guidance were written in a longer narrative format. In addition, the ETA guidance provided grantees a much higher character limit for the justifications.</w:t>
      </w:r>
    </w:p>
    <w:p w14:paraId="05A4E1F5" w14:textId="77777777" w:rsidR="005131CC" w:rsidRDefault="005131CC" w:rsidP="005131CC"/>
    <w:p w14:paraId="7094A6C9" w14:textId="5C53D004" w:rsidR="005131CC" w:rsidRDefault="005131CC" w:rsidP="005131CC">
      <w:r>
        <w:t>Moving forward, all Perkins and Adult Education grantees should follow the guidelines set out in this week’s new guidance. It is unclear whether the same guidance will apply to other education programs, like those under the Elementary and Secondary Education Act, once th</w:t>
      </w:r>
      <w:r w:rsidR="007C51C7">
        <w:t>ose</w:t>
      </w:r>
      <w:r>
        <w:t xml:space="preserve"> funds shift to DOL. </w:t>
      </w:r>
    </w:p>
    <w:p w14:paraId="3025EED4" w14:textId="77777777" w:rsidR="005131CC" w:rsidRDefault="005131CC" w:rsidP="005131CC"/>
    <w:p w14:paraId="1E4020B9" w14:textId="16600B76" w:rsidR="009B24D0" w:rsidRDefault="005131CC" w:rsidP="009B24D0">
      <w:r>
        <w:t>Author: KSC</w:t>
      </w:r>
    </w:p>
    <w:p w14:paraId="14C70D54" w14:textId="73273686" w:rsidR="00A12279" w:rsidRPr="00751176" w:rsidRDefault="00A12279" w:rsidP="00751176">
      <w:pPr>
        <w:pStyle w:val="Heading2"/>
        <w:pBdr>
          <w:bottom w:val="single" w:sz="6" w:space="1" w:color="auto"/>
        </w:pBdr>
        <w:spacing w:before="240"/>
        <w:rPr>
          <w:rFonts w:ascii="Noticia Text" w:hAnsi="Noticia Text"/>
          <w:smallCaps/>
          <w:sz w:val="36"/>
          <w:szCs w:val="32"/>
        </w:rPr>
      </w:pPr>
      <w:r w:rsidRPr="00751176">
        <w:rPr>
          <w:rFonts w:ascii="Noticia Text" w:hAnsi="Noticia Text"/>
          <w:smallCaps/>
          <w:sz w:val="36"/>
          <w:szCs w:val="32"/>
        </w:rPr>
        <w:lastRenderedPageBreak/>
        <w:t>News</w:t>
      </w:r>
    </w:p>
    <w:p w14:paraId="45B1FFD8" w14:textId="77777777" w:rsidR="00A12279" w:rsidRDefault="00A12279" w:rsidP="00A12279"/>
    <w:p w14:paraId="66368AC2" w14:textId="3D93DBAA" w:rsidR="00856283" w:rsidRDefault="00D206B6" w:rsidP="00751176">
      <w:pPr>
        <w:pStyle w:val="Heading3"/>
        <w:jc w:val="left"/>
      </w:pPr>
      <w:r>
        <w:t>Children’s Safety Advocates Urge Caution on Tech Bill</w:t>
      </w:r>
    </w:p>
    <w:p w14:paraId="100DCEE9" w14:textId="77777777" w:rsidR="00D206B6" w:rsidRDefault="00D206B6" w:rsidP="00D206B6"/>
    <w:p w14:paraId="134BB7FC" w14:textId="62C29236" w:rsidR="004F39E6" w:rsidRDefault="004F39E6" w:rsidP="004F39E6">
      <w:r>
        <w:t xml:space="preserve">A group of children’s media advocacy organizations has written to the Senate Commerce Committee expressing concern about online safety. The groups note that they supported safety legislation passed by the Senate in 2024, but that recently revealed information about the ways in which social media algorithms are programmed has increased concern </w:t>
      </w:r>
      <w:r w:rsidR="00991CE9">
        <w:t>about their use</w:t>
      </w:r>
      <w:r>
        <w:t>.</w:t>
      </w:r>
    </w:p>
    <w:p w14:paraId="261D0ED5" w14:textId="77777777" w:rsidR="004F39E6" w:rsidRDefault="004F39E6" w:rsidP="004F39E6"/>
    <w:p w14:paraId="0EBB662D" w14:textId="0AC2E7FF" w:rsidR="007C51C7" w:rsidRDefault="004F39E6" w:rsidP="004F39E6">
      <w:r>
        <w:t>The letter argues that House-passed digital safety legislation falls short of actually protecting children because it lacks the teeth to meaningfully enforce safety</w:t>
      </w:r>
      <w:r w:rsidR="00477F74">
        <w:t>. The letter also argues that the bill</w:t>
      </w:r>
      <w:r>
        <w:t xml:space="preserve"> would “immunize platforms from accountability for the design choices…that drive documented harms to young people.” Instead, they ask that the Committee consider legislation that imposes an enforceable “duty of care,” allows State regulation of AI rather than preempting it, and sets a floor for State policies rather than capping penalties or protections.</w:t>
      </w:r>
      <w:r w:rsidR="007C51C7">
        <w:t xml:space="preserve"> A number of conservative-leaning parents’ rights groups, including Moms for Liberty, also joined in the call for strong “duty of care” provisions in a letter to senators on Thursday.</w:t>
      </w:r>
    </w:p>
    <w:p w14:paraId="6E92297C" w14:textId="77777777" w:rsidR="004F39E6" w:rsidRDefault="004F39E6" w:rsidP="004F39E6"/>
    <w:p w14:paraId="10249BA6" w14:textId="43CEC617" w:rsidR="004F39E6" w:rsidRDefault="004F39E6" w:rsidP="004F39E6">
      <w:r>
        <w:t xml:space="preserve">The Committee had planned to consider its own online safety bill this </w:t>
      </w:r>
      <w:proofErr w:type="gramStart"/>
      <w:r>
        <w:t>week, but</w:t>
      </w:r>
      <w:proofErr w:type="gramEnd"/>
      <w:r>
        <w:t xml:space="preserve"> delayed the markup to next week or later in an effort to continue negotiations.</w:t>
      </w:r>
    </w:p>
    <w:p w14:paraId="7192EA96" w14:textId="77777777" w:rsidR="004F39E6" w:rsidRDefault="004F39E6" w:rsidP="004F39E6"/>
    <w:p w14:paraId="6773DC56" w14:textId="688DCDEB" w:rsidR="004F39E6" w:rsidRDefault="004F39E6" w:rsidP="004F39E6">
      <w:hyperlink r:id="rId17" w:tooltip="Read the letter to Congress on online safety" w:history="1">
        <w:r w:rsidRPr="00442524">
          <w:rPr>
            <w:rStyle w:val="Hyperlink"/>
          </w:rPr>
          <w:t>The letter is here</w:t>
        </w:r>
      </w:hyperlink>
      <w:r>
        <w:t>.</w:t>
      </w:r>
    </w:p>
    <w:p w14:paraId="728D9E11" w14:textId="77777777" w:rsidR="004F39E6" w:rsidRDefault="004F39E6" w:rsidP="004F39E6"/>
    <w:p w14:paraId="0D09008E" w14:textId="1695E9E1" w:rsidR="00D206B6" w:rsidRPr="00D206B6" w:rsidRDefault="004F39E6" w:rsidP="00D206B6">
      <w:r>
        <w:t>Author: JCM</w:t>
      </w:r>
    </w:p>
    <w:p w14:paraId="1A4B4861" w14:textId="1D0FC56A" w:rsidR="003D7956" w:rsidRDefault="00172559" w:rsidP="00751176">
      <w:pPr>
        <w:pStyle w:val="Heading2"/>
        <w:pBdr>
          <w:bottom w:val="single" w:sz="6" w:space="1" w:color="auto"/>
        </w:pBdr>
        <w:spacing w:before="240"/>
      </w:pPr>
      <w:r w:rsidRPr="00751176">
        <w:rPr>
          <w:rFonts w:ascii="Noticia Text" w:hAnsi="Noticia Text"/>
          <w:smallCaps/>
          <w:sz w:val="36"/>
          <w:szCs w:val="32"/>
        </w:rPr>
        <w:t>O</w:t>
      </w:r>
      <w:r w:rsidR="00CB1542" w:rsidRPr="00751176">
        <w:rPr>
          <w:rFonts w:ascii="Noticia Text" w:hAnsi="Noticia Text"/>
          <w:smallCaps/>
          <w:sz w:val="36"/>
          <w:szCs w:val="32"/>
        </w:rPr>
        <w:t>t</w:t>
      </w:r>
      <w:r w:rsidRPr="00751176">
        <w:rPr>
          <w:rFonts w:ascii="Noticia Text" w:hAnsi="Noticia Text"/>
          <w:smallCaps/>
          <w:sz w:val="36"/>
          <w:szCs w:val="32"/>
        </w:rPr>
        <w:t>h</w:t>
      </w:r>
      <w:r w:rsidR="00A72286" w:rsidRPr="00751176">
        <w:rPr>
          <w:rFonts w:ascii="Noticia Text" w:hAnsi="Noticia Text"/>
          <w:smallCaps/>
          <w:sz w:val="36"/>
          <w:szCs w:val="32"/>
        </w:rPr>
        <w:t>e</w:t>
      </w:r>
      <w:r w:rsidRPr="00751176">
        <w:rPr>
          <w:rFonts w:ascii="Noticia Text" w:hAnsi="Noticia Text"/>
          <w:smallCaps/>
          <w:sz w:val="36"/>
          <w:szCs w:val="32"/>
        </w:rPr>
        <w:t xml:space="preserve">r </w:t>
      </w:r>
      <w:r w:rsidR="00CD52DA" w:rsidRPr="00751176">
        <w:rPr>
          <w:rFonts w:ascii="Noticia Text" w:hAnsi="Noticia Text"/>
          <w:smallCaps/>
          <w:sz w:val="36"/>
          <w:szCs w:val="32"/>
        </w:rPr>
        <w:t>Items</w:t>
      </w:r>
      <w:r w:rsidRPr="00751176">
        <w:rPr>
          <w:rFonts w:ascii="Noticia Text" w:hAnsi="Noticia Text"/>
          <w:smallCaps/>
          <w:sz w:val="36"/>
          <w:szCs w:val="32"/>
        </w:rPr>
        <w:t xml:space="preserve"> to Watch</w:t>
      </w:r>
    </w:p>
    <w:p w14:paraId="0E0A8406" w14:textId="77777777" w:rsidR="00A07C4A" w:rsidRDefault="00A07C4A" w:rsidP="00A07C4A"/>
    <w:p w14:paraId="488E1B43" w14:textId="2986AABC" w:rsidR="0063062C" w:rsidRDefault="0063062C" w:rsidP="0063062C">
      <w:r>
        <w:t xml:space="preserve">Last week the Department of Homeland Security (DHS) </w:t>
      </w:r>
      <w:hyperlink r:id="rId18" w:tooltip="View the public charge regulation public notice" w:history="1">
        <w:r w:rsidRPr="007C310A">
          <w:rPr>
            <w:rStyle w:val="Hyperlink"/>
          </w:rPr>
          <w:t>issued a final immigration regulation known as the “public charge” rule</w:t>
        </w:r>
      </w:hyperlink>
      <w:r>
        <w:t xml:space="preserve">. The rule defines how immigration officers are able to weigh an immigrant’s participation in publicly funded benefit programs in determining whether they should obtain permanent residency. The new rule </w:t>
      </w:r>
      <w:proofErr w:type="gramStart"/>
      <w:r>
        <w:t>gives officials</w:t>
      </w:r>
      <w:proofErr w:type="gramEnd"/>
      <w:r>
        <w:t xml:space="preserve"> broad discretion to consider participation in all public benefits, including school meal programs. This move has drawn criticism from advocates who say it will discourage families from access</w:t>
      </w:r>
      <w:r w:rsidR="0023196F">
        <w:t>ing</w:t>
      </w:r>
      <w:r>
        <w:t xml:space="preserve"> the meals their children need. DHS argues that the rule will not </w:t>
      </w:r>
      <w:r>
        <w:lastRenderedPageBreak/>
        <w:t>prohibit anyone from obtaining benefits if they are eligible.</w:t>
      </w:r>
    </w:p>
    <w:p w14:paraId="3C787D8F" w14:textId="77777777" w:rsidR="0063062C" w:rsidRDefault="0063062C" w:rsidP="0063062C"/>
    <w:p w14:paraId="0EB8A9F7" w14:textId="41A363E3" w:rsidR="0063062C" w:rsidRDefault="0063062C" w:rsidP="0063062C">
      <w:r>
        <w:t xml:space="preserve">Staff from the </w:t>
      </w:r>
      <w:r w:rsidR="006465CE">
        <w:t xml:space="preserve">U.S. </w:t>
      </w:r>
      <w:r>
        <w:t xml:space="preserve">Department of Education’s Office of Federal Student Aid (FSA) will move to the Treasury building after August 17th, </w:t>
      </w:r>
      <w:hyperlink r:id="rId19" w:tooltip="View Inside Higher Ed article on the move" w:history="1">
        <w:r w:rsidRPr="00926060">
          <w:rPr>
            <w:rStyle w:val="Hyperlink"/>
          </w:rPr>
          <w:t>according to reports</w:t>
        </w:r>
      </w:hyperlink>
      <w:r>
        <w:t>. Staff had initially been expected to move into the now-vacant USAID building. However</w:t>
      </w:r>
      <w:r w:rsidR="000E17A1">
        <w:t>,</w:t>
      </w:r>
      <w:r>
        <w:t xml:space="preserve"> moving to Treasury aligns with the administration’s goal of shifting responsibility for managing student loans to Treasury. Congress has yet to formally approve the move, but ED can likely still begin without that approval.</w:t>
      </w:r>
    </w:p>
    <w:p w14:paraId="09496BA4" w14:textId="77777777" w:rsidR="00ED572A" w:rsidRDefault="00ED572A" w:rsidP="0063062C"/>
    <w:p w14:paraId="6583760B" w14:textId="2B8C3D24" w:rsidR="008F3AB5" w:rsidRDefault="00ED572A" w:rsidP="000400C5">
      <w:r w:rsidRPr="00ED572A">
        <w:t xml:space="preserve">Along with the other actions impacting Title VI regulations last week, the U.S. Department of Education (ED) </w:t>
      </w:r>
      <w:r w:rsidR="00710BC0">
        <w:t xml:space="preserve">recently </w:t>
      </w:r>
      <w:hyperlink r:id="rId20" w:tooltip="View the proposed rescission notice" w:history="1">
        <w:r w:rsidRPr="00ED572A">
          <w:rPr>
            <w:rStyle w:val="Hyperlink"/>
          </w:rPr>
          <w:t>proposed rescinding regulations</w:t>
        </w:r>
      </w:hyperlink>
      <w:r w:rsidRPr="00ED572A">
        <w:t xml:space="preserve"> establishing the Equity Assistance Center Program, which provides technical assistance to schools </w:t>
      </w:r>
      <w:r w:rsidR="000E17A1">
        <w:t xml:space="preserve">regarding </w:t>
      </w:r>
      <w:r w:rsidR="00F03298">
        <w:t>desegregati</w:t>
      </w:r>
      <w:r w:rsidR="000E17A1">
        <w:t>on</w:t>
      </w:r>
      <w:r w:rsidRPr="00ED572A">
        <w:t xml:space="preserve">. ED wrote that rescinding the regulations would enable it to “provide technical assistance activities with current priorities and needs to best achieve the intent of Title IV.” With all of the actions impacting Title VI enforcement, critics are concerned about ED’s evolving approach to civil rights enforcement. </w:t>
      </w:r>
    </w:p>
    <w:p w14:paraId="37CCDB74" w14:textId="77777777" w:rsidR="00E23496" w:rsidRDefault="00E23496" w:rsidP="00B97169"/>
    <w:p w14:paraId="04CFEE8B" w14:textId="58796524"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37288638" w:rsidR="00C769A4" w:rsidRDefault="00201433" w:rsidP="2193F663">
      <w:pPr>
        <w:spacing w:before="240" w:after="240"/>
        <w:rPr>
          <w:rFonts w:eastAsia="Times New Roman" w:cs="Arial"/>
        </w:rPr>
      </w:pPr>
      <w:r w:rsidRPr="71338862">
        <w:rPr>
          <w:rFonts w:eastAsia="Times New Roman" w:cs="Arial"/>
        </w:rPr>
        <w:t>Contributors:</w:t>
      </w:r>
      <w:r w:rsidR="0063062C">
        <w:rPr>
          <w:rFonts w:eastAsia="Times New Roman" w:cs="Arial"/>
        </w:rPr>
        <w:t xml:space="preserve"> Julia Martin,</w:t>
      </w:r>
      <w:r w:rsidR="00122E05" w:rsidRPr="71338862">
        <w:rPr>
          <w:rFonts w:eastAsia="Times New Roman" w:cs="Arial"/>
        </w:rPr>
        <w:t xml:space="preserve"> </w:t>
      </w:r>
      <w:r w:rsidR="00A81C1E">
        <w:rPr>
          <w:rFonts w:eastAsia="Times New Roman" w:cs="Arial"/>
        </w:rPr>
        <w:t>Kelly Christiansen</w:t>
      </w:r>
      <w:r w:rsidR="000C7544">
        <w:rPr>
          <w:rFonts w:eastAsia="Times New Roman" w:cs="Arial"/>
        </w:rPr>
        <w:t>, Brandi Wills</w:t>
      </w:r>
    </w:p>
    <w:p w14:paraId="43939C2B" w14:textId="77777777" w:rsidR="00751176" w:rsidRDefault="00751176" w:rsidP="00751176">
      <w:pPr>
        <w:spacing w:before="240" w:after="240"/>
        <w:rPr>
          <w:rFonts w:eastAsia="Times New Roman" w:cs="Arial"/>
        </w:rPr>
      </w:pPr>
      <w:r w:rsidRPr="00C571F1">
        <w:rPr>
          <w:rFonts w:eastAsia="Times New Roman" w:cs="Arial"/>
        </w:rPr>
        <w:t>Posted by the California Department of Education, July 2026</w:t>
      </w:r>
    </w:p>
    <w:p w14:paraId="303A31C2" w14:textId="77777777" w:rsidR="00751176" w:rsidRDefault="00751176" w:rsidP="2193F663">
      <w:pPr>
        <w:spacing w:before="240" w:after="240"/>
        <w:rPr>
          <w:rFonts w:eastAsia="Times New Roman" w:cs="Arial"/>
        </w:rPr>
      </w:pPr>
    </w:p>
    <w:sectPr w:rsidR="00751176" w:rsidSect="00A11D40">
      <w:headerReference w:type="default" r:id="rId21"/>
      <w:footerReference w:type="default" r:id="rId22"/>
      <w:footerReference w:type="first" r:id="rId23"/>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FC3E2" w14:textId="77777777" w:rsidR="00521E0D" w:rsidRDefault="00521E0D">
      <w:r>
        <w:separator/>
      </w:r>
    </w:p>
  </w:endnote>
  <w:endnote w:type="continuationSeparator" w:id="0">
    <w:p w14:paraId="2BD794CD" w14:textId="77777777" w:rsidR="00521E0D" w:rsidRDefault="00521E0D">
      <w:r>
        <w:continuationSeparator/>
      </w:r>
    </w:p>
  </w:endnote>
  <w:endnote w:type="continuationNotice" w:id="1">
    <w:p w14:paraId="6E5D180E" w14:textId="77777777" w:rsidR="00521E0D" w:rsidRDefault="00521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5152A7" w:rsidRDefault="005152A7">
    <w:pPr>
      <w:pStyle w:val="Footer"/>
      <w:jc w:val="right"/>
    </w:pPr>
  </w:p>
  <w:p w14:paraId="6A515586" w14:textId="77777777" w:rsidR="005152A7" w:rsidRPr="00F1693E" w:rsidRDefault="005152A7" w:rsidP="00F62BBA">
    <w:pPr>
      <w:jc w:val="center"/>
    </w:pPr>
    <w:hyperlink r:id="rId1" w:history="1">
      <w:r w:rsidRPr="00DD3944">
        <w:rPr>
          <w:rStyle w:val="Hyperlink"/>
        </w:rPr>
        <w:t>www.bruman.com</w:t>
      </w:r>
    </w:hyperlink>
  </w:p>
  <w:p w14:paraId="07EFC3ED" w14:textId="5F0537DC" w:rsidR="005152A7" w:rsidRPr="000D1533" w:rsidRDefault="005152A7">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152A7" w:rsidRPr="00F1693E" w:rsidRDefault="005152A7" w:rsidP="00F1693E">
    <w:pPr>
      <w:jc w:val="center"/>
    </w:pPr>
    <w:hyperlink r:id="rId1" w:history="1">
      <w:r w:rsidRPr="00DD3944">
        <w:rPr>
          <w:rStyle w:val="Hyperlink"/>
        </w:rPr>
        <w:t>www.bruman.com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7134F" w14:textId="77777777" w:rsidR="00521E0D" w:rsidRDefault="00521E0D">
      <w:r>
        <w:separator/>
      </w:r>
    </w:p>
  </w:footnote>
  <w:footnote w:type="continuationSeparator" w:id="0">
    <w:p w14:paraId="17E05279" w14:textId="77777777" w:rsidR="00521E0D" w:rsidRDefault="00521E0D">
      <w:r>
        <w:continuationSeparator/>
      </w:r>
    </w:p>
  </w:footnote>
  <w:footnote w:type="continuationNotice" w:id="1">
    <w:p w14:paraId="1650AC31" w14:textId="77777777" w:rsidR="00521E0D" w:rsidRDefault="00521E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5152A7" w:rsidRPr="00B50AD1" w:rsidRDefault="005152A7"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617CBA99" w:rsidR="005152A7" w:rsidRPr="001767D4" w:rsidRDefault="005152A7" w:rsidP="00B50AD1">
    <w:pPr>
      <w:pStyle w:val="NoSpacing"/>
      <w:tabs>
        <w:tab w:val="left" w:pos="7920"/>
      </w:tabs>
      <w:spacing w:after="240"/>
      <w:rPr>
        <w:b/>
        <w:bCs/>
      </w:rPr>
    </w:pPr>
    <w:r>
      <w:rPr>
        <w:rFonts w:ascii="Open Sans" w:hAnsi="Open Sans" w:cs="Open Sans"/>
        <w:b/>
        <w:bCs/>
      </w:rPr>
      <w:t xml:space="preserve">July </w:t>
    </w:r>
    <w:r w:rsidR="00ED572A">
      <w:rPr>
        <w:rFonts w:ascii="Open Sans" w:hAnsi="Open Sans" w:cs="Open Sans"/>
        <w:b/>
        <w:bCs/>
      </w:rPr>
      <w:t>31</w:t>
    </w:r>
    <w:r>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BB9"/>
    <w:rsid w:val="00005C33"/>
    <w:rsid w:val="00005F5A"/>
    <w:rsid w:val="00006377"/>
    <w:rsid w:val="000063CE"/>
    <w:rsid w:val="0000653B"/>
    <w:rsid w:val="00006757"/>
    <w:rsid w:val="00006BD0"/>
    <w:rsid w:val="00006CFC"/>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7025"/>
    <w:rsid w:val="000271F1"/>
    <w:rsid w:val="0002758A"/>
    <w:rsid w:val="00027A54"/>
    <w:rsid w:val="000301C7"/>
    <w:rsid w:val="000306D4"/>
    <w:rsid w:val="00030888"/>
    <w:rsid w:val="00030F77"/>
    <w:rsid w:val="0003104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0C5"/>
    <w:rsid w:val="0004027E"/>
    <w:rsid w:val="0004040C"/>
    <w:rsid w:val="000404C0"/>
    <w:rsid w:val="0004077A"/>
    <w:rsid w:val="000408A9"/>
    <w:rsid w:val="0004092B"/>
    <w:rsid w:val="00040C8E"/>
    <w:rsid w:val="000410C9"/>
    <w:rsid w:val="000416FA"/>
    <w:rsid w:val="000417DD"/>
    <w:rsid w:val="00041B30"/>
    <w:rsid w:val="00041C43"/>
    <w:rsid w:val="00041D3B"/>
    <w:rsid w:val="00041F29"/>
    <w:rsid w:val="00042B33"/>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1FF5"/>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A4F"/>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3F91"/>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3F7F"/>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CEB"/>
    <w:rsid w:val="000D1FAA"/>
    <w:rsid w:val="000D204A"/>
    <w:rsid w:val="000D214E"/>
    <w:rsid w:val="000D2341"/>
    <w:rsid w:val="000D25EF"/>
    <w:rsid w:val="000D298C"/>
    <w:rsid w:val="000D2B68"/>
    <w:rsid w:val="000D314D"/>
    <w:rsid w:val="000D3248"/>
    <w:rsid w:val="000D339F"/>
    <w:rsid w:val="000D3870"/>
    <w:rsid w:val="000D39B8"/>
    <w:rsid w:val="000D39EA"/>
    <w:rsid w:val="000D3A6F"/>
    <w:rsid w:val="000D3BDA"/>
    <w:rsid w:val="000D3F53"/>
    <w:rsid w:val="000D422B"/>
    <w:rsid w:val="000D464A"/>
    <w:rsid w:val="000D4B79"/>
    <w:rsid w:val="000D543B"/>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5D7"/>
    <w:rsid w:val="000E17A1"/>
    <w:rsid w:val="000E1A8A"/>
    <w:rsid w:val="000E1B8F"/>
    <w:rsid w:val="000E2239"/>
    <w:rsid w:val="000E245F"/>
    <w:rsid w:val="000E25AD"/>
    <w:rsid w:val="000E25EC"/>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B3D"/>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1DEB"/>
    <w:rsid w:val="00112468"/>
    <w:rsid w:val="00112709"/>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9A8"/>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3BE"/>
    <w:rsid w:val="00127450"/>
    <w:rsid w:val="00127508"/>
    <w:rsid w:val="00127604"/>
    <w:rsid w:val="00127F6A"/>
    <w:rsid w:val="001303AE"/>
    <w:rsid w:val="0013051C"/>
    <w:rsid w:val="00130E13"/>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7D2"/>
    <w:rsid w:val="001508DA"/>
    <w:rsid w:val="00150A63"/>
    <w:rsid w:val="00151DF7"/>
    <w:rsid w:val="00152236"/>
    <w:rsid w:val="0015224A"/>
    <w:rsid w:val="00152811"/>
    <w:rsid w:val="00152E73"/>
    <w:rsid w:val="00152EEE"/>
    <w:rsid w:val="0015316F"/>
    <w:rsid w:val="00153249"/>
    <w:rsid w:val="00153301"/>
    <w:rsid w:val="00153326"/>
    <w:rsid w:val="00153484"/>
    <w:rsid w:val="0015391F"/>
    <w:rsid w:val="00153CD3"/>
    <w:rsid w:val="00153FEA"/>
    <w:rsid w:val="00154DF6"/>
    <w:rsid w:val="0015520D"/>
    <w:rsid w:val="00155592"/>
    <w:rsid w:val="00156627"/>
    <w:rsid w:val="00156708"/>
    <w:rsid w:val="001568CE"/>
    <w:rsid w:val="00156A5B"/>
    <w:rsid w:val="00156AA4"/>
    <w:rsid w:val="00156BB1"/>
    <w:rsid w:val="00156E11"/>
    <w:rsid w:val="00156F5D"/>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1FE6"/>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C79"/>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5E31"/>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1A3"/>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27C7"/>
    <w:rsid w:val="00222B7F"/>
    <w:rsid w:val="00222EA0"/>
    <w:rsid w:val="00222ED3"/>
    <w:rsid w:val="0022338B"/>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30B"/>
    <w:rsid w:val="0023196F"/>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1A37"/>
    <w:rsid w:val="00241E52"/>
    <w:rsid w:val="00241FBD"/>
    <w:rsid w:val="00242105"/>
    <w:rsid w:val="002429CC"/>
    <w:rsid w:val="00242A4E"/>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254"/>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ACF"/>
    <w:rsid w:val="00251B6E"/>
    <w:rsid w:val="00251F0B"/>
    <w:rsid w:val="002521FA"/>
    <w:rsid w:val="00252796"/>
    <w:rsid w:val="00252951"/>
    <w:rsid w:val="00252FFF"/>
    <w:rsid w:val="00253074"/>
    <w:rsid w:val="0025307A"/>
    <w:rsid w:val="00253399"/>
    <w:rsid w:val="0025352E"/>
    <w:rsid w:val="00253D18"/>
    <w:rsid w:val="00253F40"/>
    <w:rsid w:val="00254058"/>
    <w:rsid w:val="002543B4"/>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8D4"/>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C64"/>
    <w:rsid w:val="00287FF2"/>
    <w:rsid w:val="002902F5"/>
    <w:rsid w:val="002904B0"/>
    <w:rsid w:val="00290631"/>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C18"/>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4EA5"/>
    <w:rsid w:val="002D5054"/>
    <w:rsid w:val="002D5361"/>
    <w:rsid w:val="002D5B29"/>
    <w:rsid w:val="002D5C8A"/>
    <w:rsid w:val="002D5EB5"/>
    <w:rsid w:val="002D6289"/>
    <w:rsid w:val="002D665D"/>
    <w:rsid w:val="002D6C55"/>
    <w:rsid w:val="002D719B"/>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0A"/>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5DB"/>
    <w:rsid w:val="003100DD"/>
    <w:rsid w:val="0031036F"/>
    <w:rsid w:val="003103A0"/>
    <w:rsid w:val="003106B8"/>
    <w:rsid w:val="003107F7"/>
    <w:rsid w:val="00310B16"/>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148"/>
    <w:rsid w:val="00331670"/>
    <w:rsid w:val="00331AE6"/>
    <w:rsid w:val="00331CD9"/>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998"/>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0D15"/>
    <w:rsid w:val="00391030"/>
    <w:rsid w:val="00391126"/>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B00"/>
    <w:rsid w:val="003B3C73"/>
    <w:rsid w:val="003B3FC4"/>
    <w:rsid w:val="003B418B"/>
    <w:rsid w:val="003B4238"/>
    <w:rsid w:val="003B43FE"/>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BF9"/>
    <w:rsid w:val="003C6D0A"/>
    <w:rsid w:val="003C7552"/>
    <w:rsid w:val="003C7637"/>
    <w:rsid w:val="003C778E"/>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3D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10B4"/>
    <w:rsid w:val="004213E0"/>
    <w:rsid w:val="0042187B"/>
    <w:rsid w:val="00421C83"/>
    <w:rsid w:val="00421EB9"/>
    <w:rsid w:val="00422577"/>
    <w:rsid w:val="00422A6E"/>
    <w:rsid w:val="004236CF"/>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24"/>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4D39"/>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5C8"/>
    <w:rsid w:val="004479DD"/>
    <w:rsid w:val="00447F06"/>
    <w:rsid w:val="00447F78"/>
    <w:rsid w:val="004501FA"/>
    <w:rsid w:val="004503A9"/>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93E"/>
    <w:rsid w:val="004579FE"/>
    <w:rsid w:val="00460166"/>
    <w:rsid w:val="00460732"/>
    <w:rsid w:val="0046093F"/>
    <w:rsid w:val="00460B48"/>
    <w:rsid w:val="00460CD9"/>
    <w:rsid w:val="00460DB6"/>
    <w:rsid w:val="004612CF"/>
    <w:rsid w:val="004612DC"/>
    <w:rsid w:val="0046165C"/>
    <w:rsid w:val="004617C2"/>
    <w:rsid w:val="00461965"/>
    <w:rsid w:val="00461A7F"/>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039"/>
    <w:rsid w:val="004771AD"/>
    <w:rsid w:val="004773AC"/>
    <w:rsid w:val="00477687"/>
    <w:rsid w:val="0047770D"/>
    <w:rsid w:val="004777CA"/>
    <w:rsid w:val="00477F74"/>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263"/>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097"/>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9C"/>
    <w:rsid w:val="004B29A2"/>
    <w:rsid w:val="004B2CBC"/>
    <w:rsid w:val="004B3394"/>
    <w:rsid w:val="004B3831"/>
    <w:rsid w:val="004B3946"/>
    <w:rsid w:val="004B41FF"/>
    <w:rsid w:val="004B446C"/>
    <w:rsid w:val="004B44E5"/>
    <w:rsid w:val="004B488A"/>
    <w:rsid w:val="004B4923"/>
    <w:rsid w:val="004B49B0"/>
    <w:rsid w:val="004B4D31"/>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85"/>
    <w:rsid w:val="004C72B7"/>
    <w:rsid w:val="004C7577"/>
    <w:rsid w:val="004C7871"/>
    <w:rsid w:val="004C79A5"/>
    <w:rsid w:val="004C79C9"/>
    <w:rsid w:val="004C7C53"/>
    <w:rsid w:val="004D02E9"/>
    <w:rsid w:val="004D044C"/>
    <w:rsid w:val="004D06CC"/>
    <w:rsid w:val="004D072E"/>
    <w:rsid w:val="004D139D"/>
    <w:rsid w:val="004D1490"/>
    <w:rsid w:val="004D1F9C"/>
    <w:rsid w:val="004D2108"/>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7E6"/>
    <w:rsid w:val="004F3910"/>
    <w:rsid w:val="004F39E6"/>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141"/>
    <w:rsid w:val="005102F8"/>
    <w:rsid w:val="00510391"/>
    <w:rsid w:val="00510E22"/>
    <w:rsid w:val="00510F34"/>
    <w:rsid w:val="0051124D"/>
    <w:rsid w:val="005117FC"/>
    <w:rsid w:val="00511ABC"/>
    <w:rsid w:val="00511B6A"/>
    <w:rsid w:val="0051214A"/>
    <w:rsid w:val="00512513"/>
    <w:rsid w:val="005125B0"/>
    <w:rsid w:val="00512BCC"/>
    <w:rsid w:val="00512D02"/>
    <w:rsid w:val="005131CC"/>
    <w:rsid w:val="00513588"/>
    <w:rsid w:val="00513AE4"/>
    <w:rsid w:val="00513B67"/>
    <w:rsid w:val="00513D7E"/>
    <w:rsid w:val="00513F47"/>
    <w:rsid w:val="0051406D"/>
    <w:rsid w:val="00514315"/>
    <w:rsid w:val="00514C23"/>
    <w:rsid w:val="005151B6"/>
    <w:rsid w:val="005152A7"/>
    <w:rsid w:val="005154D4"/>
    <w:rsid w:val="005155B1"/>
    <w:rsid w:val="0051575B"/>
    <w:rsid w:val="00515E7C"/>
    <w:rsid w:val="00515F6B"/>
    <w:rsid w:val="005162C9"/>
    <w:rsid w:val="00516443"/>
    <w:rsid w:val="005164A6"/>
    <w:rsid w:val="0051689D"/>
    <w:rsid w:val="00516D25"/>
    <w:rsid w:val="00516E87"/>
    <w:rsid w:val="00516FBF"/>
    <w:rsid w:val="0051706D"/>
    <w:rsid w:val="005170E2"/>
    <w:rsid w:val="00517189"/>
    <w:rsid w:val="005174D5"/>
    <w:rsid w:val="00517A9C"/>
    <w:rsid w:val="0052015B"/>
    <w:rsid w:val="0052042E"/>
    <w:rsid w:val="005204A4"/>
    <w:rsid w:val="0052055B"/>
    <w:rsid w:val="005205B8"/>
    <w:rsid w:val="0052083B"/>
    <w:rsid w:val="00520CE0"/>
    <w:rsid w:val="00520DD8"/>
    <w:rsid w:val="00520EC1"/>
    <w:rsid w:val="0052133B"/>
    <w:rsid w:val="00521447"/>
    <w:rsid w:val="00521603"/>
    <w:rsid w:val="00521BA2"/>
    <w:rsid w:val="00521E0D"/>
    <w:rsid w:val="00521FCC"/>
    <w:rsid w:val="00522611"/>
    <w:rsid w:val="00522614"/>
    <w:rsid w:val="005227E3"/>
    <w:rsid w:val="00522975"/>
    <w:rsid w:val="005229AC"/>
    <w:rsid w:val="00522A9D"/>
    <w:rsid w:val="00522E32"/>
    <w:rsid w:val="00523033"/>
    <w:rsid w:val="005235C5"/>
    <w:rsid w:val="005237EC"/>
    <w:rsid w:val="00524238"/>
    <w:rsid w:val="0052448A"/>
    <w:rsid w:val="00524AED"/>
    <w:rsid w:val="00525325"/>
    <w:rsid w:val="005255DC"/>
    <w:rsid w:val="00525621"/>
    <w:rsid w:val="005256E0"/>
    <w:rsid w:val="00525F10"/>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DF4"/>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CE7"/>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044"/>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42AF"/>
    <w:rsid w:val="005E49B8"/>
    <w:rsid w:val="005E4A28"/>
    <w:rsid w:val="005E507D"/>
    <w:rsid w:val="005E5CED"/>
    <w:rsid w:val="005E5F16"/>
    <w:rsid w:val="005E6172"/>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999"/>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3C5"/>
    <w:rsid w:val="00604C2B"/>
    <w:rsid w:val="00604C3A"/>
    <w:rsid w:val="006050BD"/>
    <w:rsid w:val="0060551A"/>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62C"/>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A13"/>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5CE"/>
    <w:rsid w:val="00646705"/>
    <w:rsid w:val="00646E0E"/>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294"/>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7EC"/>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DBF"/>
    <w:rsid w:val="006D3F73"/>
    <w:rsid w:val="006D3FED"/>
    <w:rsid w:val="006D3FFA"/>
    <w:rsid w:val="006D40C0"/>
    <w:rsid w:val="006D4116"/>
    <w:rsid w:val="006D44D4"/>
    <w:rsid w:val="006D48FA"/>
    <w:rsid w:val="006D4ACE"/>
    <w:rsid w:val="006D4E68"/>
    <w:rsid w:val="006D51A3"/>
    <w:rsid w:val="006D554F"/>
    <w:rsid w:val="006D569D"/>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A84"/>
    <w:rsid w:val="006E50CB"/>
    <w:rsid w:val="006E510B"/>
    <w:rsid w:val="006E5297"/>
    <w:rsid w:val="006E5DEF"/>
    <w:rsid w:val="006E6878"/>
    <w:rsid w:val="006E693A"/>
    <w:rsid w:val="006E6D14"/>
    <w:rsid w:val="006E6D7D"/>
    <w:rsid w:val="006E6D7F"/>
    <w:rsid w:val="006E6F37"/>
    <w:rsid w:val="006E7367"/>
    <w:rsid w:val="006E73D8"/>
    <w:rsid w:val="006F019D"/>
    <w:rsid w:val="006F07D8"/>
    <w:rsid w:val="006F07E0"/>
    <w:rsid w:val="006F0EF8"/>
    <w:rsid w:val="006F0F77"/>
    <w:rsid w:val="006F1102"/>
    <w:rsid w:val="006F143C"/>
    <w:rsid w:val="006F158C"/>
    <w:rsid w:val="006F22E1"/>
    <w:rsid w:val="006F23FD"/>
    <w:rsid w:val="006F25C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7D4"/>
    <w:rsid w:val="0070684B"/>
    <w:rsid w:val="00707CA4"/>
    <w:rsid w:val="00707CFC"/>
    <w:rsid w:val="007108E8"/>
    <w:rsid w:val="0071096E"/>
    <w:rsid w:val="00710BC0"/>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4BEE"/>
    <w:rsid w:val="0072528D"/>
    <w:rsid w:val="00725D61"/>
    <w:rsid w:val="00726206"/>
    <w:rsid w:val="00726607"/>
    <w:rsid w:val="0072669C"/>
    <w:rsid w:val="00726758"/>
    <w:rsid w:val="0072693E"/>
    <w:rsid w:val="0072696F"/>
    <w:rsid w:val="00726A64"/>
    <w:rsid w:val="00726C30"/>
    <w:rsid w:val="00726CA7"/>
    <w:rsid w:val="0072700F"/>
    <w:rsid w:val="007270E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176"/>
    <w:rsid w:val="007512F1"/>
    <w:rsid w:val="007513BB"/>
    <w:rsid w:val="007513DE"/>
    <w:rsid w:val="00751429"/>
    <w:rsid w:val="0075184E"/>
    <w:rsid w:val="00751BCB"/>
    <w:rsid w:val="00751C4F"/>
    <w:rsid w:val="00751D55"/>
    <w:rsid w:val="00751D8A"/>
    <w:rsid w:val="00752382"/>
    <w:rsid w:val="0075255C"/>
    <w:rsid w:val="00752C3E"/>
    <w:rsid w:val="00753153"/>
    <w:rsid w:val="00753226"/>
    <w:rsid w:val="00753804"/>
    <w:rsid w:val="00753A41"/>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A55"/>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131"/>
    <w:rsid w:val="007842B0"/>
    <w:rsid w:val="007843B1"/>
    <w:rsid w:val="00784667"/>
    <w:rsid w:val="00784818"/>
    <w:rsid w:val="00785721"/>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700B"/>
    <w:rsid w:val="007A7233"/>
    <w:rsid w:val="007A7483"/>
    <w:rsid w:val="007A762C"/>
    <w:rsid w:val="007A78ED"/>
    <w:rsid w:val="007A790B"/>
    <w:rsid w:val="007A7B10"/>
    <w:rsid w:val="007B005B"/>
    <w:rsid w:val="007B019F"/>
    <w:rsid w:val="007B022F"/>
    <w:rsid w:val="007B027A"/>
    <w:rsid w:val="007B03CF"/>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C7"/>
    <w:rsid w:val="007C51D1"/>
    <w:rsid w:val="007C5530"/>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AC6"/>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0FE4"/>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BE"/>
    <w:rsid w:val="00836183"/>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278"/>
    <w:rsid w:val="008543AC"/>
    <w:rsid w:val="0085453F"/>
    <w:rsid w:val="008548FE"/>
    <w:rsid w:val="00854933"/>
    <w:rsid w:val="00854982"/>
    <w:rsid w:val="00854B98"/>
    <w:rsid w:val="00854C10"/>
    <w:rsid w:val="00855507"/>
    <w:rsid w:val="008557F2"/>
    <w:rsid w:val="00855845"/>
    <w:rsid w:val="00855919"/>
    <w:rsid w:val="008559EA"/>
    <w:rsid w:val="00855A9E"/>
    <w:rsid w:val="00855B8A"/>
    <w:rsid w:val="00855E67"/>
    <w:rsid w:val="00856221"/>
    <w:rsid w:val="00856283"/>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A0"/>
    <w:rsid w:val="00862ECB"/>
    <w:rsid w:val="008634C0"/>
    <w:rsid w:val="0086377D"/>
    <w:rsid w:val="0086381F"/>
    <w:rsid w:val="00863A06"/>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6D9"/>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DDC"/>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697"/>
    <w:rsid w:val="008C3D18"/>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D6C"/>
    <w:rsid w:val="008E45C8"/>
    <w:rsid w:val="008E45F0"/>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6D87"/>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A95"/>
    <w:rsid w:val="008F3AB5"/>
    <w:rsid w:val="008F3E77"/>
    <w:rsid w:val="008F42AE"/>
    <w:rsid w:val="008F43C3"/>
    <w:rsid w:val="008F4418"/>
    <w:rsid w:val="008F4772"/>
    <w:rsid w:val="008F48FB"/>
    <w:rsid w:val="008F4A8F"/>
    <w:rsid w:val="008F4DB0"/>
    <w:rsid w:val="008F4E6D"/>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A40"/>
    <w:rsid w:val="00912A73"/>
    <w:rsid w:val="00912AD5"/>
    <w:rsid w:val="00912C2A"/>
    <w:rsid w:val="00912FAC"/>
    <w:rsid w:val="00913B0E"/>
    <w:rsid w:val="00913D7A"/>
    <w:rsid w:val="00913EDF"/>
    <w:rsid w:val="00914794"/>
    <w:rsid w:val="00914B20"/>
    <w:rsid w:val="00914C2E"/>
    <w:rsid w:val="00914CD3"/>
    <w:rsid w:val="00914D23"/>
    <w:rsid w:val="00914D5D"/>
    <w:rsid w:val="00914ECE"/>
    <w:rsid w:val="009153DB"/>
    <w:rsid w:val="00915786"/>
    <w:rsid w:val="00915B32"/>
    <w:rsid w:val="00916345"/>
    <w:rsid w:val="00916562"/>
    <w:rsid w:val="00916AC2"/>
    <w:rsid w:val="00916B47"/>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6FDC"/>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FF"/>
    <w:rsid w:val="00944537"/>
    <w:rsid w:val="00944775"/>
    <w:rsid w:val="00944789"/>
    <w:rsid w:val="00944CAF"/>
    <w:rsid w:val="00944CE0"/>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1C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F1"/>
    <w:rsid w:val="00966C12"/>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CC9"/>
    <w:rsid w:val="009723BC"/>
    <w:rsid w:val="009724DF"/>
    <w:rsid w:val="009726D6"/>
    <w:rsid w:val="009728C9"/>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6FC"/>
    <w:rsid w:val="00982A07"/>
    <w:rsid w:val="00982F7E"/>
    <w:rsid w:val="009837EC"/>
    <w:rsid w:val="00983AD5"/>
    <w:rsid w:val="00983B8C"/>
    <w:rsid w:val="009846B3"/>
    <w:rsid w:val="009847D1"/>
    <w:rsid w:val="00984856"/>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CE9"/>
    <w:rsid w:val="00991F3E"/>
    <w:rsid w:val="009920A1"/>
    <w:rsid w:val="00992215"/>
    <w:rsid w:val="0099248D"/>
    <w:rsid w:val="0099253D"/>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0D2"/>
    <w:rsid w:val="009A416C"/>
    <w:rsid w:val="009A43CE"/>
    <w:rsid w:val="009A44F4"/>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4D0"/>
    <w:rsid w:val="009B2531"/>
    <w:rsid w:val="009B2600"/>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853"/>
    <w:rsid w:val="009B7C09"/>
    <w:rsid w:val="009B7D4F"/>
    <w:rsid w:val="009C0052"/>
    <w:rsid w:val="009C0158"/>
    <w:rsid w:val="009C02A0"/>
    <w:rsid w:val="009C0901"/>
    <w:rsid w:val="009C094F"/>
    <w:rsid w:val="009C0CE7"/>
    <w:rsid w:val="009C0D29"/>
    <w:rsid w:val="009C0E62"/>
    <w:rsid w:val="009C122D"/>
    <w:rsid w:val="009C14DF"/>
    <w:rsid w:val="009C1545"/>
    <w:rsid w:val="009C1688"/>
    <w:rsid w:val="009C1906"/>
    <w:rsid w:val="009C21B3"/>
    <w:rsid w:val="009C288F"/>
    <w:rsid w:val="009C2D2F"/>
    <w:rsid w:val="009C2EFC"/>
    <w:rsid w:val="009C30E0"/>
    <w:rsid w:val="009C324A"/>
    <w:rsid w:val="009C3498"/>
    <w:rsid w:val="009C3561"/>
    <w:rsid w:val="009C3953"/>
    <w:rsid w:val="009C3C95"/>
    <w:rsid w:val="009C4204"/>
    <w:rsid w:val="009C42B0"/>
    <w:rsid w:val="009C42B7"/>
    <w:rsid w:val="009C4717"/>
    <w:rsid w:val="009C491D"/>
    <w:rsid w:val="009C4F2D"/>
    <w:rsid w:val="009C5679"/>
    <w:rsid w:val="009C58AC"/>
    <w:rsid w:val="009C5BED"/>
    <w:rsid w:val="009C5E64"/>
    <w:rsid w:val="009C6598"/>
    <w:rsid w:val="009C6622"/>
    <w:rsid w:val="009C669B"/>
    <w:rsid w:val="009C69D6"/>
    <w:rsid w:val="009C6CDA"/>
    <w:rsid w:val="009C6DD7"/>
    <w:rsid w:val="009C73D6"/>
    <w:rsid w:val="009C74FC"/>
    <w:rsid w:val="009C776C"/>
    <w:rsid w:val="009C78A8"/>
    <w:rsid w:val="009C78AB"/>
    <w:rsid w:val="009C7BB6"/>
    <w:rsid w:val="009C7F11"/>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0EC"/>
    <w:rsid w:val="009E5311"/>
    <w:rsid w:val="009E538F"/>
    <w:rsid w:val="009E5423"/>
    <w:rsid w:val="009E56FB"/>
    <w:rsid w:val="009E5974"/>
    <w:rsid w:val="009E5D37"/>
    <w:rsid w:val="009E6036"/>
    <w:rsid w:val="009E65D5"/>
    <w:rsid w:val="009E76A0"/>
    <w:rsid w:val="009E7960"/>
    <w:rsid w:val="009E7C00"/>
    <w:rsid w:val="009E7D86"/>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3C6D"/>
    <w:rsid w:val="00A0404C"/>
    <w:rsid w:val="00A0460D"/>
    <w:rsid w:val="00A047E5"/>
    <w:rsid w:val="00A05BAD"/>
    <w:rsid w:val="00A06550"/>
    <w:rsid w:val="00A06AC7"/>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279"/>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957"/>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B4B"/>
    <w:rsid w:val="00A73D20"/>
    <w:rsid w:val="00A73D34"/>
    <w:rsid w:val="00A7408D"/>
    <w:rsid w:val="00A74670"/>
    <w:rsid w:val="00A7479A"/>
    <w:rsid w:val="00A750DC"/>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6B7"/>
    <w:rsid w:val="00AB2B3B"/>
    <w:rsid w:val="00AB2BEB"/>
    <w:rsid w:val="00AB2D28"/>
    <w:rsid w:val="00AB322F"/>
    <w:rsid w:val="00AB325A"/>
    <w:rsid w:val="00AB33AB"/>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7AB"/>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A2"/>
    <w:rsid w:val="00AD4F9A"/>
    <w:rsid w:val="00AD5C2D"/>
    <w:rsid w:val="00AD6A7A"/>
    <w:rsid w:val="00AD6D23"/>
    <w:rsid w:val="00AD7040"/>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780B"/>
    <w:rsid w:val="00AF7939"/>
    <w:rsid w:val="00AF794A"/>
    <w:rsid w:val="00AF7AC9"/>
    <w:rsid w:val="00AF7EC4"/>
    <w:rsid w:val="00B007F5"/>
    <w:rsid w:val="00B008F0"/>
    <w:rsid w:val="00B01178"/>
    <w:rsid w:val="00B01572"/>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6694"/>
    <w:rsid w:val="00B2687B"/>
    <w:rsid w:val="00B26929"/>
    <w:rsid w:val="00B26968"/>
    <w:rsid w:val="00B26C07"/>
    <w:rsid w:val="00B26D7E"/>
    <w:rsid w:val="00B27249"/>
    <w:rsid w:val="00B27532"/>
    <w:rsid w:val="00B27C27"/>
    <w:rsid w:val="00B27E25"/>
    <w:rsid w:val="00B3008A"/>
    <w:rsid w:val="00B30467"/>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513F"/>
    <w:rsid w:val="00B3515C"/>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517"/>
    <w:rsid w:val="00B41B25"/>
    <w:rsid w:val="00B41CB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E21"/>
    <w:rsid w:val="00B500E5"/>
    <w:rsid w:val="00B5027E"/>
    <w:rsid w:val="00B50AD1"/>
    <w:rsid w:val="00B51063"/>
    <w:rsid w:val="00B5181C"/>
    <w:rsid w:val="00B51AF3"/>
    <w:rsid w:val="00B51FC4"/>
    <w:rsid w:val="00B52270"/>
    <w:rsid w:val="00B5237E"/>
    <w:rsid w:val="00B52541"/>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E3A"/>
    <w:rsid w:val="00B77309"/>
    <w:rsid w:val="00B775F8"/>
    <w:rsid w:val="00B7794E"/>
    <w:rsid w:val="00B77C8A"/>
    <w:rsid w:val="00B77DC5"/>
    <w:rsid w:val="00B80145"/>
    <w:rsid w:val="00B801DD"/>
    <w:rsid w:val="00B802D3"/>
    <w:rsid w:val="00B80470"/>
    <w:rsid w:val="00B809ED"/>
    <w:rsid w:val="00B80A0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3E26"/>
    <w:rsid w:val="00B84042"/>
    <w:rsid w:val="00B84095"/>
    <w:rsid w:val="00B84115"/>
    <w:rsid w:val="00B8419B"/>
    <w:rsid w:val="00B84225"/>
    <w:rsid w:val="00B849C3"/>
    <w:rsid w:val="00B84EB0"/>
    <w:rsid w:val="00B84ED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C0A"/>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A8A"/>
    <w:rsid w:val="00BD5C80"/>
    <w:rsid w:val="00BD5C84"/>
    <w:rsid w:val="00BD5DA7"/>
    <w:rsid w:val="00BD6171"/>
    <w:rsid w:val="00BD669A"/>
    <w:rsid w:val="00BD6701"/>
    <w:rsid w:val="00BD6E18"/>
    <w:rsid w:val="00BD7268"/>
    <w:rsid w:val="00BD74BD"/>
    <w:rsid w:val="00BD74E0"/>
    <w:rsid w:val="00BD786A"/>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4591"/>
    <w:rsid w:val="00BE52DE"/>
    <w:rsid w:val="00BE542A"/>
    <w:rsid w:val="00BE551C"/>
    <w:rsid w:val="00BE57D4"/>
    <w:rsid w:val="00BE599D"/>
    <w:rsid w:val="00BE5D94"/>
    <w:rsid w:val="00BE6763"/>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9CF"/>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1D55"/>
    <w:rsid w:val="00C02443"/>
    <w:rsid w:val="00C027D2"/>
    <w:rsid w:val="00C032D2"/>
    <w:rsid w:val="00C0335F"/>
    <w:rsid w:val="00C039A0"/>
    <w:rsid w:val="00C043FC"/>
    <w:rsid w:val="00C04625"/>
    <w:rsid w:val="00C048FE"/>
    <w:rsid w:val="00C04AF7"/>
    <w:rsid w:val="00C04C09"/>
    <w:rsid w:val="00C050C5"/>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7F2"/>
    <w:rsid w:val="00C428EF"/>
    <w:rsid w:val="00C43792"/>
    <w:rsid w:val="00C438CB"/>
    <w:rsid w:val="00C43BA5"/>
    <w:rsid w:val="00C43BD2"/>
    <w:rsid w:val="00C43C3A"/>
    <w:rsid w:val="00C43C3E"/>
    <w:rsid w:val="00C43CD7"/>
    <w:rsid w:val="00C43FAD"/>
    <w:rsid w:val="00C4410E"/>
    <w:rsid w:val="00C441B4"/>
    <w:rsid w:val="00C44202"/>
    <w:rsid w:val="00C443EE"/>
    <w:rsid w:val="00C4461C"/>
    <w:rsid w:val="00C44CC4"/>
    <w:rsid w:val="00C4545F"/>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B91"/>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0AD"/>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6D16"/>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A07"/>
    <w:rsid w:val="00CD6F0E"/>
    <w:rsid w:val="00CD7065"/>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8A2"/>
    <w:rsid w:val="00CF21AB"/>
    <w:rsid w:val="00CF232F"/>
    <w:rsid w:val="00CF2826"/>
    <w:rsid w:val="00CF2930"/>
    <w:rsid w:val="00CF2A25"/>
    <w:rsid w:val="00CF2E21"/>
    <w:rsid w:val="00CF2E95"/>
    <w:rsid w:val="00CF2FF4"/>
    <w:rsid w:val="00CF3243"/>
    <w:rsid w:val="00CF331D"/>
    <w:rsid w:val="00CF3442"/>
    <w:rsid w:val="00CF3589"/>
    <w:rsid w:val="00CF3869"/>
    <w:rsid w:val="00CF3B2A"/>
    <w:rsid w:val="00CF3BCC"/>
    <w:rsid w:val="00CF3CD5"/>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5E7"/>
    <w:rsid w:val="00D146D1"/>
    <w:rsid w:val="00D14719"/>
    <w:rsid w:val="00D149ED"/>
    <w:rsid w:val="00D14AA7"/>
    <w:rsid w:val="00D14B69"/>
    <w:rsid w:val="00D14E75"/>
    <w:rsid w:val="00D15037"/>
    <w:rsid w:val="00D151C7"/>
    <w:rsid w:val="00D15581"/>
    <w:rsid w:val="00D15671"/>
    <w:rsid w:val="00D1576E"/>
    <w:rsid w:val="00D15873"/>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6B6"/>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5509"/>
    <w:rsid w:val="00D355F6"/>
    <w:rsid w:val="00D35BE4"/>
    <w:rsid w:val="00D3620A"/>
    <w:rsid w:val="00D363D4"/>
    <w:rsid w:val="00D363F2"/>
    <w:rsid w:val="00D3665B"/>
    <w:rsid w:val="00D36757"/>
    <w:rsid w:val="00D368BE"/>
    <w:rsid w:val="00D36AD8"/>
    <w:rsid w:val="00D36D6D"/>
    <w:rsid w:val="00D37050"/>
    <w:rsid w:val="00D371EC"/>
    <w:rsid w:val="00D371FF"/>
    <w:rsid w:val="00D3756E"/>
    <w:rsid w:val="00D379AD"/>
    <w:rsid w:val="00D37A9D"/>
    <w:rsid w:val="00D37FA3"/>
    <w:rsid w:val="00D40061"/>
    <w:rsid w:val="00D408DC"/>
    <w:rsid w:val="00D40C22"/>
    <w:rsid w:val="00D40D2F"/>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D74"/>
    <w:rsid w:val="00D52F36"/>
    <w:rsid w:val="00D52FC4"/>
    <w:rsid w:val="00D5306C"/>
    <w:rsid w:val="00D53AAA"/>
    <w:rsid w:val="00D53E09"/>
    <w:rsid w:val="00D54185"/>
    <w:rsid w:val="00D543F7"/>
    <w:rsid w:val="00D551EC"/>
    <w:rsid w:val="00D55949"/>
    <w:rsid w:val="00D55F0E"/>
    <w:rsid w:val="00D560A7"/>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EA"/>
    <w:rsid w:val="00D908BF"/>
    <w:rsid w:val="00D90A53"/>
    <w:rsid w:val="00D90B05"/>
    <w:rsid w:val="00D91042"/>
    <w:rsid w:val="00D9107F"/>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A7F16"/>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9D1"/>
    <w:rsid w:val="00DE3ABC"/>
    <w:rsid w:val="00DE3DB1"/>
    <w:rsid w:val="00DE3DB3"/>
    <w:rsid w:val="00DE3ED5"/>
    <w:rsid w:val="00DE4804"/>
    <w:rsid w:val="00DE5156"/>
    <w:rsid w:val="00DE5413"/>
    <w:rsid w:val="00DE56A8"/>
    <w:rsid w:val="00DE56F0"/>
    <w:rsid w:val="00DE5808"/>
    <w:rsid w:val="00DE5B95"/>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994"/>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5D50"/>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496"/>
    <w:rsid w:val="00E236DB"/>
    <w:rsid w:val="00E23C8B"/>
    <w:rsid w:val="00E23D66"/>
    <w:rsid w:val="00E23E2F"/>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698"/>
    <w:rsid w:val="00E56894"/>
    <w:rsid w:val="00E569B5"/>
    <w:rsid w:val="00E569D9"/>
    <w:rsid w:val="00E569ED"/>
    <w:rsid w:val="00E56F5B"/>
    <w:rsid w:val="00E57191"/>
    <w:rsid w:val="00E57635"/>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4A3"/>
    <w:rsid w:val="00E667E5"/>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56"/>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7048"/>
    <w:rsid w:val="00E97158"/>
    <w:rsid w:val="00E971F2"/>
    <w:rsid w:val="00E97322"/>
    <w:rsid w:val="00E97413"/>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340"/>
    <w:rsid w:val="00EC3696"/>
    <w:rsid w:val="00EC3978"/>
    <w:rsid w:val="00EC3C7E"/>
    <w:rsid w:val="00EC3D9D"/>
    <w:rsid w:val="00EC3E1C"/>
    <w:rsid w:val="00EC3E3A"/>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8B"/>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72A"/>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AC2"/>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A2C"/>
    <w:rsid w:val="00EF5F3A"/>
    <w:rsid w:val="00EF6231"/>
    <w:rsid w:val="00EF65CB"/>
    <w:rsid w:val="00EF68A3"/>
    <w:rsid w:val="00EF6AA3"/>
    <w:rsid w:val="00EF72EA"/>
    <w:rsid w:val="00EF7359"/>
    <w:rsid w:val="00EF7370"/>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298"/>
    <w:rsid w:val="00F0373F"/>
    <w:rsid w:val="00F03E94"/>
    <w:rsid w:val="00F03FFF"/>
    <w:rsid w:val="00F040EC"/>
    <w:rsid w:val="00F0424E"/>
    <w:rsid w:val="00F0480C"/>
    <w:rsid w:val="00F048C7"/>
    <w:rsid w:val="00F04C4A"/>
    <w:rsid w:val="00F04EAF"/>
    <w:rsid w:val="00F051F1"/>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E1A"/>
    <w:rsid w:val="00F07E21"/>
    <w:rsid w:val="00F10CE4"/>
    <w:rsid w:val="00F10EDB"/>
    <w:rsid w:val="00F1163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857"/>
    <w:rsid w:val="00F1693E"/>
    <w:rsid w:val="00F17502"/>
    <w:rsid w:val="00F1751B"/>
    <w:rsid w:val="00F1761A"/>
    <w:rsid w:val="00F17659"/>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F7"/>
    <w:rsid w:val="00F3550F"/>
    <w:rsid w:val="00F35561"/>
    <w:rsid w:val="00F35949"/>
    <w:rsid w:val="00F35B34"/>
    <w:rsid w:val="00F35F39"/>
    <w:rsid w:val="00F3640E"/>
    <w:rsid w:val="00F36465"/>
    <w:rsid w:val="00F364CE"/>
    <w:rsid w:val="00F367A0"/>
    <w:rsid w:val="00F36DA0"/>
    <w:rsid w:val="00F36DF3"/>
    <w:rsid w:val="00F373CC"/>
    <w:rsid w:val="00F3742C"/>
    <w:rsid w:val="00F37601"/>
    <w:rsid w:val="00F3763B"/>
    <w:rsid w:val="00F376F1"/>
    <w:rsid w:val="00F3774C"/>
    <w:rsid w:val="00F40245"/>
    <w:rsid w:val="00F402A0"/>
    <w:rsid w:val="00F4096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97E"/>
    <w:rsid w:val="00F52D31"/>
    <w:rsid w:val="00F531BF"/>
    <w:rsid w:val="00F53614"/>
    <w:rsid w:val="00F53FCC"/>
    <w:rsid w:val="00F545BB"/>
    <w:rsid w:val="00F5461C"/>
    <w:rsid w:val="00F546E8"/>
    <w:rsid w:val="00F5477B"/>
    <w:rsid w:val="00F548AC"/>
    <w:rsid w:val="00F54A92"/>
    <w:rsid w:val="00F55B75"/>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593"/>
    <w:rsid w:val="00FC4777"/>
    <w:rsid w:val="00FC4A29"/>
    <w:rsid w:val="00FC4DD8"/>
    <w:rsid w:val="00FC4E98"/>
    <w:rsid w:val="00FC4F20"/>
    <w:rsid w:val="00FC5423"/>
    <w:rsid w:val="00FC54B3"/>
    <w:rsid w:val="00FC5645"/>
    <w:rsid w:val="00FC56E8"/>
    <w:rsid w:val="00FC5A63"/>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6CA1B2F"/>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D16A73"/>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lp.senate.gov/imo/media/doc/64d0ff0c-bc73-9a98-3c30-c7a5297a33d6/S.5046_80faf3cb-0b02-49d2-8607-ec640f4ebe68.pdf" TargetMode="External"/><Relationship Id="rId13" Type="http://schemas.openxmlformats.org/officeDocument/2006/relationships/hyperlink" Target="https://www.help.senate.gov/imo/media/doc/64d0ff0c-bc73-9a98-3c30-c7a5297a33d6/S.%203589%20MA_23c0ecf8-1be8-4c24-a491-e6a534821424.pdf" TargetMode="External"/><Relationship Id="rId18" Type="http://schemas.openxmlformats.org/officeDocument/2006/relationships/hyperlink" Target="https://www.federalregister.gov/documents/2026/07/20/2026-14539/public-charge-ground-of-inadmissibility"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tiff"/><Relationship Id="rId12" Type="http://schemas.openxmlformats.org/officeDocument/2006/relationships/hyperlink" Target="https://www.help.senate.gov/imo/media/doc/64d0ff0c-bc73-9a98-3c30-c7a5297a33d6/S.%202511%20MA_b28c0298-d624-4d45-b54b-405676d73d9a.pdf" TargetMode="External"/><Relationship Id="rId17" Type="http://schemas.openxmlformats.org/officeDocument/2006/relationships/hyperlink" Target="https://mcusercontent.com/2b9d9a20546e155031d7ab562/files/81c8a8a7-ec9a-e6ce-eb85-210766f3956a/kids_safety_advocates_letter_to_the_senate_commerce_committee.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cusercontent.com/2b9d9a20546e155031d7ab562/files/afaf0117-df86-5d6c-8928-269f5fc62be0/OS_26_005418_DTS_Guidance_OCTAE_7.27.2026_FINAL.pdf" TargetMode="External"/><Relationship Id="rId20" Type="http://schemas.openxmlformats.org/officeDocument/2006/relationships/hyperlink" Target="https://www.govinfo.gov/content/pkg/FR-2026-06-25/pdf/2026-1286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lp.senate.gov/imo/media/doc/64d0ff0c-bc73-9a98-3c30-c7a5297a33d6/S.%204689%20MA_bdf9515f-4d61-4518-b84b-2da982394686.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help.senate.gov/imo/media/doc/64d0ff0c-bc73-9a98-3c30-c7a5297a33d6/S.%203010_78dbdf18-5a59-4fc6-84a5-145f11179d8b.pdf" TargetMode="External"/><Relationship Id="rId23" Type="http://schemas.openxmlformats.org/officeDocument/2006/relationships/footer" Target="footer2.xml"/><Relationship Id="rId10" Type="http://schemas.openxmlformats.org/officeDocument/2006/relationships/hyperlink" Target="https://www.ed.gov/media/document/secretary-mcmahon-and-partner-agencies-letter-congressional-leadership-114341.pdf" TargetMode="External"/><Relationship Id="rId19" Type="http://schemas.openxmlformats.org/officeDocument/2006/relationships/hyperlink" Target="https://www.insidehighered.com/news/quick-takes/2026/07/28/fsa-staff-now-slated-move-treasury-office" TargetMode="External"/><Relationship Id="rId4" Type="http://schemas.openxmlformats.org/officeDocument/2006/relationships/webSettings" Target="webSettings.xml"/><Relationship Id="rId9" Type="http://schemas.openxmlformats.org/officeDocument/2006/relationships/hyperlink" Target="https://www.help.senate.gov/imo/media/doc/64d0ff0c-bc73-9a98-3c30-c7a5297a33d6/Murray%20S.5046%20Amendment%20%233_7e1f1391-1fc0-4d19-ba9d-93268667f46b.pdf" TargetMode="External"/><Relationship Id="rId14" Type="http://schemas.openxmlformats.org/officeDocument/2006/relationships/hyperlink" Target="https://www.help.senate.gov/imo/media/doc/64d0ff0c-bc73-9a98-3c30-c7a5297a33d6/S.%204097%20MA_3c38f326-ec5e-4b21-a9b2-7e0521c433e0.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July 31 - Government Affairs (CA Dept of Education)</dc:title>
  <dc:subject>Federal Updates for July 31, 2026.</dc:subject>
  <dc:creator/>
  <cp:keywords/>
  <dc:description/>
  <cp:lastModifiedBy/>
  <cp:revision>1</cp:revision>
  <dcterms:created xsi:type="dcterms:W3CDTF">2026-08-11T21:32:00Z</dcterms:created>
  <dcterms:modified xsi:type="dcterms:W3CDTF">2026-08-11T21:32:00Z</dcterms:modified>
</cp:coreProperties>
</file>