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83C2E" w14:textId="491FAAC0" w:rsidR="00C43C3E" w:rsidRDefault="006E6D7F" w:rsidP="00C43C3E">
      <w:pPr>
        <w:spacing w:before="0" w:after="0"/>
      </w:pPr>
      <w:r>
        <w:t xml:space="preserve"> </w:t>
      </w:r>
      <w:r w:rsidR="00B605A2" w:rsidRPr="008D74DE">
        <w:rPr>
          <w:noProof/>
          <w:sz w:val="18"/>
          <w:szCs w:val="14"/>
        </w:rPr>
        <w:drawing>
          <wp:inline distT="0" distB="0" distL="0" distR="0" wp14:anchorId="22EB1A64" wp14:editId="725AAF05">
            <wp:extent cx="6021070" cy="1177925"/>
            <wp:effectExtent l="0" t="0" r="0" b="3175"/>
            <wp:docPr id="1804599855" name="Picture 1" descr="The Bruman Group, PLLC logo, address, and contact information&#10;1120 20th St, NW, Suite 740 Washington, D.C. 20036&#10;Phone: 202.965.3652&#10;Fax: 202.965.8913&#10;bruman@bruman.com&#10;www.bruma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C43C3E">
        <w:tab/>
      </w:r>
      <w:r w:rsidR="00C43C3E">
        <w:tab/>
      </w:r>
      <w:r w:rsidR="00C43C3E">
        <w:tab/>
      </w:r>
      <w:r w:rsidR="00C43C3E">
        <w:tab/>
      </w:r>
    </w:p>
    <w:p w14:paraId="17D05009" w14:textId="356CB23C" w:rsidR="003C339C" w:rsidRPr="00B605A2" w:rsidRDefault="007B47BF" w:rsidP="00B605A2">
      <w:pPr>
        <w:spacing w:before="0" w:after="0"/>
        <w:ind w:left="1440" w:firstLine="720"/>
        <w:jc w:val="center"/>
        <w:rPr>
          <w:sz w:val="18"/>
          <w:szCs w:val="14"/>
        </w:rPr>
      </w:pPr>
      <w:r>
        <w:rPr>
          <w:sz w:val="18"/>
          <w:szCs w:val="14"/>
        </w:rPr>
        <w:t xml:space="preserve">                                          </w:t>
      </w:r>
    </w:p>
    <w:p w14:paraId="3123BBB2" w14:textId="26BDC4F0" w:rsidR="0042468E" w:rsidRPr="00056DF1" w:rsidRDefault="0042468E" w:rsidP="00056DF1">
      <w:pPr>
        <w:pStyle w:val="Heading1"/>
        <w:keepNext w:val="0"/>
        <w:keepLines w:val="0"/>
        <w:spacing w:before="90" w:after="120"/>
        <w:jc w:val="center"/>
        <w:rPr>
          <w:rFonts w:ascii="Arial" w:eastAsia="Verdana" w:hAnsi="Arial" w:cs="Times New Roman"/>
          <w:b/>
          <w:bCs/>
          <w:color w:val="auto"/>
        </w:rPr>
      </w:pPr>
      <w:bookmarkStart w:id="0" w:name="_Toc69999593"/>
      <w:bookmarkStart w:id="1" w:name="_Toc70604860"/>
      <w:bookmarkStart w:id="2" w:name="_Toc70615916"/>
      <w:bookmarkStart w:id="3" w:name="_Toc70673785"/>
      <w:bookmarkStart w:id="4" w:name="_Toc71878172"/>
      <w:bookmarkStart w:id="5" w:name="_Toc71879808"/>
      <w:r w:rsidRPr="00056DF1">
        <w:rPr>
          <w:rFonts w:ascii="Arial" w:eastAsia="Verdana" w:hAnsi="Arial" w:cs="Times New Roman"/>
          <w:b/>
          <w:bCs/>
          <w:color w:val="auto"/>
        </w:rPr>
        <w:t xml:space="preserve">The Federal Update for </w:t>
      </w:r>
      <w:bookmarkEnd w:id="0"/>
      <w:bookmarkEnd w:id="1"/>
      <w:bookmarkEnd w:id="2"/>
      <w:bookmarkEnd w:id="3"/>
      <w:bookmarkEnd w:id="4"/>
      <w:bookmarkEnd w:id="5"/>
      <w:r w:rsidR="003E0632" w:rsidRPr="00056DF1">
        <w:rPr>
          <w:rFonts w:ascii="Arial" w:eastAsia="Verdana" w:hAnsi="Arial" w:cs="Times New Roman"/>
          <w:b/>
          <w:bCs/>
          <w:color w:val="auto"/>
        </w:rPr>
        <w:t>August 1</w:t>
      </w:r>
      <w:r w:rsidR="007C6E27" w:rsidRPr="00056DF1">
        <w:rPr>
          <w:rFonts w:ascii="Arial" w:eastAsia="Verdana" w:hAnsi="Arial" w:cs="Times New Roman"/>
          <w:b/>
          <w:bCs/>
          <w:color w:val="auto"/>
        </w:rPr>
        <w:t>, 2025</w:t>
      </w:r>
    </w:p>
    <w:p w14:paraId="37A0DBF9" w14:textId="77777777" w:rsidR="0042468E" w:rsidRPr="0042468E" w:rsidRDefault="0042468E" w:rsidP="00D0389C">
      <w:pPr>
        <w:pStyle w:val="MessageHeader"/>
        <w:rPr>
          <w:sz w:val="22"/>
          <w:szCs w:val="20"/>
        </w:rPr>
      </w:pPr>
    </w:p>
    <w:p w14:paraId="2D9B32A0" w14:textId="13D7AD21" w:rsidR="00D0389C" w:rsidRDefault="53D235F9" w:rsidP="00D0389C">
      <w:pPr>
        <w:pStyle w:val="MessageHeader"/>
      </w:pPr>
      <w:r>
        <w:t>From</w:t>
      </w:r>
      <w:r w:rsidR="269949FD">
        <w:t>:</w:t>
      </w:r>
      <w:r w:rsidR="00156AA4">
        <w:tab/>
      </w:r>
      <w:r>
        <w:t>Michael Brustein, Julia Martin, Steven Spillan, Kelly</w:t>
      </w:r>
      <w:r w:rsidR="269949FD">
        <w:t xml:space="preserve"> Christiansen</w:t>
      </w:r>
    </w:p>
    <w:p w14:paraId="35F1F74C" w14:textId="77777777" w:rsidR="00D0389C" w:rsidRDefault="00D0389C" w:rsidP="00D0389C">
      <w:pPr>
        <w:pStyle w:val="MessageHeader"/>
      </w:pPr>
      <w:r>
        <w:t>Re:</w:t>
      </w:r>
      <w:r>
        <w:tab/>
        <w:t>Federal Update</w:t>
      </w:r>
    </w:p>
    <w:p w14:paraId="1EA8E9EA" w14:textId="2355AED2" w:rsidR="0063135C" w:rsidRDefault="00D0389C" w:rsidP="009B424F">
      <w:pPr>
        <w:pStyle w:val="MessageHeader"/>
        <w:spacing w:after="240"/>
      </w:pPr>
      <w:r>
        <w:t>Date:</w:t>
      </w:r>
      <w:r>
        <w:tab/>
      </w:r>
      <w:r w:rsidR="003E0632">
        <w:t>August 1</w:t>
      </w:r>
      <w:r w:rsidR="559A70F6">
        <w:t>,</w:t>
      </w:r>
      <w:r w:rsidR="007C6E27">
        <w:t xml:space="preserve"> 2025</w:t>
      </w:r>
    </w:p>
    <w:p w14:paraId="1F0410E5" w14:textId="5EEB8697" w:rsidR="00A20B6D" w:rsidRDefault="2B7AD178">
      <w:pPr>
        <w:pStyle w:val="TOC2"/>
        <w:rPr>
          <w:rFonts w:asciiTheme="minorHAnsi" w:eastAsiaTheme="minorEastAsia" w:hAnsiTheme="minorHAnsi" w:cstheme="minorBidi"/>
          <w:b w:val="0"/>
          <w:kern w:val="2"/>
          <w:sz w:val="24"/>
          <w:szCs w:val="24"/>
          <w14:ligatures w14:val="standardContextual"/>
        </w:rPr>
      </w:pPr>
      <w:r>
        <w:fldChar w:fldCharType="begin"/>
      </w:r>
      <w:r>
        <w:instrText>TOC \o "1-3" \z \u \h</w:instrText>
      </w:r>
      <w:r>
        <w:fldChar w:fldCharType="separate"/>
      </w:r>
      <w:hyperlink w:anchor="_Toc204938799" w:history="1">
        <w:r w:rsidR="00A20B6D" w:rsidRPr="003B61DC">
          <w:rPr>
            <w:rStyle w:val="Hyperlink"/>
          </w:rPr>
          <w:t>Legislation and Guidance</w:t>
        </w:r>
        <w:r w:rsidR="00A20B6D">
          <w:rPr>
            <w:webHidden/>
          </w:rPr>
          <w:tab/>
        </w:r>
        <w:r w:rsidR="00A20B6D">
          <w:rPr>
            <w:webHidden/>
          </w:rPr>
          <w:fldChar w:fldCharType="begin"/>
        </w:r>
        <w:r w:rsidR="00A20B6D">
          <w:rPr>
            <w:webHidden/>
          </w:rPr>
          <w:instrText xml:space="preserve"> PAGEREF _Toc204938799 \h </w:instrText>
        </w:r>
        <w:r w:rsidR="00A20B6D">
          <w:rPr>
            <w:webHidden/>
          </w:rPr>
        </w:r>
        <w:r w:rsidR="00A20B6D">
          <w:rPr>
            <w:webHidden/>
          </w:rPr>
          <w:fldChar w:fldCharType="separate"/>
        </w:r>
        <w:r w:rsidR="00A20B6D">
          <w:rPr>
            <w:webHidden/>
          </w:rPr>
          <w:t>1</w:t>
        </w:r>
        <w:r w:rsidR="00A20B6D">
          <w:rPr>
            <w:webHidden/>
          </w:rPr>
          <w:fldChar w:fldCharType="end"/>
        </w:r>
      </w:hyperlink>
    </w:p>
    <w:p w14:paraId="7A08ED77" w14:textId="2084F4D5" w:rsidR="00A20B6D" w:rsidRDefault="00A20B6D">
      <w:pPr>
        <w:pStyle w:val="TOC3"/>
        <w:rPr>
          <w:rFonts w:asciiTheme="minorHAnsi" w:eastAsiaTheme="minorEastAsia" w:hAnsiTheme="minorHAnsi" w:cstheme="minorBidi"/>
          <w:b w:val="0"/>
          <w:kern w:val="2"/>
          <w:sz w:val="24"/>
          <w:szCs w:val="24"/>
          <w14:ligatures w14:val="standardContextual"/>
        </w:rPr>
      </w:pPr>
      <w:hyperlink w:anchor="_Toc204938800" w:history="1">
        <w:r w:rsidRPr="003B61DC">
          <w:rPr>
            <w:rStyle w:val="Hyperlink"/>
          </w:rPr>
          <w:t>Senate Appropriations Bill Would Level-Fund Most Education Programs, Protect Allocation Dates</w:t>
        </w:r>
        <w:r>
          <w:rPr>
            <w:webHidden/>
          </w:rPr>
          <w:tab/>
        </w:r>
        <w:r>
          <w:rPr>
            <w:webHidden/>
          </w:rPr>
          <w:fldChar w:fldCharType="begin"/>
        </w:r>
        <w:r>
          <w:rPr>
            <w:webHidden/>
          </w:rPr>
          <w:instrText xml:space="preserve"> PAGEREF _Toc204938800 \h </w:instrText>
        </w:r>
        <w:r>
          <w:rPr>
            <w:webHidden/>
          </w:rPr>
        </w:r>
        <w:r>
          <w:rPr>
            <w:webHidden/>
          </w:rPr>
          <w:fldChar w:fldCharType="separate"/>
        </w:r>
        <w:r>
          <w:rPr>
            <w:webHidden/>
          </w:rPr>
          <w:t>1</w:t>
        </w:r>
        <w:r>
          <w:rPr>
            <w:webHidden/>
          </w:rPr>
          <w:fldChar w:fldCharType="end"/>
        </w:r>
      </w:hyperlink>
    </w:p>
    <w:p w14:paraId="438AEAFC" w14:textId="5A7D8DC4" w:rsidR="00A20B6D" w:rsidRDefault="00A20B6D">
      <w:pPr>
        <w:pStyle w:val="TOC3"/>
        <w:rPr>
          <w:rFonts w:asciiTheme="minorHAnsi" w:eastAsiaTheme="minorEastAsia" w:hAnsiTheme="minorHAnsi" w:cstheme="minorBidi"/>
          <w:b w:val="0"/>
          <w:kern w:val="2"/>
          <w:sz w:val="24"/>
          <w:szCs w:val="24"/>
          <w14:ligatures w14:val="standardContextual"/>
        </w:rPr>
      </w:pPr>
      <w:hyperlink w:anchor="_Toc204938801" w:history="1">
        <w:r w:rsidRPr="003B61DC">
          <w:rPr>
            <w:rStyle w:val="Hyperlink"/>
          </w:rPr>
          <w:t>Grant Award Notifications Roll Out for Formerly Withheld Funds</w:t>
        </w:r>
        <w:r>
          <w:rPr>
            <w:webHidden/>
          </w:rPr>
          <w:tab/>
        </w:r>
        <w:r>
          <w:rPr>
            <w:webHidden/>
          </w:rPr>
          <w:fldChar w:fldCharType="begin"/>
        </w:r>
        <w:r>
          <w:rPr>
            <w:webHidden/>
          </w:rPr>
          <w:instrText xml:space="preserve"> PAGEREF _Toc204938801 \h </w:instrText>
        </w:r>
        <w:r>
          <w:rPr>
            <w:webHidden/>
          </w:rPr>
        </w:r>
        <w:r>
          <w:rPr>
            <w:webHidden/>
          </w:rPr>
          <w:fldChar w:fldCharType="separate"/>
        </w:r>
        <w:r>
          <w:rPr>
            <w:webHidden/>
          </w:rPr>
          <w:t>2</w:t>
        </w:r>
        <w:r>
          <w:rPr>
            <w:webHidden/>
          </w:rPr>
          <w:fldChar w:fldCharType="end"/>
        </w:r>
      </w:hyperlink>
    </w:p>
    <w:p w14:paraId="4365B005" w14:textId="31C69C4B" w:rsidR="00A20B6D" w:rsidRDefault="00A20B6D">
      <w:pPr>
        <w:pStyle w:val="TOC3"/>
        <w:rPr>
          <w:rFonts w:asciiTheme="minorHAnsi" w:eastAsiaTheme="minorEastAsia" w:hAnsiTheme="minorHAnsi" w:cstheme="minorBidi"/>
          <w:b w:val="0"/>
          <w:kern w:val="2"/>
          <w:sz w:val="24"/>
          <w:szCs w:val="24"/>
          <w14:ligatures w14:val="standardContextual"/>
        </w:rPr>
      </w:pPr>
      <w:hyperlink w:anchor="_Toc204938802" w:history="1">
        <w:r w:rsidRPr="003B61DC">
          <w:rPr>
            <w:rStyle w:val="Hyperlink"/>
          </w:rPr>
          <w:t>DOJ Releases Guidance on DEI</w:t>
        </w:r>
        <w:r>
          <w:rPr>
            <w:webHidden/>
          </w:rPr>
          <w:tab/>
        </w:r>
        <w:r>
          <w:rPr>
            <w:webHidden/>
          </w:rPr>
          <w:fldChar w:fldCharType="begin"/>
        </w:r>
        <w:r>
          <w:rPr>
            <w:webHidden/>
          </w:rPr>
          <w:instrText xml:space="preserve"> PAGEREF _Toc204938802 \h </w:instrText>
        </w:r>
        <w:r>
          <w:rPr>
            <w:webHidden/>
          </w:rPr>
        </w:r>
        <w:r>
          <w:rPr>
            <w:webHidden/>
          </w:rPr>
          <w:fldChar w:fldCharType="separate"/>
        </w:r>
        <w:r>
          <w:rPr>
            <w:webHidden/>
          </w:rPr>
          <w:t>3</w:t>
        </w:r>
        <w:r>
          <w:rPr>
            <w:webHidden/>
          </w:rPr>
          <w:fldChar w:fldCharType="end"/>
        </w:r>
      </w:hyperlink>
    </w:p>
    <w:p w14:paraId="2F1E8DED" w14:textId="2003986B" w:rsidR="00A20B6D" w:rsidRDefault="00A20B6D">
      <w:pPr>
        <w:pStyle w:val="TOC3"/>
        <w:rPr>
          <w:rFonts w:asciiTheme="minorHAnsi" w:eastAsiaTheme="minorEastAsia" w:hAnsiTheme="minorHAnsi" w:cstheme="minorBidi"/>
          <w:b w:val="0"/>
          <w:kern w:val="2"/>
          <w:sz w:val="24"/>
          <w:szCs w:val="24"/>
          <w14:ligatures w14:val="standardContextual"/>
        </w:rPr>
      </w:pPr>
      <w:hyperlink w:anchor="_Toc204938803" w:history="1">
        <w:r w:rsidRPr="003B61DC">
          <w:rPr>
            <w:rStyle w:val="Hyperlink"/>
          </w:rPr>
          <w:t>ED Issues Dear Colleague on ESEA Flexibilities</w:t>
        </w:r>
        <w:r>
          <w:rPr>
            <w:webHidden/>
          </w:rPr>
          <w:tab/>
        </w:r>
        <w:r>
          <w:rPr>
            <w:webHidden/>
          </w:rPr>
          <w:fldChar w:fldCharType="begin"/>
        </w:r>
        <w:r>
          <w:rPr>
            <w:webHidden/>
          </w:rPr>
          <w:instrText xml:space="preserve"> PAGEREF _Toc204938803 \h </w:instrText>
        </w:r>
        <w:r>
          <w:rPr>
            <w:webHidden/>
          </w:rPr>
        </w:r>
        <w:r>
          <w:rPr>
            <w:webHidden/>
          </w:rPr>
          <w:fldChar w:fldCharType="separate"/>
        </w:r>
        <w:r>
          <w:rPr>
            <w:webHidden/>
          </w:rPr>
          <w:t>4</w:t>
        </w:r>
        <w:r>
          <w:rPr>
            <w:webHidden/>
          </w:rPr>
          <w:fldChar w:fldCharType="end"/>
        </w:r>
      </w:hyperlink>
    </w:p>
    <w:p w14:paraId="42379C55" w14:textId="6B152526" w:rsidR="00A20B6D" w:rsidRDefault="00A20B6D">
      <w:pPr>
        <w:pStyle w:val="TOC2"/>
        <w:rPr>
          <w:rFonts w:asciiTheme="minorHAnsi" w:eastAsiaTheme="minorEastAsia" w:hAnsiTheme="minorHAnsi" w:cstheme="minorBidi"/>
          <w:b w:val="0"/>
          <w:kern w:val="2"/>
          <w:sz w:val="24"/>
          <w:szCs w:val="24"/>
          <w14:ligatures w14:val="standardContextual"/>
        </w:rPr>
      </w:pPr>
      <w:hyperlink w:anchor="_Toc204938804" w:history="1">
        <w:r w:rsidRPr="003B61DC">
          <w:rPr>
            <w:rStyle w:val="Hyperlink"/>
          </w:rPr>
          <w:t>News</w:t>
        </w:r>
        <w:r>
          <w:rPr>
            <w:webHidden/>
          </w:rPr>
          <w:tab/>
        </w:r>
        <w:r>
          <w:rPr>
            <w:webHidden/>
          </w:rPr>
          <w:fldChar w:fldCharType="begin"/>
        </w:r>
        <w:r>
          <w:rPr>
            <w:webHidden/>
          </w:rPr>
          <w:instrText xml:space="preserve"> PAGEREF _Toc204938804 \h </w:instrText>
        </w:r>
        <w:r>
          <w:rPr>
            <w:webHidden/>
          </w:rPr>
        </w:r>
        <w:r>
          <w:rPr>
            <w:webHidden/>
          </w:rPr>
          <w:fldChar w:fldCharType="separate"/>
        </w:r>
        <w:r>
          <w:rPr>
            <w:webHidden/>
          </w:rPr>
          <w:t>5</w:t>
        </w:r>
        <w:r>
          <w:rPr>
            <w:webHidden/>
          </w:rPr>
          <w:fldChar w:fldCharType="end"/>
        </w:r>
      </w:hyperlink>
    </w:p>
    <w:p w14:paraId="6A753D8C" w14:textId="7E21243B" w:rsidR="00A20B6D" w:rsidRDefault="00A20B6D">
      <w:pPr>
        <w:pStyle w:val="TOC3"/>
        <w:rPr>
          <w:rFonts w:asciiTheme="minorHAnsi" w:eastAsiaTheme="minorEastAsia" w:hAnsiTheme="minorHAnsi" w:cstheme="minorBidi"/>
          <w:b w:val="0"/>
          <w:kern w:val="2"/>
          <w:sz w:val="24"/>
          <w:szCs w:val="24"/>
          <w14:ligatures w14:val="standardContextual"/>
        </w:rPr>
      </w:pPr>
      <w:hyperlink w:anchor="_Toc204938805" w:history="1">
        <w:r w:rsidRPr="003B61DC">
          <w:rPr>
            <w:rStyle w:val="Hyperlink"/>
          </w:rPr>
          <w:t>Administration Will Pause Enforcement of PRWORA Changes in Some States</w:t>
        </w:r>
        <w:r>
          <w:rPr>
            <w:webHidden/>
          </w:rPr>
          <w:tab/>
        </w:r>
        <w:r>
          <w:rPr>
            <w:webHidden/>
          </w:rPr>
          <w:fldChar w:fldCharType="begin"/>
        </w:r>
        <w:r>
          <w:rPr>
            <w:webHidden/>
          </w:rPr>
          <w:instrText xml:space="preserve"> PAGEREF _Toc204938805 \h </w:instrText>
        </w:r>
        <w:r>
          <w:rPr>
            <w:webHidden/>
          </w:rPr>
        </w:r>
        <w:r>
          <w:rPr>
            <w:webHidden/>
          </w:rPr>
          <w:fldChar w:fldCharType="separate"/>
        </w:r>
        <w:r>
          <w:rPr>
            <w:webHidden/>
          </w:rPr>
          <w:t>5</w:t>
        </w:r>
        <w:r>
          <w:rPr>
            <w:webHidden/>
          </w:rPr>
          <w:fldChar w:fldCharType="end"/>
        </w:r>
      </w:hyperlink>
    </w:p>
    <w:p w14:paraId="2EC70771" w14:textId="0C583560" w:rsidR="00A20B6D" w:rsidRDefault="00A20B6D">
      <w:pPr>
        <w:pStyle w:val="TOC3"/>
        <w:rPr>
          <w:rFonts w:asciiTheme="minorHAnsi" w:eastAsiaTheme="minorEastAsia" w:hAnsiTheme="minorHAnsi" w:cstheme="minorBidi"/>
          <w:b w:val="0"/>
          <w:kern w:val="2"/>
          <w:sz w:val="24"/>
          <w:szCs w:val="24"/>
          <w14:ligatures w14:val="standardContextual"/>
        </w:rPr>
      </w:pPr>
      <w:hyperlink w:anchor="_Toc204938806" w:history="1">
        <w:r w:rsidRPr="003B61DC">
          <w:rPr>
            <w:rStyle w:val="Hyperlink"/>
          </w:rPr>
          <w:t>ED Nominee Withdraws from Consideration</w:t>
        </w:r>
        <w:r>
          <w:rPr>
            <w:webHidden/>
          </w:rPr>
          <w:tab/>
        </w:r>
        <w:r>
          <w:rPr>
            <w:webHidden/>
          </w:rPr>
          <w:fldChar w:fldCharType="begin"/>
        </w:r>
        <w:r>
          <w:rPr>
            <w:webHidden/>
          </w:rPr>
          <w:instrText xml:space="preserve"> PAGEREF _Toc204938806 \h </w:instrText>
        </w:r>
        <w:r>
          <w:rPr>
            <w:webHidden/>
          </w:rPr>
        </w:r>
        <w:r>
          <w:rPr>
            <w:webHidden/>
          </w:rPr>
          <w:fldChar w:fldCharType="separate"/>
        </w:r>
        <w:r>
          <w:rPr>
            <w:webHidden/>
          </w:rPr>
          <w:t>5</w:t>
        </w:r>
        <w:r>
          <w:rPr>
            <w:webHidden/>
          </w:rPr>
          <w:fldChar w:fldCharType="end"/>
        </w:r>
      </w:hyperlink>
    </w:p>
    <w:p w14:paraId="553D207F" w14:textId="24753CE4" w:rsidR="003F0F36" w:rsidRDefault="2B7AD178" w:rsidP="00B54051">
      <w:pPr>
        <w:pStyle w:val="TOC3"/>
      </w:pPr>
      <w:r>
        <w:fldChar w:fldCharType="end"/>
      </w:r>
    </w:p>
    <w:p w14:paraId="01926CEB" w14:textId="0F6F1C76" w:rsidR="00E739E1" w:rsidRDefault="00E739E1" w:rsidP="003F0F36">
      <w:pPr>
        <w:pStyle w:val="Heading2"/>
        <w:spacing w:before="0"/>
      </w:pPr>
      <w:bookmarkStart w:id="6" w:name="_Toc1800134610"/>
      <w:bookmarkStart w:id="7" w:name="_Toc204938799"/>
      <w:r>
        <w:t>Legislation and Guidance</w:t>
      </w:r>
      <w:bookmarkEnd w:id="6"/>
      <w:bookmarkEnd w:id="7"/>
    </w:p>
    <w:p w14:paraId="49824CD9" w14:textId="4A66D404" w:rsidR="00F719B9" w:rsidRDefault="00DA2883" w:rsidP="00D61C8E">
      <w:pPr>
        <w:pStyle w:val="Heading3"/>
      </w:pPr>
      <w:bookmarkStart w:id="8" w:name="_Toc204938800"/>
      <w:r>
        <w:t>Senate Appropriations Bill Would Level-Fund Most Education Programs, Protect Allocation Dates</w:t>
      </w:r>
      <w:bookmarkEnd w:id="8"/>
    </w:p>
    <w:p w14:paraId="6F83E775" w14:textId="2FAFAD41" w:rsidR="00DA2883" w:rsidRDefault="00DA2883" w:rsidP="00DA2883">
      <w:r>
        <w:t>The Senate Appropriations Committee approved legislation Thursday afternoon that would fund the Departments of Labor, Health and Human Services, and Education for federal fiscal year (FY) 2026.  The legislation would free</w:t>
      </w:r>
      <w:r w:rsidR="008D2E55">
        <w:t>ze</w:t>
      </w:r>
      <w:r>
        <w:t xml:space="preserve"> funding for the Department of Education</w:t>
      </w:r>
      <w:r w:rsidR="00C67F81">
        <w:t xml:space="preserve"> (ED)</w:t>
      </w:r>
      <w:r>
        <w:t xml:space="preserve"> at FY 2024 levels</w:t>
      </w:r>
      <w:r w:rsidR="0036218B">
        <w:t>, rejecting the President’s request to cut funding for the agency by more than 15%.</w:t>
      </w:r>
      <w:r w:rsidR="0058265B">
        <w:t xml:space="preserve">  A table with funding levels is below</w:t>
      </w:r>
      <w:r w:rsidR="00BE3722">
        <w:t xml:space="preserve">, </w:t>
      </w:r>
      <w:r w:rsidR="00467E07">
        <w:t xml:space="preserve">reflecting amounts </w:t>
      </w:r>
      <w:r w:rsidR="00BE3722">
        <w:t>in millions of dollars (unless otherwise specified)</w:t>
      </w:r>
      <w:r w:rsidR="0058265B">
        <w:t>:</w:t>
      </w:r>
    </w:p>
    <w:p w14:paraId="6AF9D7AE" w14:textId="77777777" w:rsidR="00693985" w:rsidRDefault="00693985" w:rsidP="00DA2883"/>
    <w:tbl>
      <w:tblPr>
        <w:tblStyle w:val="TableGrid"/>
        <w:tblW w:w="9846" w:type="dxa"/>
        <w:tblLook w:val="0420" w:firstRow="1" w:lastRow="0" w:firstColumn="0" w:lastColumn="0" w:noHBand="0" w:noVBand="1"/>
      </w:tblPr>
      <w:tblGrid>
        <w:gridCol w:w="2695"/>
        <w:gridCol w:w="1530"/>
        <w:gridCol w:w="1530"/>
        <w:gridCol w:w="2250"/>
        <w:gridCol w:w="1841"/>
      </w:tblGrid>
      <w:tr w:rsidR="00BC7F1C" w:rsidRPr="00351561" w14:paraId="71610861" w14:textId="77777777" w:rsidTr="00BE3722">
        <w:trPr>
          <w:trHeight w:val="622"/>
        </w:trPr>
        <w:tc>
          <w:tcPr>
            <w:tcW w:w="2695" w:type="dxa"/>
            <w:shd w:val="clear" w:color="auto" w:fill="E7E6E6" w:themeFill="background2"/>
            <w:hideMark/>
          </w:tcPr>
          <w:p w14:paraId="5D0BBF95" w14:textId="77777777" w:rsidR="00BC7F1C" w:rsidRPr="00351561" w:rsidRDefault="00BC7F1C" w:rsidP="009F38B9">
            <w:pPr>
              <w:spacing w:before="0" w:after="0"/>
              <w:contextualSpacing/>
              <w:mirrorIndents/>
              <w:rPr>
                <w:rFonts w:ascii="Aptos" w:hAnsi="Aptos"/>
                <w:sz w:val="22"/>
                <w:szCs w:val="22"/>
              </w:rPr>
            </w:pPr>
            <w:r w:rsidRPr="00351561">
              <w:rPr>
                <w:rFonts w:ascii="Aptos" w:hAnsi="Aptos"/>
                <w:b/>
                <w:bCs/>
                <w:sz w:val="22"/>
                <w:szCs w:val="22"/>
              </w:rPr>
              <w:lastRenderedPageBreak/>
              <w:t>Program</w:t>
            </w:r>
          </w:p>
        </w:tc>
        <w:tc>
          <w:tcPr>
            <w:tcW w:w="1530" w:type="dxa"/>
            <w:shd w:val="clear" w:color="auto" w:fill="E7E6E6" w:themeFill="background2"/>
            <w:hideMark/>
          </w:tcPr>
          <w:p w14:paraId="6EC5DF04" w14:textId="50C35209" w:rsidR="00BC7F1C" w:rsidRPr="00351561" w:rsidRDefault="00BC7F1C" w:rsidP="00BE3722">
            <w:pPr>
              <w:spacing w:before="0" w:after="0"/>
              <w:contextualSpacing/>
              <w:mirrorIndents/>
              <w:rPr>
                <w:rFonts w:ascii="Aptos" w:hAnsi="Aptos"/>
                <w:sz w:val="22"/>
                <w:szCs w:val="22"/>
              </w:rPr>
            </w:pPr>
            <w:r w:rsidRPr="00351561">
              <w:rPr>
                <w:rFonts w:ascii="Aptos" w:hAnsi="Aptos"/>
                <w:b/>
                <w:bCs/>
                <w:sz w:val="22"/>
                <w:szCs w:val="22"/>
              </w:rPr>
              <w:t>FY 2024 Final</w:t>
            </w:r>
          </w:p>
        </w:tc>
        <w:tc>
          <w:tcPr>
            <w:tcW w:w="1530" w:type="dxa"/>
            <w:shd w:val="clear" w:color="auto" w:fill="E7E6E6" w:themeFill="background2"/>
            <w:hideMark/>
          </w:tcPr>
          <w:p w14:paraId="2E12221E" w14:textId="67FCB575" w:rsidR="00BC7F1C" w:rsidRPr="00351561" w:rsidRDefault="00BC7F1C" w:rsidP="009F38B9">
            <w:pPr>
              <w:spacing w:before="0" w:after="0"/>
              <w:contextualSpacing/>
              <w:mirrorIndents/>
              <w:rPr>
                <w:rFonts w:ascii="Aptos" w:hAnsi="Aptos"/>
                <w:sz w:val="22"/>
                <w:szCs w:val="22"/>
              </w:rPr>
            </w:pPr>
            <w:r w:rsidRPr="00351561">
              <w:rPr>
                <w:rFonts w:ascii="Aptos" w:hAnsi="Aptos"/>
                <w:b/>
                <w:bCs/>
                <w:sz w:val="22"/>
                <w:szCs w:val="22"/>
              </w:rPr>
              <w:t xml:space="preserve">FY 2025 </w:t>
            </w:r>
            <w:r>
              <w:rPr>
                <w:rFonts w:ascii="Aptos" w:hAnsi="Aptos"/>
                <w:b/>
                <w:bCs/>
                <w:sz w:val="22"/>
                <w:szCs w:val="22"/>
              </w:rPr>
              <w:t>CR</w:t>
            </w:r>
          </w:p>
        </w:tc>
        <w:tc>
          <w:tcPr>
            <w:tcW w:w="2250" w:type="dxa"/>
            <w:shd w:val="clear" w:color="auto" w:fill="E7E6E6" w:themeFill="background2"/>
          </w:tcPr>
          <w:p w14:paraId="55C1D027" w14:textId="05CBAA35" w:rsidR="00BC7F1C" w:rsidRDefault="00BC7F1C" w:rsidP="009F38B9">
            <w:pPr>
              <w:spacing w:before="0" w:after="0"/>
              <w:contextualSpacing/>
              <w:mirrorIndents/>
              <w:rPr>
                <w:rFonts w:ascii="Aptos" w:hAnsi="Aptos"/>
                <w:b/>
                <w:bCs/>
                <w:sz w:val="22"/>
                <w:szCs w:val="22"/>
              </w:rPr>
            </w:pPr>
            <w:r>
              <w:rPr>
                <w:rFonts w:ascii="Aptos" w:hAnsi="Aptos"/>
                <w:b/>
                <w:bCs/>
                <w:sz w:val="22"/>
                <w:szCs w:val="22"/>
              </w:rPr>
              <w:t>FY 2026 President’s Proposal</w:t>
            </w:r>
          </w:p>
        </w:tc>
        <w:tc>
          <w:tcPr>
            <w:tcW w:w="1841" w:type="dxa"/>
            <w:shd w:val="clear" w:color="auto" w:fill="E7E6E6" w:themeFill="background2"/>
          </w:tcPr>
          <w:p w14:paraId="3D21049D" w14:textId="43EBE8C4" w:rsidR="00BC7F1C" w:rsidRPr="00351561" w:rsidRDefault="00BC7F1C" w:rsidP="009F38B9">
            <w:pPr>
              <w:spacing w:before="0" w:after="0"/>
              <w:contextualSpacing/>
              <w:mirrorIndents/>
              <w:rPr>
                <w:rFonts w:ascii="Aptos" w:hAnsi="Aptos"/>
                <w:b/>
                <w:bCs/>
                <w:sz w:val="22"/>
                <w:szCs w:val="22"/>
              </w:rPr>
            </w:pPr>
            <w:r>
              <w:rPr>
                <w:rFonts w:ascii="Aptos" w:hAnsi="Aptos"/>
                <w:b/>
                <w:bCs/>
                <w:sz w:val="22"/>
                <w:szCs w:val="22"/>
              </w:rPr>
              <w:t>FY 2026 Senate Bill</w:t>
            </w:r>
          </w:p>
        </w:tc>
      </w:tr>
      <w:tr w:rsidR="00BC7F1C" w:rsidRPr="00351561" w14:paraId="2BC813BE" w14:textId="77777777" w:rsidTr="00BE3722">
        <w:trPr>
          <w:trHeight w:val="410"/>
        </w:trPr>
        <w:tc>
          <w:tcPr>
            <w:tcW w:w="2695" w:type="dxa"/>
            <w:hideMark/>
          </w:tcPr>
          <w:p w14:paraId="328B733D" w14:textId="77777777" w:rsidR="00BC7F1C" w:rsidRPr="00351561" w:rsidRDefault="00BC7F1C" w:rsidP="009F38B9">
            <w:pPr>
              <w:spacing w:before="0" w:after="0"/>
              <w:contextualSpacing/>
              <w:mirrorIndents/>
              <w:rPr>
                <w:rFonts w:ascii="Aptos" w:hAnsi="Aptos"/>
                <w:sz w:val="22"/>
                <w:szCs w:val="22"/>
              </w:rPr>
            </w:pPr>
            <w:r w:rsidRPr="00351561">
              <w:rPr>
                <w:rFonts w:ascii="Aptos" w:hAnsi="Aptos"/>
                <w:sz w:val="22"/>
                <w:szCs w:val="22"/>
              </w:rPr>
              <w:t xml:space="preserve"> ESEA Title I-A</w:t>
            </w:r>
          </w:p>
        </w:tc>
        <w:tc>
          <w:tcPr>
            <w:tcW w:w="1530" w:type="dxa"/>
            <w:hideMark/>
          </w:tcPr>
          <w:p w14:paraId="2AD0CAB2" w14:textId="77777777" w:rsidR="00BC7F1C" w:rsidRPr="00351561" w:rsidRDefault="00BC7F1C" w:rsidP="009F38B9">
            <w:pPr>
              <w:spacing w:before="0" w:after="0"/>
              <w:contextualSpacing/>
              <w:mirrorIndents/>
              <w:rPr>
                <w:rFonts w:ascii="Aptos" w:hAnsi="Aptos"/>
                <w:sz w:val="22"/>
                <w:szCs w:val="22"/>
              </w:rPr>
            </w:pPr>
            <w:r w:rsidRPr="00351561">
              <w:rPr>
                <w:rFonts w:ascii="Aptos" w:hAnsi="Aptos"/>
                <w:sz w:val="22"/>
                <w:szCs w:val="22"/>
              </w:rPr>
              <w:t>$18,407</w:t>
            </w:r>
          </w:p>
        </w:tc>
        <w:tc>
          <w:tcPr>
            <w:tcW w:w="1530" w:type="dxa"/>
            <w:hideMark/>
          </w:tcPr>
          <w:p w14:paraId="4D17A990" w14:textId="77777777" w:rsidR="00BC7F1C" w:rsidRPr="00351561" w:rsidRDefault="00BC7F1C" w:rsidP="009F38B9">
            <w:pPr>
              <w:spacing w:before="0" w:after="0"/>
              <w:contextualSpacing/>
              <w:mirrorIndents/>
              <w:rPr>
                <w:rFonts w:ascii="Aptos" w:hAnsi="Aptos"/>
                <w:sz w:val="22"/>
                <w:szCs w:val="22"/>
              </w:rPr>
            </w:pPr>
            <w:r w:rsidRPr="00351561">
              <w:rPr>
                <w:rFonts w:ascii="Aptos" w:hAnsi="Aptos"/>
                <w:sz w:val="22"/>
                <w:szCs w:val="22"/>
              </w:rPr>
              <w:t>$18,407</w:t>
            </w:r>
          </w:p>
        </w:tc>
        <w:tc>
          <w:tcPr>
            <w:tcW w:w="2250" w:type="dxa"/>
          </w:tcPr>
          <w:p w14:paraId="78460096" w14:textId="5CCD641C" w:rsidR="00BC7F1C" w:rsidRPr="00351561" w:rsidRDefault="00BC7F1C" w:rsidP="009F38B9">
            <w:pPr>
              <w:spacing w:before="0" w:after="0"/>
              <w:contextualSpacing/>
              <w:mirrorIndents/>
              <w:rPr>
                <w:rFonts w:ascii="Aptos" w:hAnsi="Aptos"/>
                <w:sz w:val="22"/>
                <w:szCs w:val="22"/>
              </w:rPr>
            </w:pPr>
            <w:r>
              <w:rPr>
                <w:rFonts w:ascii="Aptos" w:hAnsi="Aptos"/>
                <w:sz w:val="22"/>
                <w:szCs w:val="22"/>
              </w:rPr>
              <w:t>$18,407</w:t>
            </w:r>
          </w:p>
        </w:tc>
        <w:tc>
          <w:tcPr>
            <w:tcW w:w="1841" w:type="dxa"/>
          </w:tcPr>
          <w:p w14:paraId="0F8BB01B" w14:textId="1EA435A8" w:rsidR="00BC7F1C" w:rsidRPr="00351561" w:rsidRDefault="00BC7F1C" w:rsidP="009F38B9">
            <w:pPr>
              <w:spacing w:before="0" w:after="0"/>
              <w:contextualSpacing/>
              <w:mirrorIndents/>
              <w:rPr>
                <w:rFonts w:ascii="Aptos" w:hAnsi="Aptos"/>
                <w:sz w:val="22"/>
                <w:szCs w:val="22"/>
              </w:rPr>
            </w:pPr>
            <w:r>
              <w:rPr>
                <w:rFonts w:ascii="Aptos" w:hAnsi="Aptos"/>
                <w:sz w:val="22"/>
                <w:szCs w:val="22"/>
              </w:rPr>
              <w:t>$18,457</w:t>
            </w:r>
          </w:p>
        </w:tc>
      </w:tr>
      <w:tr w:rsidR="00BC7F1C" w:rsidRPr="00351561" w14:paraId="56012537" w14:textId="77777777" w:rsidTr="00BE3722">
        <w:trPr>
          <w:trHeight w:val="890"/>
        </w:trPr>
        <w:tc>
          <w:tcPr>
            <w:tcW w:w="2695" w:type="dxa"/>
            <w:hideMark/>
          </w:tcPr>
          <w:p w14:paraId="35AA32E5" w14:textId="77777777" w:rsidR="00BC7F1C" w:rsidRPr="00351561" w:rsidRDefault="00BC7F1C" w:rsidP="009F38B9">
            <w:pPr>
              <w:spacing w:before="0" w:after="0"/>
              <w:contextualSpacing/>
              <w:mirrorIndents/>
              <w:rPr>
                <w:rFonts w:ascii="Aptos" w:hAnsi="Aptos"/>
                <w:sz w:val="22"/>
                <w:szCs w:val="22"/>
              </w:rPr>
            </w:pPr>
            <w:r w:rsidRPr="00351561">
              <w:rPr>
                <w:rFonts w:ascii="Aptos" w:hAnsi="Aptos"/>
                <w:sz w:val="22"/>
                <w:szCs w:val="22"/>
              </w:rPr>
              <w:t xml:space="preserve"> ESEA Title II-A,</w:t>
            </w:r>
          </w:p>
          <w:p w14:paraId="5D6F50FC" w14:textId="77777777" w:rsidR="00BC7F1C" w:rsidRPr="00351561" w:rsidRDefault="00BC7F1C" w:rsidP="009F38B9">
            <w:pPr>
              <w:spacing w:before="0" w:after="0"/>
              <w:contextualSpacing/>
              <w:mirrorIndents/>
              <w:rPr>
                <w:rFonts w:ascii="Aptos" w:hAnsi="Aptos"/>
                <w:sz w:val="22"/>
                <w:szCs w:val="22"/>
              </w:rPr>
            </w:pPr>
            <w:r w:rsidRPr="00351561">
              <w:rPr>
                <w:rFonts w:ascii="Aptos" w:hAnsi="Aptos"/>
                <w:sz w:val="22"/>
                <w:szCs w:val="22"/>
              </w:rPr>
              <w:t xml:space="preserve"> Supporting Effective </w:t>
            </w:r>
          </w:p>
          <w:p w14:paraId="1282AC91" w14:textId="77777777" w:rsidR="00BC7F1C" w:rsidRPr="00351561" w:rsidRDefault="00BC7F1C" w:rsidP="009F38B9">
            <w:pPr>
              <w:spacing w:before="0" w:after="0"/>
              <w:contextualSpacing/>
              <w:mirrorIndents/>
              <w:rPr>
                <w:rFonts w:ascii="Aptos" w:hAnsi="Aptos"/>
                <w:sz w:val="22"/>
                <w:szCs w:val="22"/>
              </w:rPr>
            </w:pPr>
            <w:r w:rsidRPr="00351561">
              <w:rPr>
                <w:rFonts w:ascii="Aptos" w:hAnsi="Aptos"/>
                <w:sz w:val="22"/>
                <w:szCs w:val="22"/>
              </w:rPr>
              <w:t xml:space="preserve"> Instruction</w:t>
            </w:r>
          </w:p>
        </w:tc>
        <w:tc>
          <w:tcPr>
            <w:tcW w:w="1530" w:type="dxa"/>
            <w:hideMark/>
          </w:tcPr>
          <w:p w14:paraId="3A22E20F" w14:textId="77777777" w:rsidR="00BC7F1C" w:rsidRPr="00351561" w:rsidRDefault="00BC7F1C" w:rsidP="009F38B9">
            <w:pPr>
              <w:spacing w:before="0" w:after="0"/>
              <w:contextualSpacing/>
              <w:mirrorIndents/>
              <w:rPr>
                <w:rFonts w:ascii="Aptos" w:hAnsi="Aptos"/>
                <w:sz w:val="22"/>
                <w:szCs w:val="22"/>
              </w:rPr>
            </w:pPr>
            <w:r w:rsidRPr="00351561">
              <w:rPr>
                <w:rFonts w:ascii="Aptos" w:hAnsi="Aptos"/>
                <w:sz w:val="22"/>
                <w:szCs w:val="22"/>
              </w:rPr>
              <w:t>$2,190</w:t>
            </w:r>
          </w:p>
        </w:tc>
        <w:tc>
          <w:tcPr>
            <w:tcW w:w="1530" w:type="dxa"/>
            <w:hideMark/>
          </w:tcPr>
          <w:p w14:paraId="3281844E" w14:textId="77777777" w:rsidR="00BC7F1C" w:rsidRPr="00351561" w:rsidRDefault="00BC7F1C" w:rsidP="009F38B9">
            <w:pPr>
              <w:spacing w:before="0" w:after="0"/>
              <w:contextualSpacing/>
              <w:mirrorIndents/>
              <w:rPr>
                <w:rFonts w:ascii="Aptos" w:hAnsi="Aptos"/>
                <w:sz w:val="22"/>
                <w:szCs w:val="22"/>
              </w:rPr>
            </w:pPr>
            <w:r w:rsidRPr="00351561">
              <w:rPr>
                <w:rFonts w:ascii="Aptos" w:hAnsi="Aptos"/>
                <w:sz w:val="22"/>
                <w:szCs w:val="22"/>
              </w:rPr>
              <w:t>(not specified)</w:t>
            </w:r>
          </w:p>
          <w:p w14:paraId="2DBD7077" w14:textId="502BEB26" w:rsidR="00BC7F1C" w:rsidRPr="00351561" w:rsidRDefault="00BC7F1C" w:rsidP="009F38B9">
            <w:pPr>
              <w:spacing w:before="0" w:after="0"/>
              <w:contextualSpacing/>
              <w:mirrorIndents/>
              <w:rPr>
                <w:rFonts w:ascii="Aptos" w:hAnsi="Aptos"/>
                <w:sz w:val="22"/>
                <w:szCs w:val="22"/>
              </w:rPr>
            </w:pPr>
          </w:p>
        </w:tc>
        <w:tc>
          <w:tcPr>
            <w:tcW w:w="2250" w:type="dxa"/>
          </w:tcPr>
          <w:p w14:paraId="3460194F" w14:textId="7083F81B" w:rsidR="00BC7F1C" w:rsidRPr="00351561" w:rsidRDefault="00BC7F1C" w:rsidP="009F38B9">
            <w:pPr>
              <w:spacing w:before="0" w:after="0"/>
              <w:contextualSpacing/>
              <w:mirrorIndents/>
              <w:rPr>
                <w:rFonts w:ascii="Aptos" w:hAnsi="Aptos"/>
                <w:sz w:val="22"/>
                <w:szCs w:val="22"/>
              </w:rPr>
            </w:pPr>
            <w:r>
              <w:rPr>
                <w:rFonts w:ascii="Aptos" w:hAnsi="Aptos"/>
                <w:sz w:val="22"/>
                <w:szCs w:val="22"/>
              </w:rPr>
              <w:t>$0</w:t>
            </w:r>
          </w:p>
        </w:tc>
        <w:tc>
          <w:tcPr>
            <w:tcW w:w="1841" w:type="dxa"/>
          </w:tcPr>
          <w:p w14:paraId="12F49152" w14:textId="0628A914" w:rsidR="00BC7F1C" w:rsidRPr="00351561" w:rsidRDefault="00BC7F1C" w:rsidP="009F38B9">
            <w:pPr>
              <w:spacing w:before="0" w:after="0"/>
              <w:contextualSpacing/>
              <w:mirrorIndents/>
              <w:rPr>
                <w:rFonts w:ascii="Aptos" w:hAnsi="Aptos"/>
                <w:sz w:val="22"/>
                <w:szCs w:val="22"/>
              </w:rPr>
            </w:pPr>
            <w:r>
              <w:rPr>
                <w:rFonts w:ascii="Aptos" w:hAnsi="Aptos"/>
                <w:sz w:val="22"/>
                <w:szCs w:val="22"/>
              </w:rPr>
              <w:t>$2,190</w:t>
            </w:r>
          </w:p>
        </w:tc>
      </w:tr>
      <w:tr w:rsidR="00BC7F1C" w:rsidRPr="00351561" w14:paraId="0E24223F" w14:textId="77777777" w:rsidTr="00BE3722">
        <w:trPr>
          <w:trHeight w:val="791"/>
        </w:trPr>
        <w:tc>
          <w:tcPr>
            <w:tcW w:w="2695" w:type="dxa"/>
            <w:hideMark/>
          </w:tcPr>
          <w:p w14:paraId="04FD8560" w14:textId="77777777" w:rsidR="00BC7F1C" w:rsidRPr="00351561" w:rsidRDefault="00BC7F1C" w:rsidP="009F38B9">
            <w:pPr>
              <w:spacing w:before="0" w:after="0"/>
              <w:contextualSpacing/>
              <w:mirrorIndents/>
              <w:rPr>
                <w:rFonts w:ascii="Aptos" w:hAnsi="Aptos"/>
                <w:sz w:val="22"/>
                <w:szCs w:val="22"/>
              </w:rPr>
            </w:pPr>
            <w:r w:rsidRPr="00351561">
              <w:rPr>
                <w:rFonts w:ascii="Aptos" w:hAnsi="Aptos"/>
                <w:sz w:val="22"/>
                <w:szCs w:val="22"/>
              </w:rPr>
              <w:t xml:space="preserve"> ESEA Title III-A,</w:t>
            </w:r>
          </w:p>
          <w:p w14:paraId="0CF277EA" w14:textId="77777777" w:rsidR="00BC7F1C" w:rsidRPr="00351561" w:rsidRDefault="00BC7F1C" w:rsidP="009F38B9">
            <w:pPr>
              <w:spacing w:before="0" w:after="0"/>
              <w:contextualSpacing/>
              <w:mirrorIndents/>
              <w:rPr>
                <w:rFonts w:ascii="Aptos" w:hAnsi="Aptos"/>
                <w:sz w:val="22"/>
                <w:szCs w:val="22"/>
              </w:rPr>
            </w:pPr>
            <w:r w:rsidRPr="00351561">
              <w:rPr>
                <w:rFonts w:ascii="Aptos" w:hAnsi="Aptos"/>
                <w:sz w:val="22"/>
                <w:szCs w:val="22"/>
              </w:rPr>
              <w:t xml:space="preserve"> English Language</w:t>
            </w:r>
          </w:p>
          <w:p w14:paraId="4CEEFCC9" w14:textId="77777777" w:rsidR="00BC7F1C" w:rsidRPr="00351561" w:rsidRDefault="00BC7F1C" w:rsidP="009F38B9">
            <w:pPr>
              <w:spacing w:before="0" w:after="0"/>
              <w:contextualSpacing/>
              <w:mirrorIndents/>
              <w:rPr>
                <w:rFonts w:ascii="Aptos" w:hAnsi="Aptos"/>
                <w:sz w:val="22"/>
                <w:szCs w:val="22"/>
              </w:rPr>
            </w:pPr>
            <w:r w:rsidRPr="00351561">
              <w:rPr>
                <w:rFonts w:ascii="Aptos" w:hAnsi="Aptos"/>
                <w:sz w:val="22"/>
                <w:szCs w:val="22"/>
              </w:rPr>
              <w:t xml:space="preserve"> Acquisition</w:t>
            </w:r>
          </w:p>
        </w:tc>
        <w:tc>
          <w:tcPr>
            <w:tcW w:w="1530" w:type="dxa"/>
            <w:hideMark/>
          </w:tcPr>
          <w:p w14:paraId="07648E61" w14:textId="77777777" w:rsidR="00BC7F1C" w:rsidRPr="00351561" w:rsidRDefault="00BC7F1C" w:rsidP="009F38B9">
            <w:pPr>
              <w:spacing w:before="0" w:after="0"/>
              <w:contextualSpacing/>
              <w:mirrorIndents/>
              <w:rPr>
                <w:rFonts w:ascii="Aptos" w:hAnsi="Aptos"/>
                <w:sz w:val="22"/>
                <w:szCs w:val="22"/>
              </w:rPr>
            </w:pPr>
            <w:r w:rsidRPr="00351561">
              <w:rPr>
                <w:rFonts w:ascii="Aptos" w:hAnsi="Aptos"/>
                <w:sz w:val="22"/>
                <w:szCs w:val="22"/>
              </w:rPr>
              <w:t>$890</w:t>
            </w:r>
          </w:p>
        </w:tc>
        <w:tc>
          <w:tcPr>
            <w:tcW w:w="1530" w:type="dxa"/>
            <w:hideMark/>
          </w:tcPr>
          <w:p w14:paraId="7AE9D1B8" w14:textId="77777777" w:rsidR="00BC7F1C" w:rsidRPr="00351561" w:rsidRDefault="00BC7F1C" w:rsidP="009F38B9">
            <w:pPr>
              <w:spacing w:before="0" w:after="0"/>
              <w:contextualSpacing/>
              <w:mirrorIndents/>
              <w:rPr>
                <w:rFonts w:ascii="Aptos" w:hAnsi="Aptos"/>
                <w:sz w:val="22"/>
                <w:szCs w:val="22"/>
              </w:rPr>
            </w:pPr>
            <w:r w:rsidRPr="00351561">
              <w:rPr>
                <w:rFonts w:ascii="Aptos" w:hAnsi="Aptos"/>
                <w:sz w:val="22"/>
                <w:szCs w:val="22"/>
              </w:rPr>
              <w:t>$890</w:t>
            </w:r>
          </w:p>
        </w:tc>
        <w:tc>
          <w:tcPr>
            <w:tcW w:w="2250" w:type="dxa"/>
          </w:tcPr>
          <w:p w14:paraId="64A6CAED" w14:textId="4BDED029" w:rsidR="00BC7F1C" w:rsidRPr="00351561" w:rsidRDefault="00BE3722" w:rsidP="009F38B9">
            <w:pPr>
              <w:spacing w:before="0" w:after="0"/>
              <w:contextualSpacing/>
              <w:mirrorIndents/>
              <w:rPr>
                <w:rFonts w:ascii="Aptos" w:hAnsi="Aptos"/>
                <w:sz w:val="22"/>
                <w:szCs w:val="22"/>
              </w:rPr>
            </w:pPr>
            <w:r>
              <w:rPr>
                <w:rFonts w:ascii="Aptos" w:hAnsi="Aptos"/>
                <w:sz w:val="22"/>
                <w:szCs w:val="22"/>
              </w:rPr>
              <w:t>$0</w:t>
            </w:r>
          </w:p>
        </w:tc>
        <w:tc>
          <w:tcPr>
            <w:tcW w:w="1841" w:type="dxa"/>
          </w:tcPr>
          <w:p w14:paraId="4FE896A2" w14:textId="195F9DFA" w:rsidR="00BC7F1C" w:rsidRPr="00351561" w:rsidRDefault="00BE3722" w:rsidP="009F38B9">
            <w:pPr>
              <w:spacing w:before="0" w:after="0"/>
              <w:contextualSpacing/>
              <w:mirrorIndents/>
              <w:rPr>
                <w:rFonts w:ascii="Aptos" w:hAnsi="Aptos"/>
                <w:sz w:val="22"/>
                <w:szCs w:val="22"/>
              </w:rPr>
            </w:pPr>
            <w:r>
              <w:rPr>
                <w:rFonts w:ascii="Aptos" w:hAnsi="Aptos"/>
                <w:sz w:val="22"/>
                <w:szCs w:val="22"/>
              </w:rPr>
              <w:t>$890</w:t>
            </w:r>
          </w:p>
        </w:tc>
      </w:tr>
      <w:tr w:rsidR="00BC7F1C" w:rsidRPr="00351561" w14:paraId="2B8EC7EA" w14:textId="77777777" w:rsidTr="00BE3722">
        <w:trPr>
          <w:trHeight w:val="350"/>
        </w:trPr>
        <w:tc>
          <w:tcPr>
            <w:tcW w:w="2695" w:type="dxa"/>
            <w:hideMark/>
          </w:tcPr>
          <w:p w14:paraId="1B4295BE" w14:textId="77777777" w:rsidR="00BC7F1C" w:rsidRPr="00351561" w:rsidRDefault="00BC7F1C" w:rsidP="009F38B9">
            <w:pPr>
              <w:spacing w:before="0" w:after="0"/>
              <w:contextualSpacing/>
              <w:mirrorIndents/>
              <w:rPr>
                <w:rFonts w:ascii="Aptos" w:hAnsi="Aptos"/>
                <w:sz w:val="22"/>
                <w:szCs w:val="22"/>
              </w:rPr>
            </w:pPr>
            <w:r w:rsidRPr="00351561">
              <w:rPr>
                <w:rFonts w:ascii="Aptos" w:hAnsi="Aptos"/>
                <w:sz w:val="22"/>
                <w:szCs w:val="22"/>
              </w:rPr>
              <w:t xml:space="preserve"> Title IV-A, SSAE</w:t>
            </w:r>
          </w:p>
        </w:tc>
        <w:tc>
          <w:tcPr>
            <w:tcW w:w="1530" w:type="dxa"/>
            <w:hideMark/>
          </w:tcPr>
          <w:p w14:paraId="64775F1B" w14:textId="77777777" w:rsidR="00BC7F1C" w:rsidRPr="00351561" w:rsidRDefault="00BC7F1C" w:rsidP="009F38B9">
            <w:pPr>
              <w:spacing w:before="0" w:after="0"/>
              <w:contextualSpacing/>
              <w:mirrorIndents/>
              <w:rPr>
                <w:rFonts w:ascii="Aptos" w:hAnsi="Aptos"/>
                <w:sz w:val="22"/>
                <w:szCs w:val="22"/>
              </w:rPr>
            </w:pPr>
            <w:r w:rsidRPr="00351561">
              <w:rPr>
                <w:rFonts w:ascii="Aptos" w:hAnsi="Aptos"/>
                <w:sz w:val="22"/>
                <w:szCs w:val="22"/>
              </w:rPr>
              <w:t>$1,380</w:t>
            </w:r>
          </w:p>
        </w:tc>
        <w:tc>
          <w:tcPr>
            <w:tcW w:w="1530" w:type="dxa"/>
            <w:hideMark/>
          </w:tcPr>
          <w:p w14:paraId="58DB1AAE" w14:textId="7FABB5B4" w:rsidR="00BC7F1C" w:rsidRPr="00351561" w:rsidRDefault="00BC7F1C" w:rsidP="009F38B9">
            <w:pPr>
              <w:spacing w:before="0" w:after="0"/>
              <w:contextualSpacing/>
              <w:mirrorIndents/>
              <w:rPr>
                <w:rFonts w:ascii="Aptos" w:hAnsi="Aptos"/>
                <w:sz w:val="22"/>
                <w:szCs w:val="22"/>
              </w:rPr>
            </w:pPr>
            <w:r w:rsidRPr="00351561">
              <w:rPr>
                <w:rFonts w:ascii="Aptos" w:hAnsi="Aptos"/>
                <w:sz w:val="22"/>
                <w:szCs w:val="22"/>
              </w:rPr>
              <w:t>$1,3</w:t>
            </w:r>
            <w:r>
              <w:rPr>
                <w:rFonts w:ascii="Aptos" w:hAnsi="Aptos"/>
                <w:sz w:val="22"/>
                <w:szCs w:val="22"/>
              </w:rPr>
              <w:t>8</w:t>
            </w:r>
            <w:r w:rsidRPr="00351561">
              <w:rPr>
                <w:rFonts w:ascii="Aptos" w:hAnsi="Aptos"/>
                <w:sz w:val="22"/>
                <w:szCs w:val="22"/>
              </w:rPr>
              <w:t>0</w:t>
            </w:r>
          </w:p>
        </w:tc>
        <w:tc>
          <w:tcPr>
            <w:tcW w:w="2250" w:type="dxa"/>
          </w:tcPr>
          <w:p w14:paraId="643FA349" w14:textId="34AD34B3" w:rsidR="00BC7F1C" w:rsidRPr="00351561" w:rsidRDefault="00BC7F1C" w:rsidP="009F38B9">
            <w:pPr>
              <w:spacing w:before="0" w:after="0"/>
              <w:contextualSpacing/>
              <w:mirrorIndents/>
              <w:rPr>
                <w:rFonts w:ascii="Aptos" w:hAnsi="Aptos"/>
                <w:sz w:val="22"/>
                <w:szCs w:val="22"/>
              </w:rPr>
            </w:pPr>
            <w:r>
              <w:rPr>
                <w:rFonts w:ascii="Aptos" w:hAnsi="Aptos"/>
                <w:sz w:val="22"/>
                <w:szCs w:val="22"/>
              </w:rPr>
              <w:t>$0</w:t>
            </w:r>
          </w:p>
        </w:tc>
        <w:tc>
          <w:tcPr>
            <w:tcW w:w="1841" w:type="dxa"/>
          </w:tcPr>
          <w:p w14:paraId="229FCC10" w14:textId="237826A8" w:rsidR="00BC7F1C" w:rsidRPr="00351561" w:rsidRDefault="00BC7F1C" w:rsidP="009F38B9">
            <w:pPr>
              <w:spacing w:before="0" w:after="0"/>
              <w:contextualSpacing/>
              <w:mirrorIndents/>
              <w:rPr>
                <w:rFonts w:ascii="Aptos" w:hAnsi="Aptos"/>
                <w:sz w:val="22"/>
                <w:szCs w:val="22"/>
              </w:rPr>
            </w:pPr>
            <w:r>
              <w:rPr>
                <w:rFonts w:ascii="Aptos" w:hAnsi="Aptos"/>
                <w:sz w:val="22"/>
                <w:szCs w:val="22"/>
              </w:rPr>
              <w:t>$1,380</w:t>
            </w:r>
          </w:p>
        </w:tc>
      </w:tr>
      <w:tr w:rsidR="00BC7F1C" w:rsidRPr="00351561" w14:paraId="0D05EC6A" w14:textId="77777777" w:rsidTr="00BE3722">
        <w:trPr>
          <w:trHeight w:val="530"/>
        </w:trPr>
        <w:tc>
          <w:tcPr>
            <w:tcW w:w="2695" w:type="dxa"/>
            <w:hideMark/>
          </w:tcPr>
          <w:p w14:paraId="1F981F85" w14:textId="77777777" w:rsidR="00BC7F1C" w:rsidRPr="00351561" w:rsidRDefault="00BC7F1C" w:rsidP="009F38B9">
            <w:pPr>
              <w:spacing w:before="0" w:after="0"/>
              <w:contextualSpacing/>
              <w:mirrorIndents/>
              <w:rPr>
                <w:rFonts w:ascii="Aptos" w:hAnsi="Aptos"/>
                <w:sz w:val="22"/>
                <w:szCs w:val="22"/>
              </w:rPr>
            </w:pPr>
            <w:r w:rsidRPr="00351561">
              <w:rPr>
                <w:rFonts w:ascii="Aptos" w:hAnsi="Aptos"/>
                <w:sz w:val="22"/>
                <w:szCs w:val="22"/>
              </w:rPr>
              <w:t xml:space="preserve"> ESEA Title IV-B,</w:t>
            </w:r>
          </w:p>
          <w:p w14:paraId="29FDFE0B" w14:textId="77777777" w:rsidR="00BC7F1C" w:rsidRPr="00351561" w:rsidRDefault="00BC7F1C" w:rsidP="009F38B9">
            <w:pPr>
              <w:spacing w:before="0" w:after="0"/>
              <w:contextualSpacing/>
              <w:mirrorIndents/>
              <w:rPr>
                <w:rFonts w:ascii="Aptos" w:hAnsi="Aptos"/>
                <w:sz w:val="22"/>
                <w:szCs w:val="22"/>
              </w:rPr>
            </w:pPr>
            <w:r w:rsidRPr="00351561">
              <w:rPr>
                <w:rFonts w:ascii="Aptos" w:hAnsi="Aptos"/>
                <w:sz w:val="22"/>
                <w:szCs w:val="22"/>
              </w:rPr>
              <w:t xml:space="preserve"> 21</w:t>
            </w:r>
            <w:r w:rsidRPr="00351561">
              <w:rPr>
                <w:rFonts w:ascii="Aptos" w:hAnsi="Aptos"/>
                <w:sz w:val="22"/>
                <w:szCs w:val="22"/>
                <w:vertAlign w:val="superscript"/>
              </w:rPr>
              <w:t>st</w:t>
            </w:r>
            <w:r w:rsidRPr="00351561">
              <w:rPr>
                <w:rFonts w:ascii="Aptos" w:hAnsi="Aptos"/>
                <w:sz w:val="22"/>
                <w:szCs w:val="22"/>
              </w:rPr>
              <w:t xml:space="preserve"> CCLC</w:t>
            </w:r>
          </w:p>
        </w:tc>
        <w:tc>
          <w:tcPr>
            <w:tcW w:w="1530" w:type="dxa"/>
            <w:hideMark/>
          </w:tcPr>
          <w:p w14:paraId="1007C5D7" w14:textId="77777777" w:rsidR="00BC7F1C" w:rsidRPr="00351561" w:rsidRDefault="00BC7F1C" w:rsidP="009F38B9">
            <w:pPr>
              <w:spacing w:before="0" w:after="0"/>
              <w:contextualSpacing/>
              <w:mirrorIndents/>
              <w:rPr>
                <w:rFonts w:ascii="Aptos" w:hAnsi="Aptos"/>
                <w:sz w:val="22"/>
                <w:szCs w:val="22"/>
              </w:rPr>
            </w:pPr>
            <w:r w:rsidRPr="00351561">
              <w:rPr>
                <w:rFonts w:ascii="Aptos" w:hAnsi="Aptos"/>
                <w:sz w:val="22"/>
                <w:szCs w:val="22"/>
              </w:rPr>
              <w:t>$1,330</w:t>
            </w:r>
          </w:p>
        </w:tc>
        <w:tc>
          <w:tcPr>
            <w:tcW w:w="1530" w:type="dxa"/>
            <w:hideMark/>
          </w:tcPr>
          <w:p w14:paraId="71A7DFE5" w14:textId="77777777" w:rsidR="00BC7F1C" w:rsidRPr="00351561" w:rsidRDefault="00BC7F1C" w:rsidP="009F38B9">
            <w:pPr>
              <w:spacing w:before="0" w:after="0"/>
              <w:contextualSpacing/>
              <w:mirrorIndents/>
              <w:rPr>
                <w:rFonts w:ascii="Aptos" w:hAnsi="Aptos"/>
                <w:sz w:val="22"/>
                <w:szCs w:val="22"/>
              </w:rPr>
            </w:pPr>
            <w:r w:rsidRPr="00351561">
              <w:rPr>
                <w:rFonts w:ascii="Aptos" w:hAnsi="Aptos"/>
                <w:sz w:val="22"/>
                <w:szCs w:val="22"/>
              </w:rPr>
              <w:t>$1,330</w:t>
            </w:r>
          </w:p>
        </w:tc>
        <w:tc>
          <w:tcPr>
            <w:tcW w:w="2250" w:type="dxa"/>
          </w:tcPr>
          <w:p w14:paraId="57EF6097" w14:textId="753F28E5" w:rsidR="00BC7F1C" w:rsidRPr="00351561" w:rsidRDefault="00BC7F1C" w:rsidP="009F38B9">
            <w:pPr>
              <w:spacing w:before="0" w:after="0"/>
              <w:contextualSpacing/>
              <w:mirrorIndents/>
              <w:rPr>
                <w:rFonts w:ascii="Aptos" w:hAnsi="Aptos"/>
                <w:sz w:val="22"/>
                <w:szCs w:val="22"/>
              </w:rPr>
            </w:pPr>
            <w:r>
              <w:rPr>
                <w:rFonts w:ascii="Aptos" w:hAnsi="Aptos"/>
                <w:sz w:val="22"/>
                <w:szCs w:val="22"/>
              </w:rPr>
              <w:t>$0</w:t>
            </w:r>
          </w:p>
        </w:tc>
        <w:tc>
          <w:tcPr>
            <w:tcW w:w="1841" w:type="dxa"/>
          </w:tcPr>
          <w:p w14:paraId="12F0CD3D" w14:textId="3E78B3AD" w:rsidR="00BC7F1C" w:rsidRPr="00351561" w:rsidRDefault="00BC7F1C" w:rsidP="009F38B9">
            <w:pPr>
              <w:spacing w:before="0" w:after="0"/>
              <w:contextualSpacing/>
              <w:mirrorIndents/>
              <w:rPr>
                <w:rFonts w:ascii="Aptos" w:hAnsi="Aptos"/>
                <w:sz w:val="22"/>
                <w:szCs w:val="22"/>
              </w:rPr>
            </w:pPr>
            <w:r>
              <w:rPr>
                <w:rFonts w:ascii="Aptos" w:hAnsi="Aptos"/>
                <w:sz w:val="22"/>
                <w:szCs w:val="22"/>
              </w:rPr>
              <w:t>$1,380</w:t>
            </w:r>
          </w:p>
        </w:tc>
      </w:tr>
      <w:tr w:rsidR="00BC7F1C" w:rsidRPr="00351561" w14:paraId="3D16B44E" w14:textId="77777777" w:rsidTr="00BE3722">
        <w:trPr>
          <w:trHeight w:val="873"/>
        </w:trPr>
        <w:tc>
          <w:tcPr>
            <w:tcW w:w="2695" w:type="dxa"/>
            <w:hideMark/>
          </w:tcPr>
          <w:p w14:paraId="374B441F" w14:textId="77777777" w:rsidR="00BC7F1C" w:rsidRPr="00351561" w:rsidRDefault="00BC7F1C" w:rsidP="009F38B9">
            <w:pPr>
              <w:spacing w:before="0" w:after="0"/>
              <w:contextualSpacing/>
              <w:mirrorIndents/>
              <w:rPr>
                <w:rFonts w:ascii="Aptos" w:hAnsi="Aptos"/>
                <w:sz w:val="22"/>
                <w:szCs w:val="22"/>
              </w:rPr>
            </w:pPr>
            <w:r w:rsidRPr="00351561">
              <w:rPr>
                <w:rFonts w:ascii="Aptos" w:hAnsi="Aptos"/>
                <w:sz w:val="22"/>
                <w:szCs w:val="22"/>
              </w:rPr>
              <w:t xml:space="preserve"> IDEA Part B State</w:t>
            </w:r>
          </w:p>
          <w:p w14:paraId="5D813A24" w14:textId="77777777" w:rsidR="00BC7F1C" w:rsidRPr="00351561" w:rsidRDefault="00BC7F1C" w:rsidP="009F38B9">
            <w:pPr>
              <w:spacing w:before="0" w:after="0"/>
              <w:contextualSpacing/>
              <w:mirrorIndents/>
              <w:rPr>
                <w:rFonts w:ascii="Aptos" w:hAnsi="Aptos"/>
                <w:sz w:val="22"/>
                <w:szCs w:val="22"/>
              </w:rPr>
            </w:pPr>
            <w:r w:rsidRPr="00351561">
              <w:rPr>
                <w:rFonts w:ascii="Aptos" w:hAnsi="Aptos"/>
                <w:sz w:val="22"/>
                <w:szCs w:val="22"/>
              </w:rPr>
              <w:t xml:space="preserve"> Grants</w:t>
            </w:r>
          </w:p>
        </w:tc>
        <w:tc>
          <w:tcPr>
            <w:tcW w:w="1530" w:type="dxa"/>
            <w:hideMark/>
          </w:tcPr>
          <w:p w14:paraId="41A071F6" w14:textId="77777777" w:rsidR="00BC7F1C" w:rsidRPr="00351561" w:rsidRDefault="00BC7F1C" w:rsidP="009F38B9">
            <w:pPr>
              <w:spacing w:before="0" w:after="0"/>
              <w:contextualSpacing/>
              <w:mirrorIndents/>
              <w:rPr>
                <w:rFonts w:ascii="Aptos" w:hAnsi="Aptos"/>
                <w:sz w:val="22"/>
                <w:szCs w:val="22"/>
              </w:rPr>
            </w:pPr>
            <w:r w:rsidRPr="00351561">
              <w:rPr>
                <w:rFonts w:ascii="Aptos" w:hAnsi="Aptos"/>
                <w:sz w:val="22"/>
                <w:szCs w:val="22"/>
              </w:rPr>
              <w:t>$14,214</w:t>
            </w:r>
          </w:p>
        </w:tc>
        <w:tc>
          <w:tcPr>
            <w:tcW w:w="1530" w:type="dxa"/>
            <w:hideMark/>
          </w:tcPr>
          <w:p w14:paraId="41AD919C" w14:textId="4EC46B09" w:rsidR="00BC7F1C" w:rsidRPr="00351561" w:rsidRDefault="00BC7F1C" w:rsidP="009F38B9">
            <w:pPr>
              <w:spacing w:before="0" w:after="0"/>
              <w:contextualSpacing/>
              <w:mirrorIndents/>
              <w:rPr>
                <w:rFonts w:ascii="Aptos" w:hAnsi="Aptos"/>
                <w:sz w:val="22"/>
                <w:szCs w:val="22"/>
              </w:rPr>
            </w:pPr>
            <w:r w:rsidRPr="00351561">
              <w:rPr>
                <w:rFonts w:ascii="Aptos" w:hAnsi="Aptos"/>
                <w:sz w:val="22"/>
                <w:szCs w:val="22"/>
              </w:rPr>
              <w:t>(not specified)</w:t>
            </w:r>
          </w:p>
        </w:tc>
        <w:tc>
          <w:tcPr>
            <w:tcW w:w="2250" w:type="dxa"/>
          </w:tcPr>
          <w:p w14:paraId="1C8C4015" w14:textId="310E19BB" w:rsidR="00BC7F1C" w:rsidRPr="00351561" w:rsidRDefault="00A33F0A" w:rsidP="009F38B9">
            <w:pPr>
              <w:spacing w:before="0" w:after="0"/>
              <w:contextualSpacing/>
              <w:mirrorIndents/>
              <w:rPr>
                <w:rFonts w:ascii="Aptos" w:hAnsi="Aptos"/>
                <w:sz w:val="22"/>
                <w:szCs w:val="22"/>
              </w:rPr>
            </w:pPr>
            <w:r>
              <w:rPr>
                <w:rFonts w:ascii="Aptos" w:hAnsi="Aptos"/>
                <w:sz w:val="22"/>
                <w:szCs w:val="22"/>
              </w:rPr>
              <w:t>$14,891 (as consolidated with other programs)</w:t>
            </w:r>
          </w:p>
        </w:tc>
        <w:tc>
          <w:tcPr>
            <w:tcW w:w="1841" w:type="dxa"/>
          </w:tcPr>
          <w:p w14:paraId="5B8777D1" w14:textId="78EAECA6" w:rsidR="00BC7F1C" w:rsidRPr="00351561" w:rsidRDefault="00A33F0A" w:rsidP="009F38B9">
            <w:pPr>
              <w:spacing w:before="0" w:after="0"/>
              <w:contextualSpacing/>
              <w:mirrorIndents/>
              <w:rPr>
                <w:rFonts w:ascii="Aptos" w:hAnsi="Aptos"/>
                <w:sz w:val="22"/>
                <w:szCs w:val="22"/>
              </w:rPr>
            </w:pPr>
            <w:r>
              <w:rPr>
                <w:rFonts w:ascii="Aptos" w:hAnsi="Aptos"/>
                <w:sz w:val="22"/>
                <w:szCs w:val="22"/>
              </w:rPr>
              <w:t>$14,261</w:t>
            </w:r>
          </w:p>
        </w:tc>
      </w:tr>
      <w:tr w:rsidR="00BC7F1C" w:rsidRPr="00351561" w14:paraId="3486043F" w14:textId="77777777" w:rsidTr="00BE3722">
        <w:trPr>
          <w:trHeight w:val="604"/>
        </w:trPr>
        <w:tc>
          <w:tcPr>
            <w:tcW w:w="2695" w:type="dxa"/>
            <w:hideMark/>
          </w:tcPr>
          <w:p w14:paraId="2B0FE350" w14:textId="77777777" w:rsidR="00BC7F1C" w:rsidRPr="00351561" w:rsidRDefault="00BC7F1C" w:rsidP="009F38B9">
            <w:pPr>
              <w:spacing w:before="0" w:after="0"/>
              <w:contextualSpacing/>
              <w:mirrorIndents/>
              <w:rPr>
                <w:rFonts w:ascii="Aptos" w:hAnsi="Aptos"/>
                <w:sz w:val="22"/>
                <w:szCs w:val="22"/>
              </w:rPr>
            </w:pPr>
            <w:r w:rsidRPr="00351561">
              <w:rPr>
                <w:rFonts w:ascii="Aptos" w:hAnsi="Aptos"/>
                <w:sz w:val="22"/>
                <w:szCs w:val="22"/>
              </w:rPr>
              <w:t xml:space="preserve"> CTE State Grants</w:t>
            </w:r>
          </w:p>
        </w:tc>
        <w:tc>
          <w:tcPr>
            <w:tcW w:w="1530" w:type="dxa"/>
            <w:hideMark/>
          </w:tcPr>
          <w:p w14:paraId="1B9038C6" w14:textId="77777777" w:rsidR="00BC7F1C" w:rsidRPr="00351561" w:rsidRDefault="00BC7F1C" w:rsidP="009F38B9">
            <w:pPr>
              <w:spacing w:before="0" w:after="0"/>
              <w:contextualSpacing/>
              <w:mirrorIndents/>
              <w:rPr>
                <w:rFonts w:ascii="Aptos" w:hAnsi="Aptos"/>
                <w:sz w:val="22"/>
                <w:szCs w:val="22"/>
              </w:rPr>
            </w:pPr>
            <w:r w:rsidRPr="00351561">
              <w:rPr>
                <w:rFonts w:ascii="Aptos" w:hAnsi="Aptos"/>
                <w:sz w:val="22"/>
                <w:szCs w:val="22"/>
              </w:rPr>
              <w:t>$1,440</w:t>
            </w:r>
          </w:p>
        </w:tc>
        <w:tc>
          <w:tcPr>
            <w:tcW w:w="1530" w:type="dxa"/>
            <w:hideMark/>
          </w:tcPr>
          <w:p w14:paraId="042FDFF0" w14:textId="5A6DF7DB" w:rsidR="00BC7F1C" w:rsidRPr="00351561" w:rsidRDefault="00BC7F1C" w:rsidP="009F38B9">
            <w:pPr>
              <w:spacing w:before="0" w:after="0"/>
              <w:contextualSpacing/>
              <w:mirrorIndents/>
              <w:rPr>
                <w:rFonts w:ascii="Aptos" w:hAnsi="Aptos"/>
                <w:sz w:val="22"/>
                <w:szCs w:val="22"/>
              </w:rPr>
            </w:pPr>
            <w:r w:rsidRPr="00351561">
              <w:rPr>
                <w:rFonts w:ascii="Aptos" w:hAnsi="Aptos"/>
                <w:sz w:val="22"/>
                <w:szCs w:val="22"/>
              </w:rPr>
              <w:t>(not specified)</w:t>
            </w:r>
          </w:p>
        </w:tc>
        <w:tc>
          <w:tcPr>
            <w:tcW w:w="2250" w:type="dxa"/>
          </w:tcPr>
          <w:p w14:paraId="3AC98851" w14:textId="3D5CF45A" w:rsidR="00BC7F1C" w:rsidRPr="00351561" w:rsidRDefault="00855E67" w:rsidP="009F38B9">
            <w:pPr>
              <w:spacing w:before="0" w:after="0"/>
              <w:contextualSpacing/>
              <w:mirrorIndents/>
              <w:rPr>
                <w:rFonts w:ascii="Aptos" w:hAnsi="Aptos"/>
                <w:sz w:val="22"/>
                <w:szCs w:val="22"/>
              </w:rPr>
            </w:pPr>
            <w:r>
              <w:rPr>
                <w:rFonts w:ascii="Aptos" w:hAnsi="Aptos"/>
                <w:sz w:val="22"/>
                <w:szCs w:val="22"/>
              </w:rPr>
              <w:t>$1,440</w:t>
            </w:r>
          </w:p>
        </w:tc>
        <w:tc>
          <w:tcPr>
            <w:tcW w:w="1841" w:type="dxa"/>
          </w:tcPr>
          <w:p w14:paraId="3959950F" w14:textId="7536DF4E" w:rsidR="00BC7F1C" w:rsidRPr="00351561" w:rsidRDefault="00855E67" w:rsidP="009F38B9">
            <w:pPr>
              <w:spacing w:before="0" w:after="0"/>
              <w:contextualSpacing/>
              <w:mirrorIndents/>
              <w:rPr>
                <w:rFonts w:ascii="Aptos" w:hAnsi="Aptos"/>
                <w:sz w:val="22"/>
                <w:szCs w:val="22"/>
              </w:rPr>
            </w:pPr>
            <w:r>
              <w:rPr>
                <w:rFonts w:ascii="Aptos" w:hAnsi="Aptos"/>
                <w:sz w:val="22"/>
                <w:szCs w:val="22"/>
              </w:rPr>
              <w:t>$1,440</w:t>
            </w:r>
          </w:p>
        </w:tc>
      </w:tr>
      <w:tr w:rsidR="00855E67" w:rsidRPr="00351561" w14:paraId="6F5A60C5" w14:textId="77777777" w:rsidTr="00BE3722">
        <w:trPr>
          <w:trHeight w:val="604"/>
        </w:trPr>
        <w:tc>
          <w:tcPr>
            <w:tcW w:w="2695" w:type="dxa"/>
          </w:tcPr>
          <w:p w14:paraId="25CA43A6" w14:textId="6509801E" w:rsidR="00855E67" w:rsidRPr="00351561" w:rsidRDefault="00F02F22" w:rsidP="009F38B9">
            <w:pPr>
              <w:spacing w:before="0" w:after="0"/>
              <w:contextualSpacing/>
              <w:mirrorIndents/>
              <w:rPr>
                <w:rFonts w:ascii="Aptos" w:hAnsi="Aptos"/>
                <w:sz w:val="22"/>
                <w:szCs w:val="22"/>
              </w:rPr>
            </w:pPr>
            <w:r>
              <w:rPr>
                <w:rFonts w:ascii="Aptos" w:hAnsi="Aptos"/>
                <w:sz w:val="22"/>
                <w:szCs w:val="22"/>
              </w:rPr>
              <w:t xml:space="preserve">AEFLA </w:t>
            </w:r>
          </w:p>
        </w:tc>
        <w:tc>
          <w:tcPr>
            <w:tcW w:w="1530" w:type="dxa"/>
          </w:tcPr>
          <w:p w14:paraId="5B92000F" w14:textId="57B14F01" w:rsidR="00855E67" w:rsidRPr="00351561" w:rsidRDefault="00B9645E" w:rsidP="009F38B9">
            <w:pPr>
              <w:spacing w:before="0" w:after="0"/>
              <w:contextualSpacing/>
              <w:mirrorIndents/>
              <w:rPr>
                <w:rFonts w:ascii="Aptos" w:hAnsi="Aptos"/>
                <w:sz w:val="22"/>
                <w:szCs w:val="22"/>
              </w:rPr>
            </w:pPr>
            <w:r>
              <w:rPr>
                <w:rFonts w:ascii="Aptos" w:hAnsi="Aptos"/>
                <w:sz w:val="22"/>
                <w:szCs w:val="22"/>
              </w:rPr>
              <w:t>$2,181</w:t>
            </w:r>
          </w:p>
        </w:tc>
        <w:tc>
          <w:tcPr>
            <w:tcW w:w="1530" w:type="dxa"/>
          </w:tcPr>
          <w:p w14:paraId="0B19279A" w14:textId="70179D1D" w:rsidR="00855E67" w:rsidRPr="00351561" w:rsidRDefault="00B9645E" w:rsidP="009F38B9">
            <w:pPr>
              <w:spacing w:before="0" w:after="0"/>
              <w:contextualSpacing/>
              <w:mirrorIndents/>
              <w:rPr>
                <w:rFonts w:ascii="Aptos" w:hAnsi="Aptos"/>
                <w:sz w:val="22"/>
                <w:szCs w:val="22"/>
              </w:rPr>
            </w:pPr>
            <w:r>
              <w:rPr>
                <w:rFonts w:ascii="Aptos" w:hAnsi="Aptos"/>
                <w:sz w:val="22"/>
                <w:szCs w:val="22"/>
              </w:rPr>
              <w:t>$2,181</w:t>
            </w:r>
          </w:p>
        </w:tc>
        <w:tc>
          <w:tcPr>
            <w:tcW w:w="2250" w:type="dxa"/>
          </w:tcPr>
          <w:p w14:paraId="5F1104DA" w14:textId="2E48EB46" w:rsidR="00855E67" w:rsidRDefault="00B9645E" w:rsidP="009F38B9">
            <w:pPr>
              <w:spacing w:before="0" w:after="0"/>
              <w:contextualSpacing/>
              <w:mirrorIndents/>
              <w:rPr>
                <w:rFonts w:ascii="Aptos" w:hAnsi="Aptos"/>
                <w:sz w:val="22"/>
                <w:szCs w:val="22"/>
              </w:rPr>
            </w:pPr>
            <w:r>
              <w:rPr>
                <w:rFonts w:ascii="Aptos" w:hAnsi="Aptos"/>
                <w:sz w:val="22"/>
                <w:szCs w:val="22"/>
              </w:rPr>
              <w:t>$</w:t>
            </w:r>
            <w:r w:rsidR="00F02F22">
              <w:rPr>
                <w:rFonts w:ascii="Aptos" w:hAnsi="Aptos"/>
                <w:sz w:val="22"/>
                <w:szCs w:val="22"/>
              </w:rPr>
              <w:t>1,450</w:t>
            </w:r>
          </w:p>
        </w:tc>
        <w:tc>
          <w:tcPr>
            <w:tcW w:w="1841" w:type="dxa"/>
          </w:tcPr>
          <w:p w14:paraId="11DD6095" w14:textId="77777777" w:rsidR="00855E67" w:rsidRDefault="00F02F22" w:rsidP="009F38B9">
            <w:pPr>
              <w:spacing w:before="0" w:after="0"/>
              <w:contextualSpacing/>
              <w:mirrorIndents/>
              <w:rPr>
                <w:rFonts w:ascii="Aptos" w:hAnsi="Aptos"/>
                <w:sz w:val="22"/>
                <w:szCs w:val="22"/>
              </w:rPr>
            </w:pPr>
            <w:r>
              <w:rPr>
                <w:rFonts w:ascii="Aptos" w:hAnsi="Aptos"/>
                <w:sz w:val="22"/>
                <w:szCs w:val="22"/>
              </w:rPr>
              <w:t>$2,181</w:t>
            </w:r>
          </w:p>
          <w:p w14:paraId="2AF40B18" w14:textId="2D01647B" w:rsidR="00F02F22" w:rsidRDefault="00F02F22" w:rsidP="009F38B9">
            <w:pPr>
              <w:spacing w:before="0" w:after="0"/>
              <w:contextualSpacing/>
              <w:mirrorIndents/>
              <w:rPr>
                <w:rFonts w:ascii="Aptos" w:hAnsi="Aptos"/>
                <w:sz w:val="22"/>
                <w:szCs w:val="22"/>
              </w:rPr>
            </w:pPr>
          </w:p>
        </w:tc>
      </w:tr>
      <w:tr w:rsidR="00F02F22" w:rsidRPr="00351561" w14:paraId="6210FDBE" w14:textId="77777777" w:rsidTr="00BE3722">
        <w:trPr>
          <w:trHeight w:val="604"/>
        </w:trPr>
        <w:tc>
          <w:tcPr>
            <w:tcW w:w="2695" w:type="dxa"/>
          </w:tcPr>
          <w:p w14:paraId="77FEB142" w14:textId="7B986CB5" w:rsidR="00F02F22" w:rsidRPr="00BE3722" w:rsidRDefault="00F02F22" w:rsidP="009F38B9">
            <w:pPr>
              <w:spacing w:before="0" w:after="0"/>
              <w:contextualSpacing/>
              <w:mirrorIndents/>
              <w:rPr>
                <w:rFonts w:ascii="Aptos" w:hAnsi="Aptos"/>
                <w:i/>
                <w:iCs/>
                <w:sz w:val="22"/>
                <w:szCs w:val="22"/>
              </w:rPr>
            </w:pPr>
            <w:r w:rsidRPr="00BE3722">
              <w:rPr>
                <w:rFonts w:ascii="Aptos" w:hAnsi="Aptos"/>
                <w:i/>
                <w:iCs/>
                <w:sz w:val="22"/>
                <w:szCs w:val="22"/>
              </w:rPr>
              <w:t>Maximum Pell grant (in dollars)</w:t>
            </w:r>
          </w:p>
        </w:tc>
        <w:tc>
          <w:tcPr>
            <w:tcW w:w="1530" w:type="dxa"/>
          </w:tcPr>
          <w:p w14:paraId="00E335AE" w14:textId="646CA29F" w:rsidR="00F02F22" w:rsidRPr="00BE3722" w:rsidRDefault="007B13C3" w:rsidP="009F38B9">
            <w:pPr>
              <w:spacing w:before="0" w:after="0"/>
              <w:contextualSpacing/>
              <w:mirrorIndents/>
              <w:rPr>
                <w:rFonts w:ascii="Aptos" w:hAnsi="Aptos"/>
                <w:i/>
                <w:iCs/>
                <w:sz w:val="22"/>
                <w:szCs w:val="22"/>
              </w:rPr>
            </w:pPr>
            <w:r w:rsidRPr="00BE3722">
              <w:rPr>
                <w:rFonts w:ascii="Aptos" w:hAnsi="Aptos"/>
                <w:i/>
                <w:iCs/>
                <w:sz w:val="22"/>
                <w:szCs w:val="22"/>
              </w:rPr>
              <w:t>$7,395</w:t>
            </w:r>
          </w:p>
        </w:tc>
        <w:tc>
          <w:tcPr>
            <w:tcW w:w="1530" w:type="dxa"/>
          </w:tcPr>
          <w:p w14:paraId="278EFBB3" w14:textId="64538182" w:rsidR="00F02F22" w:rsidRPr="00BE3722" w:rsidRDefault="007B13C3" w:rsidP="009F38B9">
            <w:pPr>
              <w:spacing w:before="0" w:after="0"/>
              <w:contextualSpacing/>
              <w:mirrorIndents/>
              <w:rPr>
                <w:rFonts w:ascii="Aptos" w:hAnsi="Aptos"/>
                <w:i/>
                <w:iCs/>
                <w:sz w:val="22"/>
                <w:szCs w:val="22"/>
              </w:rPr>
            </w:pPr>
            <w:r w:rsidRPr="00BE3722">
              <w:rPr>
                <w:rFonts w:ascii="Aptos" w:hAnsi="Aptos"/>
                <w:i/>
                <w:iCs/>
                <w:sz w:val="22"/>
                <w:szCs w:val="22"/>
              </w:rPr>
              <w:t>$7,395</w:t>
            </w:r>
          </w:p>
        </w:tc>
        <w:tc>
          <w:tcPr>
            <w:tcW w:w="2250" w:type="dxa"/>
          </w:tcPr>
          <w:p w14:paraId="335AD14E" w14:textId="0113743B" w:rsidR="00F02F22" w:rsidRPr="00BE3722" w:rsidRDefault="007B13C3" w:rsidP="009F38B9">
            <w:pPr>
              <w:spacing w:before="0" w:after="0"/>
              <w:contextualSpacing/>
              <w:mirrorIndents/>
              <w:rPr>
                <w:rFonts w:ascii="Aptos" w:hAnsi="Aptos"/>
                <w:i/>
                <w:iCs/>
                <w:sz w:val="22"/>
                <w:szCs w:val="22"/>
              </w:rPr>
            </w:pPr>
            <w:r w:rsidRPr="00BE3722">
              <w:rPr>
                <w:rFonts w:ascii="Aptos" w:hAnsi="Aptos"/>
                <w:i/>
                <w:iCs/>
                <w:sz w:val="22"/>
                <w:szCs w:val="22"/>
              </w:rPr>
              <w:t>$5,710</w:t>
            </w:r>
          </w:p>
        </w:tc>
        <w:tc>
          <w:tcPr>
            <w:tcW w:w="1841" w:type="dxa"/>
          </w:tcPr>
          <w:p w14:paraId="3E1C630F" w14:textId="647C9AD3" w:rsidR="00990AB3" w:rsidRPr="00BE3722" w:rsidRDefault="007B13C3" w:rsidP="009F38B9">
            <w:pPr>
              <w:spacing w:before="0" w:after="0"/>
              <w:contextualSpacing/>
              <w:mirrorIndents/>
              <w:rPr>
                <w:rFonts w:ascii="Aptos" w:hAnsi="Aptos"/>
                <w:i/>
                <w:iCs/>
                <w:sz w:val="22"/>
                <w:szCs w:val="22"/>
              </w:rPr>
            </w:pPr>
            <w:r w:rsidRPr="00BE3722">
              <w:rPr>
                <w:rFonts w:ascii="Aptos" w:hAnsi="Aptos"/>
                <w:i/>
                <w:iCs/>
                <w:sz w:val="22"/>
                <w:szCs w:val="22"/>
              </w:rPr>
              <w:t>$7,395</w:t>
            </w:r>
          </w:p>
        </w:tc>
      </w:tr>
      <w:tr w:rsidR="00990AB3" w:rsidRPr="00351561" w14:paraId="251BA520" w14:textId="77777777" w:rsidTr="00BE3722">
        <w:trPr>
          <w:trHeight w:val="404"/>
        </w:trPr>
        <w:tc>
          <w:tcPr>
            <w:tcW w:w="2695" w:type="dxa"/>
          </w:tcPr>
          <w:p w14:paraId="40BB9E3B" w14:textId="26BE3805" w:rsidR="00990AB3" w:rsidRDefault="00990AB3" w:rsidP="009F38B9">
            <w:pPr>
              <w:spacing w:before="0" w:after="0"/>
              <w:contextualSpacing/>
              <w:mirrorIndents/>
              <w:rPr>
                <w:rFonts w:ascii="Aptos" w:hAnsi="Aptos"/>
                <w:sz w:val="22"/>
                <w:szCs w:val="22"/>
              </w:rPr>
            </w:pPr>
            <w:r>
              <w:rPr>
                <w:rFonts w:ascii="Aptos" w:hAnsi="Aptos"/>
                <w:sz w:val="22"/>
                <w:szCs w:val="22"/>
              </w:rPr>
              <w:t>Head Start</w:t>
            </w:r>
          </w:p>
        </w:tc>
        <w:tc>
          <w:tcPr>
            <w:tcW w:w="1530" w:type="dxa"/>
          </w:tcPr>
          <w:p w14:paraId="78B20C54" w14:textId="7150E165" w:rsidR="00990AB3" w:rsidRDefault="00990AB3" w:rsidP="009F38B9">
            <w:pPr>
              <w:spacing w:before="0" w:after="0"/>
              <w:contextualSpacing/>
              <w:mirrorIndents/>
              <w:rPr>
                <w:rFonts w:ascii="Aptos" w:hAnsi="Aptos"/>
                <w:sz w:val="22"/>
                <w:szCs w:val="22"/>
              </w:rPr>
            </w:pPr>
            <w:r>
              <w:rPr>
                <w:rFonts w:ascii="Aptos" w:hAnsi="Aptos"/>
                <w:sz w:val="22"/>
                <w:szCs w:val="22"/>
              </w:rPr>
              <w:t>$12,272</w:t>
            </w:r>
          </w:p>
        </w:tc>
        <w:tc>
          <w:tcPr>
            <w:tcW w:w="1530" w:type="dxa"/>
          </w:tcPr>
          <w:p w14:paraId="618FFCFB" w14:textId="2A991969" w:rsidR="00990AB3" w:rsidRDefault="00990AB3" w:rsidP="009F38B9">
            <w:pPr>
              <w:spacing w:before="0" w:after="0"/>
              <w:contextualSpacing/>
              <w:mirrorIndents/>
              <w:rPr>
                <w:rFonts w:ascii="Aptos" w:hAnsi="Aptos"/>
                <w:sz w:val="22"/>
                <w:szCs w:val="22"/>
              </w:rPr>
            </w:pPr>
            <w:r>
              <w:rPr>
                <w:rFonts w:ascii="Aptos" w:hAnsi="Aptos"/>
                <w:sz w:val="22"/>
                <w:szCs w:val="22"/>
              </w:rPr>
              <w:t>$12,272</w:t>
            </w:r>
          </w:p>
        </w:tc>
        <w:tc>
          <w:tcPr>
            <w:tcW w:w="2250" w:type="dxa"/>
          </w:tcPr>
          <w:p w14:paraId="6BE91CCC" w14:textId="43B31CF8" w:rsidR="00990AB3" w:rsidRDefault="00BE3722" w:rsidP="009F38B9">
            <w:pPr>
              <w:spacing w:before="0" w:after="0"/>
              <w:contextualSpacing/>
              <w:mirrorIndents/>
              <w:rPr>
                <w:rFonts w:ascii="Aptos" w:hAnsi="Aptos"/>
                <w:sz w:val="22"/>
                <w:szCs w:val="22"/>
              </w:rPr>
            </w:pPr>
            <w:r>
              <w:rPr>
                <w:rFonts w:ascii="Aptos" w:hAnsi="Aptos"/>
                <w:sz w:val="22"/>
                <w:szCs w:val="22"/>
              </w:rPr>
              <w:t>$12,272</w:t>
            </w:r>
          </w:p>
        </w:tc>
        <w:tc>
          <w:tcPr>
            <w:tcW w:w="1841" w:type="dxa"/>
          </w:tcPr>
          <w:p w14:paraId="6902A25C" w14:textId="2B91DB77" w:rsidR="00990AB3" w:rsidRDefault="00BE3722" w:rsidP="009F38B9">
            <w:pPr>
              <w:spacing w:before="0" w:after="0"/>
              <w:contextualSpacing/>
              <w:mirrorIndents/>
              <w:rPr>
                <w:rFonts w:ascii="Aptos" w:hAnsi="Aptos"/>
                <w:sz w:val="22"/>
                <w:szCs w:val="22"/>
              </w:rPr>
            </w:pPr>
            <w:r>
              <w:rPr>
                <w:rFonts w:ascii="Aptos" w:hAnsi="Aptos"/>
                <w:sz w:val="22"/>
                <w:szCs w:val="22"/>
              </w:rPr>
              <w:t>$12,357</w:t>
            </w:r>
          </w:p>
        </w:tc>
      </w:tr>
    </w:tbl>
    <w:p w14:paraId="32DBAA2B" w14:textId="77777777" w:rsidR="0058265B" w:rsidRDefault="0058265B" w:rsidP="009F38B9">
      <w:pPr>
        <w:spacing w:before="0" w:after="0"/>
        <w:mirrorIndents/>
      </w:pPr>
    </w:p>
    <w:p w14:paraId="24113397" w14:textId="4548A79C" w:rsidR="0036218B" w:rsidRDefault="0036218B" w:rsidP="00DA2883">
      <w:r>
        <w:t xml:space="preserve">The legislation also contains </w:t>
      </w:r>
      <w:proofErr w:type="gramStart"/>
      <w:r>
        <w:t>a number of</w:t>
      </w:r>
      <w:proofErr w:type="gramEnd"/>
      <w:r>
        <w:t xml:space="preserve"> provisions that more strongly direct the administration to follow Congressional intent and historical practice in carrying out education programs.  These “bill-strengthening” provisions include ones that require funding for the Elementary and Secondary Education Act programs, McKinney-Vento, Individuals with Disabilities Education Act, and Perkins Career and Technical Education Act funds to be provided to States “on the date such funds become available for obligation.”  This provision would effectively require ED to allocate funds to States on July 1</w:t>
      </w:r>
      <w:r w:rsidRPr="0036218B">
        <w:rPr>
          <w:vertAlign w:val="superscript"/>
        </w:rPr>
        <w:t>st</w:t>
      </w:r>
      <w:r>
        <w:t xml:space="preserve">, </w:t>
      </w:r>
      <w:r w:rsidR="00C67F81">
        <w:t xml:space="preserve">severely limiting its ability to withhold funds as it did this year.  Additionally, the bill would prohibit any enacted funding from being used to transfer Title I or special education programs out of </w:t>
      </w:r>
      <w:proofErr w:type="gramStart"/>
      <w:r w:rsidR="00C67F81">
        <w:t>ED, and</w:t>
      </w:r>
      <w:proofErr w:type="gramEnd"/>
      <w:r w:rsidR="00C67F81">
        <w:t xml:space="preserve"> would require the agency to maintain </w:t>
      </w:r>
      <w:r w:rsidR="00A90B7B" w:rsidRPr="00A90B7B">
        <w:t>sufficient staffing “to fulfill its statutory responsibilities.”</w:t>
      </w:r>
    </w:p>
    <w:p w14:paraId="1645B86E" w14:textId="7ED5D418" w:rsidR="00693985" w:rsidRDefault="00693985" w:rsidP="00DA2883">
      <w:r>
        <w:t>The House Appropriations Committee is schedule</w:t>
      </w:r>
      <w:r w:rsidR="008D2E55">
        <w:t>d</w:t>
      </w:r>
      <w:r>
        <w:t xml:space="preserve"> to release and mark up its own proposal in September, after the August recess concludes.</w:t>
      </w:r>
    </w:p>
    <w:p w14:paraId="2190AB09" w14:textId="0B10D97A" w:rsidR="00BE3722" w:rsidRPr="00DA2883" w:rsidRDefault="00BE3722" w:rsidP="00DA2883">
      <w:r>
        <w:t>Author: JCM</w:t>
      </w:r>
    </w:p>
    <w:p w14:paraId="675CA60D" w14:textId="6CAD2571" w:rsidR="002A7137" w:rsidRDefault="00AA7FD6" w:rsidP="00D61C8E">
      <w:pPr>
        <w:pStyle w:val="Heading3"/>
      </w:pPr>
      <w:bookmarkStart w:id="9" w:name="_Toc204938801"/>
      <w:r>
        <w:t>Grant Award Notifications Roll Out for Formerly Withheld F</w:t>
      </w:r>
      <w:r w:rsidR="004D6911">
        <w:t>unds</w:t>
      </w:r>
      <w:bookmarkEnd w:id="9"/>
    </w:p>
    <w:p w14:paraId="66A5B138" w14:textId="0658FBF0" w:rsidR="00650CCE" w:rsidRPr="008370F6" w:rsidRDefault="00650CCE" w:rsidP="00650CCE">
      <w:pPr>
        <w:rPr>
          <w:rFonts w:cs="Arial"/>
        </w:rPr>
      </w:pPr>
      <w:r w:rsidRPr="008370F6">
        <w:rPr>
          <w:rFonts w:cs="Arial"/>
        </w:rPr>
        <w:t xml:space="preserve">The U.S. Department of Education has begun to release Grant Award Notifications (GANs) for federal program funds that the administration had announced in June that it </w:t>
      </w:r>
      <w:r w:rsidRPr="008370F6">
        <w:rPr>
          <w:rFonts w:cs="Arial"/>
        </w:rPr>
        <w:lastRenderedPageBreak/>
        <w:t>would temporarily withhold from States and other grantees.  These funds include money for Title I-C, Title II-A, Title III-A, and Title IV-A of the Elementary and Secondary Education Act, as well as the Adult Education and Family Literacy Act and the Integrated English Language and Civics Education Program.</w:t>
      </w:r>
    </w:p>
    <w:p w14:paraId="7D8CA5EE" w14:textId="1B501515" w:rsidR="00650CCE" w:rsidRPr="008370F6" w:rsidRDefault="00650CCE" w:rsidP="00650CCE">
      <w:pPr>
        <w:rPr>
          <w:rFonts w:cs="Arial"/>
        </w:rPr>
      </w:pPr>
      <w:r w:rsidRPr="008370F6">
        <w:rPr>
          <w:rFonts w:cs="Arial"/>
        </w:rPr>
        <w:t xml:space="preserve">The Office of Management and Budget (OMB) had said that the programs were undergoing a programmatic review and told reporters last week that the review has now been completed, allowing for the release of </w:t>
      </w:r>
      <w:r w:rsidR="002F5B91">
        <w:rPr>
          <w:rFonts w:cs="Arial"/>
        </w:rPr>
        <w:t xml:space="preserve">the </w:t>
      </w:r>
      <w:r w:rsidRPr="008370F6">
        <w:rPr>
          <w:rFonts w:cs="Arial"/>
        </w:rPr>
        <w:t>funds.  However, OMB said that the new awards would contain additional “guardrails,” and that “[t]he Department also intends to conduct reviews of grantees’ use of funds to ensure ongoing compliance with the above provisions and all other applicable laws and regulations.”</w:t>
      </w:r>
    </w:p>
    <w:p w14:paraId="17C68D94" w14:textId="77777777" w:rsidR="00650CCE" w:rsidRPr="008370F6" w:rsidRDefault="00650CCE" w:rsidP="00650CCE">
      <w:pPr>
        <w:rPr>
          <w:rFonts w:cs="Arial"/>
        </w:rPr>
      </w:pPr>
      <w:r w:rsidRPr="008370F6">
        <w:rPr>
          <w:rFonts w:cs="Arial"/>
        </w:rPr>
        <w:t xml:space="preserve">New language in the GANs asks grantees to ensure that they do not use federal funds in any manner that violates Constitutional or civil rights protections, along with Title IX of the Education amendments of 1972, and various disability rights statutes, among others.  While that language merely requires compliance with the law, the administration has also been releasing new guidance on what they believe compliance with those standards will mean, potentially shaping their analysis of </w:t>
      </w:r>
      <w:proofErr w:type="gramStart"/>
      <w:r w:rsidRPr="008370F6">
        <w:rPr>
          <w:rFonts w:cs="Arial"/>
        </w:rPr>
        <w:t>grantee</w:t>
      </w:r>
      <w:proofErr w:type="gramEnd"/>
      <w:r w:rsidRPr="008370F6">
        <w:rPr>
          <w:rFonts w:cs="Arial"/>
        </w:rPr>
        <w:t xml:space="preserve"> actions.</w:t>
      </w:r>
    </w:p>
    <w:p w14:paraId="624249F1" w14:textId="611276EB" w:rsidR="004D6911" w:rsidRPr="00650CCE" w:rsidRDefault="00650CCE" w:rsidP="004D6911">
      <w:pPr>
        <w:rPr>
          <w:rFonts w:cs="Arial"/>
        </w:rPr>
      </w:pPr>
      <w:r w:rsidRPr="008370F6">
        <w:rPr>
          <w:rFonts w:cs="Arial"/>
        </w:rPr>
        <w:t>Author: JCM</w:t>
      </w:r>
    </w:p>
    <w:p w14:paraId="4D92E9FD" w14:textId="77AB6FDE" w:rsidR="00C96D25" w:rsidRDefault="007E1A74" w:rsidP="00D61C8E">
      <w:pPr>
        <w:pStyle w:val="Heading3"/>
      </w:pPr>
      <w:bookmarkStart w:id="10" w:name="_Toc204938802"/>
      <w:r>
        <w:t>DOJ Releases Guidance on DEI</w:t>
      </w:r>
      <w:bookmarkEnd w:id="10"/>
    </w:p>
    <w:p w14:paraId="30541696" w14:textId="23B45EE1" w:rsidR="00DB3836" w:rsidRPr="00EF1DDA" w:rsidRDefault="00DB3836" w:rsidP="00DB3836">
      <w:pPr>
        <w:rPr>
          <w:rFonts w:cs="Arial"/>
        </w:rPr>
      </w:pPr>
      <w:r w:rsidRPr="00EF1DDA">
        <w:rPr>
          <w:rFonts w:cs="Arial"/>
        </w:rPr>
        <w:t xml:space="preserve">The U.S. Department of Justice (DOJ) released guidance </w:t>
      </w:r>
      <w:r w:rsidR="00C705D7">
        <w:rPr>
          <w:rFonts w:cs="Arial"/>
        </w:rPr>
        <w:t xml:space="preserve">for federal agencies </w:t>
      </w:r>
      <w:r w:rsidRPr="00EF1DDA">
        <w:rPr>
          <w:rFonts w:cs="Arial"/>
        </w:rPr>
        <w:t xml:space="preserve">on Thursday on the administration’s interpretation of civil rights law in the context of diversity, equity, and inclusion initiatives at educational institutions.  The guidance was addressed to federal agencies, as opposed </w:t>
      </w:r>
      <w:r w:rsidR="008D2E55">
        <w:rPr>
          <w:rFonts w:cs="Arial"/>
        </w:rPr>
        <w:t xml:space="preserve">to </w:t>
      </w:r>
      <w:r w:rsidRPr="00EF1DDA">
        <w:rPr>
          <w:rFonts w:cs="Arial"/>
        </w:rPr>
        <w:t xml:space="preserve">grantees, though it does </w:t>
      </w:r>
      <w:r w:rsidR="00C705D7">
        <w:rPr>
          <w:rFonts w:cs="Arial"/>
        </w:rPr>
        <w:t xml:space="preserve">instruct </w:t>
      </w:r>
      <w:r w:rsidRPr="00EF1DDA">
        <w:rPr>
          <w:rFonts w:cs="Arial"/>
        </w:rPr>
        <w:t>recipients of federal funding</w:t>
      </w:r>
      <w:r w:rsidR="00F719B9">
        <w:rPr>
          <w:rFonts w:cs="Arial"/>
        </w:rPr>
        <w:t xml:space="preserve"> to</w:t>
      </w:r>
      <w:r w:rsidRPr="00EF1DDA">
        <w:rPr>
          <w:rFonts w:cs="Arial"/>
        </w:rPr>
        <w:t xml:space="preserve"> review it to ensure compliance.</w:t>
      </w:r>
    </w:p>
    <w:p w14:paraId="342CC20F" w14:textId="77777777" w:rsidR="008D2E55" w:rsidRDefault="00DB3836" w:rsidP="00DB3836">
      <w:pPr>
        <w:rPr>
          <w:rFonts w:cs="Arial"/>
        </w:rPr>
      </w:pPr>
      <w:r w:rsidRPr="00EF1DDA">
        <w:rPr>
          <w:rFonts w:cs="Arial"/>
        </w:rPr>
        <w:t>The guidance begins by offering an overview of antidiscrimination compliance, stating that in exchange for receiving federal funds, grantees are required to comply with federal antidiscrimination laws and requirements, including Title VI and VII of the Civil Rights Act, Title IX of the Education Amendments of 1972, and the Equal Protection Clause under the 14</w:t>
      </w:r>
      <w:r w:rsidRPr="00EF1DDA">
        <w:rPr>
          <w:rFonts w:cs="Arial"/>
          <w:vertAlign w:val="superscript"/>
        </w:rPr>
        <w:t>th</w:t>
      </w:r>
      <w:r w:rsidRPr="00EF1DDA">
        <w:rPr>
          <w:rFonts w:cs="Arial"/>
        </w:rPr>
        <w:t xml:space="preserve"> Amendment of the U.S. Constitution.  The </w:t>
      </w:r>
      <w:proofErr w:type="gramStart"/>
      <w:r w:rsidRPr="00EF1DDA">
        <w:rPr>
          <w:rFonts w:cs="Arial"/>
        </w:rPr>
        <w:t>guidance</w:t>
      </w:r>
      <w:proofErr w:type="gramEnd"/>
      <w:r w:rsidRPr="00EF1DDA">
        <w:rPr>
          <w:rFonts w:cs="Arial"/>
        </w:rPr>
        <w:t xml:space="preserve"> states that grantees’ failure to comply with those requirements may result in the loss of access to federal funds.  </w:t>
      </w:r>
      <w:r w:rsidR="00F719B9">
        <w:rPr>
          <w:rFonts w:cs="Arial"/>
        </w:rPr>
        <w:t>It</w:t>
      </w:r>
      <w:r w:rsidRPr="00EF1DDA">
        <w:rPr>
          <w:rFonts w:cs="Arial"/>
        </w:rPr>
        <w:t xml:space="preserve"> also provides a list of practices that may violate the antidiscrimination laws mentioned, including</w:t>
      </w:r>
      <w:r w:rsidR="008D2E55">
        <w:rPr>
          <w:rFonts w:cs="Arial"/>
        </w:rPr>
        <w:t>:</w:t>
      </w:r>
    </w:p>
    <w:p w14:paraId="48D30337" w14:textId="77777777" w:rsidR="008D2E55" w:rsidRDefault="008D2E55" w:rsidP="008D2E55">
      <w:pPr>
        <w:pStyle w:val="ListParagraph"/>
        <w:numPr>
          <w:ilvl w:val="0"/>
          <w:numId w:val="18"/>
        </w:numPr>
        <w:rPr>
          <w:rFonts w:cs="Arial"/>
        </w:rPr>
      </w:pPr>
      <w:r w:rsidRPr="008D2E55">
        <w:rPr>
          <w:rFonts w:cs="Arial"/>
        </w:rPr>
        <w:t>G</w:t>
      </w:r>
      <w:r w:rsidR="00DB3836" w:rsidRPr="008D2E55">
        <w:rPr>
          <w:rFonts w:cs="Arial"/>
        </w:rPr>
        <w:t xml:space="preserve">ranting preferential treatment based on protected characteristics, such as race-based </w:t>
      </w:r>
      <w:proofErr w:type="gramStart"/>
      <w:r w:rsidR="00DB3836" w:rsidRPr="008D2E55">
        <w:rPr>
          <w:rFonts w:cs="Arial"/>
        </w:rPr>
        <w:t>scholarships;</w:t>
      </w:r>
      <w:proofErr w:type="gramEnd"/>
      <w:r w:rsidR="00DB3836" w:rsidRPr="008D2E55">
        <w:rPr>
          <w:rFonts w:cs="Arial"/>
        </w:rPr>
        <w:t xml:space="preserve"> </w:t>
      </w:r>
    </w:p>
    <w:p w14:paraId="5C5FB9D0" w14:textId="77777777" w:rsidR="008D2E55" w:rsidRDefault="008D2E55" w:rsidP="008D2E55">
      <w:pPr>
        <w:pStyle w:val="ListParagraph"/>
        <w:numPr>
          <w:ilvl w:val="0"/>
          <w:numId w:val="18"/>
        </w:numPr>
        <w:rPr>
          <w:rFonts w:cs="Arial"/>
        </w:rPr>
      </w:pPr>
      <w:r>
        <w:rPr>
          <w:rFonts w:cs="Arial"/>
        </w:rPr>
        <w:t>U</w:t>
      </w:r>
      <w:r w:rsidR="00DB3836" w:rsidRPr="008D2E55">
        <w:rPr>
          <w:rFonts w:cs="Arial"/>
        </w:rPr>
        <w:t>se of proxies for protected characteristics, such as “’overcoming obstacles’ narratives or ‘diversity statements’</w:t>
      </w:r>
      <w:proofErr w:type="gramStart"/>
      <w:r w:rsidR="00DB3836" w:rsidRPr="008D2E55">
        <w:rPr>
          <w:rFonts w:cs="Arial"/>
        </w:rPr>
        <w:t>”;</w:t>
      </w:r>
      <w:proofErr w:type="gramEnd"/>
      <w:r w:rsidR="00DB3836" w:rsidRPr="008D2E55">
        <w:rPr>
          <w:rFonts w:cs="Arial"/>
        </w:rPr>
        <w:t xml:space="preserve"> </w:t>
      </w:r>
    </w:p>
    <w:p w14:paraId="604ABC12" w14:textId="77777777" w:rsidR="008D2E55" w:rsidRDefault="008D2E55" w:rsidP="008D2E55">
      <w:pPr>
        <w:pStyle w:val="ListParagraph"/>
        <w:numPr>
          <w:ilvl w:val="0"/>
          <w:numId w:val="18"/>
        </w:numPr>
        <w:rPr>
          <w:rFonts w:cs="Arial"/>
        </w:rPr>
      </w:pPr>
      <w:r>
        <w:rPr>
          <w:rFonts w:cs="Arial"/>
        </w:rPr>
        <w:t>S</w:t>
      </w:r>
      <w:r w:rsidR="00DB3836" w:rsidRPr="008D2E55">
        <w:rPr>
          <w:rFonts w:cs="Arial"/>
        </w:rPr>
        <w:t xml:space="preserve">egregation based on protected characteristics, such as trainings that require staff to separate into groups based on race; and </w:t>
      </w:r>
    </w:p>
    <w:p w14:paraId="7D5B9D29" w14:textId="77777777" w:rsidR="008D2E55" w:rsidRDefault="008D2E55" w:rsidP="008D2E55">
      <w:pPr>
        <w:pStyle w:val="ListParagraph"/>
        <w:numPr>
          <w:ilvl w:val="0"/>
          <w:numId w:val="18"/>
        </w:numPr>
        <w:rPr>
          <w:rFonts w:cs="Arial"/>
        </w:rPr>
      </w:pPr>
      <w:r>
        <w:rPr>
          <w:rFonts w:cs="Arial"/>
        </w:rPr>
        <w:t>T</w:t>
      </w:r>
      <w:r w:rsidR="00DB3836" w:rsidRPr="008D2E55">
        <w:rPr>
          <w:rFonts w:cs="Arial"/>
        </w:rPr>
        <w:t xml:space="preserve">raining programs that promote discrimination or hostile environments.  </w:t>
      </w:r>
    </w:p>
    <w:p w14:paraId="24F34DB0" w14:textId="2BBFEFB4" w:rsidR="00DB3836" w:rsidRPr="008D2E55" w:rsidRDefault="00DB3836" w:rsidP="008D2E55">
      <w:pPr>
        <w:rPr>
          <w:rFonts w:cs="Arial"/>
        </w:rPr>
      </w:pPr>
      <w:r w:rsidRPr="008D2E55">
        <w:rPr>
          <w:rFonts w:cs="Arial"/>
        </w:rPr>
        <w:t xml:space="preserve">The guidance provides examples of the types of activities within the categories identified that may create a hostile environment and </w:t>
      </w:r>
      <w:r w:rsidR="00F719B9" w:rsidRPr="008D2E55">
        <w:rPr>
          <w:rFonts w:cs="Arial"/>
        </w:rPr>
        <w:t>provides</w:t>
      </w:r>
      <w:r w:rsidRPr="008D2E55">
        <w:rPr>
          <w:rFonts w:cs="Arial"/>
        </w:rPr>
        <w:t xml:space="preserve"> recommendations and best practices to avoid violations of antidiscrimination law.  </w:t>
      </w:r>
    </w:p>
    <w:p w14:paraId="24F82092" w14:textId="1FB3187F" w:rsidR="00DB3836" w:rsidRPr="00EF1DDA" w:rsidRDefault="00DB3836" w:rsidP="00DB3836">
      <w:pPr>
        <w:rPr>
          <w:rFonts w:cs="Arial"/>
        </w:rPr>
      </w:pPr>
      <w:r w:rsidRPr="00EF1DDA">
        <w:rPr>
          <w:rFonts w:cs="Arial"/>
        </w:rPr>
        <w:lastRenderedPageBreak/>
        <w:t>The DOJ guidance is similar</w:t>
      </w:r>
      <w:r w:rsidR="00F719B9">
        <w:rPr>
          <w:rFonts w:cs="Arial"/>
        </w:rPr>
        <w:t xml:space="preserve"> in content</w:t>
      </w:r>
      <w:r w:rsidRPr="00EF1DDA">
        <w:rPr>
          <w:rFonts w:cs="Arial"/>
        </w:rPr>
        <w:t xml:space="preserve"> to a Dear Colleague letter released earlier this year by the U.S. Department of Education (ED) on Title VI compliance.  A federal court later directed ED to halt implementation of that letter while multiple lawsuits proceed, but the administration has still taken action to reduce the use of federal funds for DEI initiatives, including reviewing and rewriting ED grant priorities.  It is unclear if ED will issue new guidance to grantees </w:t>
      </w:r>
      <w:proofErr w:type="gramStart"/>
      <w:r w:rsidRPr="00EF1DDA">
        <w:rPr>
          <w:rFonts w:cs="Arial"/>
        </w:rPr>
        <w:t>in light of</w:t>
      </w:r>
      <w:proofErr w:type="gramEnd"/>
      <w:r w:rsidRPr="00EF1DDA">
        <w:rPr>
          <w:rFonts w:cs="Arial"/>
        </w:rPr>
        <w:t xml:space="preserve"> the DOJ memorandum, but grantees should familiarize themselves with the DOJ guidance as ED has been working closely with DOJ on civil rights investigations at educational institutions. </w:t>
      </w:r>
    </w:p>
    <w:p w14:paraId="5E064D64" w14:textId="2CF9A07F" w:rsidR="00DB3836" w:rsidRPr="00EF1DDA" w:rsidRDefault="00DB3836" w:rsidP="00DB3836">
      <w:pPr>
        <w:rPr>
          <w:rFonts w:cs="Arial"/>
        </w:rPr>
      </w:pPr>
      <w:hyperlink r:id="rId9" w:tooltip="The memorandum is available here" w:history="1">
        <w:r w:rsidRPr="00EF1DDA">
          <w:rPr>
            <w:rStyle w:val="Hyperlink"/>
            <w:rFonts w:cs="Arial"/>
          </w:rPr>
          <w:t>The</w:t>
        </w:r>
        <w:r w:rsidR="006F4A6D">
          <w:rPr>
            <w:rStyle w:val="Hyperlink"/>
            <w:rFonts w:cs="Arial"/>
          </w:rPr>
          <w:t xml:space="preserve"> DOJ</w:t>
        </w:r>
        <w:r w:rsidRPr="00EF1DDA">
          <w:rPr>
            <w:rStyle w:val="Hyperlink"/>
            <w:rFonts w:cs="Arial"/>
          </w:rPr>
          <w:t xml:space="preserve"> memorandum is available here</w:t>
        </w:r>
      </w:hyperlink>
      <w:r w:rsidRPr="00EF1DDA">
        <w:rPr>
          <w:rFonts w:cs="Arial"/>
        </w:rPr>
        <w:t>.</w:t>
      </w:r>
    </w:p>
    <w:p w14:paraId="32D3D2B1" w14:textId="77777777" w:rsidR="00DB3836" w:rsidRPr="00EF1DDA" w:rsidRDefault="00DB3836" w:rsidP="00DB3836">
      <w:pPr>
        <w:rPr>
          <w:rFonts w:cs="Arial"/>
        </w:rPr>
      </w:pPr>
      <w:r w:rsidRPr="00EF1DDA">
        <w:rPr>
          <w:rFonts w:cs="Arial"/>
        </w:rPr>
        <w:t>Author: KSC</w:t>
      </w:r>
    </w:p>
    <w:p w14:paraId="45AA8FDA" w14:textId="4685808A" w:rsidR="00AE64D6" w:rsidRDefault="00CD52B9" w:rsidP="00AE64D6">
      <w:pPr>
        <w:pStyle w:val="Heading3"/>
      </w:pPr>
      <w:bookmarkStart w:id="11" w:name="_Toc204938803"/>
      <w:r>
        <w:t>ED Issues Dear Colleague on ESEA Flexibilities</w:t>
      </w:r>
      <w:bookmarkEnd w:id="11"/>
    </w:p>
    <w:p w14:paraId="3FB1DD95" w14:textId="222C2E2B" w:rsidR="008F56EA" w:rsidRPr="00EF1DDA" w:rsidRDefault="008F56EA" w:rsidP="008F56EA">
      <w:pPr>
        <w:rPr>
          <w:rFonts w:cs="Arial"/>
        </w:rPr>
      </w:pPr>
      <w:bookmarkStart w:id="12" w:name="_Toc1159402203"/>
      <w:r w:rsidRPr="00EF1DDA">
        <w:rPr>
          <w:rFonts w:cs="Arial"/>
        </w:rPr>
        <w:t>The U.S. Department of Education (ED) published a Dear Colleague letter (DCL) on Tuesday outlining several areas under the Elementary and Secondary Education Act (ESEA) where grantees can take advantage of flexibility.  The guidance does not relay any additional information outside of the ESEA statute and prior guidance</w:t>
      </w:r>
      <w:r w:rsidR="006B6854">
        <w:rPr>
          <w:rFonts w:cs="Arial"/>
        </w:rPr>
        <w:t>,</w:t>
      </w:r>
      <w:r w:rsidR="00F719B9">
        <w:rPr>
          <w:rFonts w:cs="Arial"/>
        </w:rPr>
        <w:t xml:space="preserve"> nor does it offer any new interpretations or flexibilities,</w:t>
      </w:r>
      <w:r w:rsidRPr="00EF1DDA">
        <w:rPr>
          <w:rFonts w:cs="Arial"/>
        </w:rPr>
        <w:t xml:space="preserve"> but it provides an overview of flexibility options for States and districts.</w:t>
      </w:r>
    </w:p>
    <w:p w14:paraId="258E6B6E" w14:textId="18D8D523" w:rsidR="008F56EA" w:rsidRPr="00EF1DDA" w:rsidRDefault="008F56EA" w:rsidP="008F56EA">
      <w:pPr>
        <w:rPr>
          <w:rFonts w:cs="Arial"/>
        </w:rPr>
      </w:pPr>
      <w:r w:rsidRPr="00EF1DDA">
        <w:rPr>
          <w:rFonts w:cs="Arial"/>
        </w:rPr>
        <w:t xml:space="preserve">The DCL </w:t>
      </w:r>
      <w:proofErr w:type="gramStart"/>
      <w:r w:rsidRPr="00EF1DDA">
        <w:rPr>
          <w:rFonts w:cs="Arial"/>
        </w:rPr>
        <w:t>refers grantees</w:t>
      </w:r>
      <w:proofErr w:type="gramEnd"/>
      <w:r w:rsidRPr="00EF1DDA">
        <w:rPr>
          <w:rFonts w:cs="Arial"/>
        </w:rPr>
        <w:t xml:space="preserve"> to guidance issued in 2018 on ESEA flexibilities, which highlights the innovative assessment authority, options within school improvement, transferability of funds from certain programs, and consolidated administration.  The DCL then provides information on the waiver request process outlined in Sec</w:t>
      </w:r>
      <w:r w:rsidR="00015C25">
        <w:rPr>
          <w:rFonts w:cs="Arial"/>
        </w:rPr>
        <w:t>tion</w:t>
      </w:r>
      <w:r w:rsidRPr="00EF1DDA">
        <w:rPr>
          <w:rFonts w:cs="Arial"/>
        </w:rPr>
        <w:t xml:space="preserve"> 8401 of ESEA, which allows States or local educational agencies to submit a request to ED to waive any statutory or regulatory requirement under ESEA, with a few exceptions.  Section 8401 and the DCL released this week outline the components that must be included in a waiver request, as well as the public comment requirements.  The Secretary of Education can approve waivers for a period of up to four years, but requests cannot be approved to waive most fiscal requirements under ESEA, equitable services, the allocation of funds, parent and family engagement, civil rights requirements, and others.  The letter also notes that waivers cannot be submitted for requirements under the Impact Aid program.</w:t>
      </w:r>
    </w:p>
    <w:p w14:paraId="63BC2DAE" w14:textId="212A744B" w:rsidR="008F56EA" w:rsidRPr="00EF1DDA" w:rsidRDefault="008F56EA" w:rsidP="008F56EA">
      <w:pPr>
        <w:rPr>
          <w:rFonts w:cs="Arial"/>
        </w:rPr>
      </w:pPr>
      <w:r w:rsidRPr="00EF1DDA">
        <w:rPr>
          <w:rFonts w:cs="Arial"/>
        </w:rPr>
        <w:t xml:space="preserve">Several States are reportedly in conversations with ED regarding wide-ranging waivers, and ED encourages informal conversations with federal officials prior to submitting formal requests.  In the letter, ED writes that: “States are encouraged to seek informal and non-binding assistance from the Department by email… in the development of waiver proposals that meet the criteria of the ESEA and the spirit of education improvement called for by the President.”  </w:t>
      </w:r>
    </w:p>
    <w:p w14:paraId="45315A6E" w14:textId="3A709E5E" w:rsidR="008F56EA" w:rsidRPr="00EF1DDA" w:rsidRDefault="008F56EA" w:rsidP="008F56EA">
      <w:pPr>
        <w:rPr>
          <w:rFonts w:cs="Arial"/>
        </w:rPr>
      </w:pPr>
      <w:hyperlink r:id="rId10" w:tooltip="The full letter on ESEA flexibility is available here." w:history="1">
        <w:r w:rsidRPr="00EF1DDA">
          <w:rPr>
            <w:rStyle w:val="Hyperlink"/>
            <w:rFonts w:cs="Arial"/>
          </w:rPr>
          <w:t>The full letter on ESEA flexibility is available here.</w:t>
        </w:r>
      </w:hyperlink>
    </w:p>
    <w:p w14:paraId="11670F39" w14:textId="77777777" w:rsidR="008F56EA" w:rsidRPr="00EF1DDA" w:rsidRDefault="008F56EA" w:rsidP="008F56EA">
      <w:pPr>
        <w:rPr>
          <w:rFonts w:cs="Arial"/>
        </w:rPr>
      </w:pPr>
      <w:r w:rsidRPr="00EF1DDA">
        <w:rPr>
          <w:rFonts w:cs="Arial"/>
        </w:rPr>
        <w:t>Author: KSC</w:t>
      </w:r>
    </w:p>
    <w:p w14:paraId="282666D4" w14:textId="2601568B" w:rsidR="00AA464C" w:rsidRDefault="00AA464C" w:rsidP="00AA464C">
      <w:pPr>
        <w:pStyle w:val="Heading2"/>
      </w:pPr>
      <w:bookmarkStart w:id="13" w:name="_Toc204938804"/>
      <w:r>
        <w:lastRenderedPageBreak/>
        <w:t>News</w:t>
      </w:r>
      <w:bookmarkEnd w:id="12"/>
      <w:bookmarkEnd w:id="13"/>
    </w:p>
    <w:p w14:paraId="7E1E56A7" w14:textId="4F1FC426" w:rsidR="00D634C9" w:rsidRDefault="00D634C9" w:rsidP="00D634C9">
      <w:pPr>
        <w:pStyle w:val="Heading3"/>
      </w:pPr>
      <w:bookmarkStart w:id="14" w:name="_Toc204938805"/>
      <w:r w:rsidRPr="00791E68">
        <w:t xml:space="preserve">Administration </w:t>
      </w:r>
      <w:r w:rsidR="00F719B9">
        <w:t>Will Pause Enforcement</w:t>
      </w:r>
      <w:r w:rsidRPr="00791E68">
        <w:t xml:space="preserve"> of </w:t>
      </w:r>
      <w:r>
        <w:t xml:space="preserve">PRWORA </w:t>
      </w:r>
      <w:r w:rsidR="00F719B9">
        <w:t>Changes in Some States</w:t>
      </w:r>
      <w:bookmarkEnd w:id="14"/>
    </w:p>
    <w:p w14:paraId="6CEF4864" w14:textId="765E4712" w:rsidR="00D634C9" w:rsidRDefault="00D634C9" w:rsidP="00D634C9">
      <w:pPr>
        <w:rPr>
          <w:rFonts w:cs="Arial"/>
        </w:rPr>
      </w:pPr>
      <w:r>
        <w:rPr>
          <w:rFonts w:cs="Arial"/>
        </w:rPr>
        <w:t>After 20 States and the District of Columbia (D</w:t>
      </w:r>
      <w:r w:rsidR="000F37A7">
        <w:rPr>
          <w:rFonts w:cs="Arial"/>
        </w:rPr>
        <w:t>.</w:t>
      </w:r>
      <w:r>
        <w:rPr>
          <w:rFonts w:cs="Arial"/>
        </w:rPr>
        <w:t>C</w:t>
      </w:r>
      <w:r w:rsidR="000F37A7">
        <w:rPr>
          <w:rFonts w:cs="Arial"/>
        </w:rPr>
        <w:t>.</w:t>
      </w:r>
      <w:r>
        <w:rPr>
          <w:rFonts w:cs="Arial"/>
        </w:rPr>
        <w:t xml:space="preserve">) filed suit last week challenging the administration’s new policies restricting eligibility for certain public benefits to citizens and those with legal status, the administration agreed to temporarily halt enforcement of the policies until </w:t>
      </w:r>
      <w:r w:rsidR="00B066DF">
        <w:rPr>
          <w:rFonts w:cs="Arial"/>
        </w:rPr>
        <w:t xml:space="preserve">early </w:t>
      </w:r>
      <w:r>
        <w:rPr>
          <w:rFonts w:cs="Arial"/>
        </w:rPr>
        <w:t xml:space="preserve">September. </w:t>
      </w:r>
    </w:p>
    <w:p w14:paraId="32B90AC2" w14:textId="50929909" w:rsidR="00D634C9" w:rsidRDefault="00D634C9" w:rsidP="00D634C9">
      <w:pPr>
        <w:rPr>
          <w:rFonts w:cs="Arial"/>
        </w:rPr>
      </w:pPr>
      <w:r>
        <w:rPr>
          <w:rFonts w:cs="Arial"/>
        </w:rPr>
        <w:t xml:space="preserve">The lawsuit was filed in response to multiple agencies releasing policies that interpret the </w:t>
      </w:r>
      <w:r w:rsidRPr="006B1B2E">
        <w:rPr>
          <w:rFonts w:cs="Arial"/>
        </w:rPr>
        <w:t>Personal Responsibility and Work Opportunity Reconciliation Act (PRWORA)</w:t>
      </w:r>
      <w:r>
        <w:rPr>
          <w:rFonts w:cs="Arial"/>
        </w:rPr>
        <w:t xml:space="preserve"> differently than </w:t>
      </w:r>
      <w:r w:rsidR="001508DA">
        <w:rPr>
          <w:rFonts w:cs="Arial"/>
        </w:rPr>
        <w:t>prior administrations</w:t>
      </w:r>
      <w:r>
        <w:rPr>
          <w:rFonts w:cs="Arial"/>
        </w:rPr>
        <w:t xml:space="preserve">.  The policies from the </w:t>
      </w:r>
      <w:r w:rsidR="001508DA">
        <w:rPr>
          <w:rFonts w:cs="Arial"/>
        </w:rPr>
        <w:t xml:space="preserve">U.S. </w:t>
      </w:r>
      <w:r>
        <w:rPr>
          <w:rFonts w:cs="Arial"/>
        </w:rPr>
        <w:t xml:space="preserve">Departments of Justice, Health and Human Services, Education, and Labor </w:t>
      </w:r>
      <w:r w:rsidR="009C5E64">
        <w:rPr>
          <w:rFonts w:cs="Arial"/>
        </w:rPr>
        <w:t>interpret the</w:t>
      </w:r>
      <w:r>
        <w:rPr>
          <w:rFonts w:cs="Arial"/>
        </w:rPr>
        <w:t xml:space="preserve"> definition of “federal public benefits” </w:t>
      </w:r>
      <w:r w:rsidR="009C5E64">
        <w:rPr>
          <w:rFonts w:cs="Arial"/>
        </w:rPr>
        <w:t xml:space="preserve">more broadly </w:t>
      </w:r>
      <w:r>
        <w:rPr>
          <w:rFonts w:cs="Arial"/>
        </w:rPr>
        <w:t>to include programs such as</w:t>
      </w:r>
      <w:r w:rsidR="00F719B9">
        <w:rPr>
          <w:rFonts w:cs="Arial"/>
        </w:rPr>
        <w:t xml:space="preserve"> programs under the</w:t>
      </w:r>
      <w:r>
        <w:rPr>
          <w:rFonts w:cs="Arial"/>
        </w:rPr>
        <w:t xml:space="preserve"> Perkins</w:t>
      </w:r>
      <w:r w:rsidR="009C5E64">
        <w:rPr>
          <w:rFonts w:cs="Arial"/>
        </w:rPr>
        <w:t xml:space="preserve"> </w:t>
      </w:r>
      <w:r w:rsidR="00BB2DB5">
        <w:rPr>
          <w:rFonts w:cs="Arial"/>
        </w:rPr>
        <w:t>C</w:t>
      </w:r>
      <w:r w:rsidR="009C5E64">
        <w:rPr>
          <w:rFonts w:cs="Arial"/>
        </w:rPr>
        <w:t xml:space="preserve">areer and </w:t>
      </w:r>
      <w:r w:rsidR="00BB2DB5">
        <w:rPr>
          <w:rFonts w:cs="Arial"/>
        </w:rPr>
        <w:t>T</w:t>
      </w:r>
      <w:r w:rsidR="009C5E64">
        <w:rPr>
          <w:rFonts w:cs="Arial"/>
        </w:rPr>
        <w:t xml:space="preserve">echnical </w:t>
      </w:r>
      <w:r w:rsidR="00BB2DB5">
        <w:rPr>
          <w:rFonts w:cs="Arial"/>
        </w:rPr>
        <w:t>E</w:t>
      </w:r>
      <w:r w:rsidR="009C5E64">
        <w:rPr>
          <w:rFonts w:cs="Arial"/>
        </w:rPr>
        <w:t>ducation</w:t>
      </w:r>
      <w:r w:rsidR="00F719B9">
        <w:rPr>
          <w:rFonts w:cs="Arial"/>
        </w:rPr>
        <w:t xml:space="preserve"> Act</w:t>
      </w:r>
      <w:r>
        <w:rPr>
          <w:rFonts w:cs="Arial"/>
        </w:rPr>
        <w:t>, Head Start, and the Community Services Block Grant.  Enforcement of the new policies was set to begin in August, giving grant recipients a short window to create and implement processes to verify immigration status.</w:t>
      </w:r>
    </w:p>
    <w:p w14:paraId="7FDE73A3" w14:textId="0B42750B" w:rsidR="00D634C9" w:rsidRDefault="00D634C9" w:rsidP="00D634C9">
      <w:pPr>
        <w:rPr>
          <w:rFonts w:cs="Arial"/>
        </w:rPr>
      </w:pPr>
      <w:r>
        <w:rPr>
          <w:rFonts w:cs="Arial"/>
        </w:rPr>
        <w:t xml:space="preserve">In the agreement reached late last week, the four agencies said that they would not begin enforcement until September 3, 2025.  However, that pause only applies to the 20 States </w:t>
      </w:r>
      <w:r w:rsidR="00804970">
        <w:rPr>
          <w:rFonts w:cs="Arial"/>
        </w:rPr>
        <w:t xml:space="preserve">involved in the lawsuit </w:t>
      </w:r>
      <w:r>
        <w:rPr>
          <w:rFonts w:cs="Arial"/>
        </w:rPr>
        <w:t>and D</w:t>
      </w:r>
      <w:r w:rsidR="00804970">
        <w:rPr>
          <w:rFonts w:cs="Arial"/>
        </w:rPr>
        <w:t>.</w:t>
      </w:r>
      <w:r>
        <w:rPr>
          <w:rFonts w:cs="Arial"/>
        </w:rPr>
        <w:t>C.  The agencies also agreed that, regardless of the outcome of the case, it would never apply the rules retroactively.  This ensures that programs in the plaintiff States and D</w:t>
      </w:r>
      <w:r w:rsidR="00804970">
        <w:rPr>
          <w:rFonts w:cs="Arial"/>
        </w:rPr>
        <w:t>.</w:t>
      </w:r>
      <w:r>
        <w:rPr>
          <w:rFonts w:cs="Arial"/>
        </w:rPr>
        <w:t>C</w:t>
      </w:r>
      <w:r w:rsidR="00804970">
        <w:rPr>
          <w:rFonts w:cs="Arial"/>
        </w:rPr>
        <w:t>.</w:t>
      </w:r>
      <w:r>
        <w:rPr>
          <w:rFonts w:cs="Arial"/>
        </w:rPr>
        <w:t xml:space="preserve"> will not face repercussions for actions taken before September 4, 202</w:t>
      </w:r>
      <w:r w:rsidR="00332583">
        <w:rPr>
          <w:rFonts w:cs="Arial"/>
        </w:rPr>
        <w:t>5</w:t>
      </w:r>
      <w:r>
        <w:rPr>
          <w:rFonts w:cs="Arial"/>
        </w:rPr>
        <w:t xml:space="preserve">. </w:t>
      </w:r>
    </w:p>
    <w:p w14:paraId="14073924" w14:textId="77777777" w:rsidR="00D634C9" w:rsidRDefault="00D634C9" w:rsidP="00D634C9">
      <w:pPr>
        <w:rPr>
          <w:rFonts w:cs="Arial"/>
        </w:rPr>
      </w:pPr>
      <w:r>
        <w:rPr>
          <w:rFonts w:cs="Arial"/>
        </w:rPr>
        <w:t xml:space="preserve">Plaintiffs have also asked the court to issue a preliminary injunction, which would prevent the agencies from enforcing the policies until a final decision is made.  The parties are set to have a hearing on that request at the end of August.  </w:t>
      </w:r>
    </w:p>
    <w:p w14:paraId="417FB325" w14:textId="1E184E02" w:rsidR="008F04D0" w:rsidRDefault="00D634C9" w:rsidP="00D634C9">
      <w:r>
        <w:rPr>
          <w:rFonts w:cs="Arial"/>
        </w:rPr>
        <w:t xml:space="preserve">Author: BTW </w:t>
      </w:r>
      <w:r>
        <w:t xml:space="preserve"> </w:t>
      </w:r>
    </w:p>
    <w:p w14:paraId="4948AE48" w14:textId="1D8B8F7F" w:rsidR="00F60513" w:rsidRDefault="00F60513" w:rsidP="005D6F3B">
      <w:pPr>
        <w:pStyle w:val="Heading3"/>
      </w:pPr>
      <w:bookmarkStart w:id="15" w:name="_Toc204938806"/>
      <w:r>
        <w:t xml:space="preserve">ED Nominee Withdraws </w:t>
      </w:r>
      <w:r w:rsidR="005D6F3B">
        <w:t>f</w:t>
      </w:r>
      <w:r>
        <w:t>rom Consideration</w:t>
      </w:r>
      <w:bookmarkEnd w:id="15"/>
    </w:p>
    <w:p w14:paraId="7661A374" w14:textId="6F6F45AC" w:rsidR="00F60513" w:rsidRDefault="00F60513" w:rsidP="00D634C9">
      <w:r>
        <w:t>Penny Schwinn, whom President Trump had nominate</w:t>
      </w:r>
      <w:r w:rsidR="00693985">
        <w:t>d</w:t>
      </w:r>
      <w:r>
        <w:t xml:space="preserve"> to be Deputy Secretary of Education, has</w:t>
      </w:r>
      <w:r w:rsidR="00EB63B4">
        <w:t xml:space="preserve"> been withdrawn from consideration as her nomination stalled in the Senate.  </w:t>
      </w:r>
      <w:r w:rsidR="00A11D95">
        <w:t>Schwinn, who was selected in January, was previously Tennessee Education Department Commission</w:t>
      </w:r>
      <w:r w:rsidR="00A20B6D">
        <w:t>er</w:t>
      </w:r>
      <w:r w:rsidR="00A11D95">
        <w:t xml:space="preserve">, the assistant Secretary </w:t>
      </w:r>
      <w:r w:rsidR="005D6F3B">
        <w:t>of Education in Delaware, and a Texas Education Agency official.</w:t>
      </w:r>
    </w:p>
    <w:p w14:paraId="79899AF8" w14:textId="57CAC11D" w:rsidR="005D6F3B" w:rsidRDefault="005D6F3B" w:rsidP="00D634C9">
      <w:r>
        <w:t>Reports suggest that Schwinn’s nomination had stalled because of concerns from conservatives about her voting record and political ideology.  She will instead be a senior advisor and chief strategist at the U.S. Department of Education, for which she will not require Senate confirmation.</w:t>
      </w:r>
    </w:p>
    <w:p w14:paraId="57ED6AFA" w14:textId="289864EA" w:rsidR="005D6F3B" w:rsidRPr="00D634C9" w:rsidRDefault="005D6F3B" w:rsidP="00D634C9">
      <w:r>
        <w:t>Author: JCM</w:t>
      </w:r>
    </w:p>
    <w:p w14:paraId="5620654A" w14:textId="589FC17E" w:rsidR="00201433" w:rsidRPr="00393E23" w:rsidRDefault="00201433" w:rsidP="008725FE">
      <w:pPr>
        <w:rPr>
          <w:rFonts w:cs="Arial"/>
        </w:rPr>
      </w:pPr>
      <w:r w:rsidRPr="008725FE">
        <w:rPr>
          <w:b/>
          <w:bCs/>
          <w:i/>
          <w:iCs/>
        </w:rPr>
        <w:t xml:space="preserve">The Federal Update has been prepared to inform </w:t>
      </w:r>
      <w:r w:rsidR="00C138EF" w:rsidRPr="008725FE">
        <w:rPr>
          <w:b/>
          <w:bCs/>
          <w:i/>
          <w:iCs/>
        </w:rPr>
        <w:t>The Bruman Group</w:t>
      </w:r>
      <w:r w:rsidRPr="008725FE">
        <w:rPr>
          <w:b/>
          <w:bCs/>
          <w:i/>
          <w:iCs/>
        </w:rPr>
        <w:t xml:space="preserve">, PLLC’s legislative </w:t>
      </w:r>
      <w:proofErr w:type="gramStart"/>
      <w:r w:rsidRPr="008725FE">
        <w:rPr>
          <w:b/>
          <w:bCs/>
          <w:i/>
          <w:iCs/>
        </w:rPr>
        <w:t>clients</w:t>
      </w:r>
      <w:proofErr w:type="gramEnd"/>
      <w:r w:rsidRPr="008725FE">
        <w:rPr>
          <w:b/>
          <w:bCs/>
          <w:i/>
          <w:iCs/>
        </w:rPr>
        <w:t xml:space="preserve"> of recent events in federal education legislation and/or administrative law.  It is not intended as legal advice, should not serve as the basis </w:t>
      </w:r>
      <w:r w:rsidRPr="008725FE">
        <w:rPr>
          <w:b/>
          <w:bCs/>
          <w:i/>
          <w:iCs/>
        </w:rPr>
        <w:lastRenderedPageBreak/>
        <w:t xml:space="preserve">for decision-making in specific situations, and does not create an attorney-client relationship between </w:t>
      </w:r>
      <w:r w:rsidR="00C138EF" w:rsidRPr="008725FE">
        <w:rPr>
          <w:b/>
          <w:bCs/>
          <w:i/>
          <w:iCs/>
        </w:rPr>
        <w:t>The Bruman Group,</w:t>
      </w:r>
      <w:r w:rsidRPr="008725FE">
        <w:rPr>
          <w:b/>
          <w:bCs/>
          <w:i/>
          <w:iCs/>
        </w:rPr>
        <w:t xml:space="preserve"> PLLC and the reader.</w:t>
      </w:r>
    </w:p>
    <w:p w14:paraId="33DAB355" w14:textId="40D9F911"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7C6E27">
        <w:rPr>
          <w:rFonts w:eastAsia="Times New Roman" w:cs="Arial"/>
          <w:szCs w:val="24"/>
        </w:rPr>
        <w:t>5</w:t>
      </w:r>
    </w:p>
    <w:p w14:paraId="6E61D1CD" w14:textId="6611ABEB" w:rsidR="00201433" w:rsidRDefault="00201433" w:rsidP="2193F663">
      <w:pPr>
        <w:spacing w:before="240" w:after="240"/>
        <w:rPr>
          <w:rFonts w:eastAsia="Times New Roman" w:cs="Arial"/>
        </w:rPr>
      </w:pPr>
      <w:r w:rsidRPr="71338862">
        <w:rPr>
          <w:rFonts w:eastAsia="Times New Roman" w:cs="Arial"/>
        </w:rPr>
        <w:t>Contributors:</w:t>
      </w:r>
      <w:r w:rsidR="00122E05" w:rsidRPr="71338862">
        <w:rPr>
          <w:rFonts w:eastAsia="Times New Roman" w:cs="Arial"/>
        </w:rPr>
        <w:t xml:space="preserve"> </w:t>
      </w:r>
      <w:r w:rsidR="008634C0">
        <w:rPr>
          <w:rFonts w:eastAsia="Times New Roman" w:cs="Arial"/>
        </w:rPr>
        <w:t xml:space="preserve">Julia Martin, Kelly Christiansen, </w:t>
      </w:r>
      <w:r w:rsidR="00B54051">
        <w:rPr>
          <w:rFonts w:eastAsia="Times New Roman" w:cs="Arial"/>
        </w:rPr>
        <w:t xml:space="preserve">Brandi </w:t>
      </w:r>
      <w:r w:rsidR="00D8566E">
        <w:rPr>
          <w:rFonts w:eastAsia="Times New Roman" w:cs="Arial"/>
        </w:rPr>
        <w:t>Wills</w:t>
      </w:r>
    </w:p>
    <w:p w14:paraId="4302CCF9" w14:textId="77777777" w:rsidR="006A68CA" w:rsidRDefault="006A68CA" w:rsidP="006A68CA">
      <w:pPr>
        <w:spacing w:before="240" w:after="240"/>
        <w:rPr>
          <w:rFonts w:eastAsia="Times New Roman" w:cs="Arial"/>
        </w:rPr>
      </w:pPr>
      <w:r w:rsidRPr="00D64B73">
        <w:rPr>
          <w:rFonts w:eastAsia="Times New Roman" w:cs="Arial"/>
        </w:rPr>
        <w:t>Posted by the California Department of Education, August 2025</w:t>
      </w:r>
    </w:p>
    <w:p w14:paraId="7D7D17B1" w14:textId="77777777" w:rsidR="006A68CA" w:rsidRDefault="006A68CA" w:rsidP="2193F663">
      <w:pPr>
        <w:spacing w:before="240" w:after="240"/>
        <w:rPr>
          <w:rFonts w:eastAsia="Times New Roman" w:cs="Arial"/>
        </w:rPr>
      </w:pPr>
    </w:p>
    <w:sectPr w:rsidR="006A68CA" w:rsidSect="008C514B">
      <w:headerReference w:type="default" r:id="rId11"/>
      <w:footerReference w:type="default" r:id="rId12"/>
      <w:headerReference w:type="first" r:id="rId13"/>
      <w:footerReference w:type="first" r:id="rId14"/>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A218B" w14:textId="77777777" w:rsidR="00491A0C" w:rsidRDefault="00491A0C">
      <w:pPr>
        <w:spacing w:before="0" w:after="0"/>
      </w:pPr>
      <w:r>
        <w:separator/>
      </w:r>
    </w:p>
  </w:endnote>
  <w:endnote w:type="continuationSeparator" w:id="0">
    <w:p w14:paraId="6F997FE2" w14:textId="77777777" w:rsidR="00491A0C" w:rsidRDefault="00491A0C">
      <w:pPr>
        <w:spacing w:before="0" w:after="0"/>
      </w:pPr>
      <w:r>
        <w:continuationSeparator/>
      </w:r>
    </w:p>
  </w:endnote>
  <w:endnote w:type="continuationNotice" w:id="1">
    <w:p w14:paraId="208C3F6B" w14:textId="77777777" w:rsidR="00491A0C" w:rsidRDefault="00491A0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C3ED" w14:textId="785CE11E" w:rsidR="00523033" w:rsidRPr="000D1533" w:rsidRDefault="006B0DA8">
    <w:pPr>
      <w:pStyle w:val="Footer"/>
      <w:jc w:val="center"/>
      <w:rPr>
        <w:szCs w:val="24"/>
      </w:rPr>
    </w:pPr>
    <w:hyperlink r:id="rId1" w:tooltip="Brustein &amp; Manasevit's website link." w:history="1">
      <w:r w:rsidRPr="005B14C4">
        <w:rPr>
          <w:rStyle w:val="Hyperlink"/>
          <w:szCs w:val="24"/>
        </w:rPr>
        <w:t>www.bruman.com</w:t>
      </w:r>
    </w:hyperlink>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A3C37" w14:textId="77777777" w:rsidR="00491A0C" w:rsidRDefault="00491A0C">
      <w:pPr>
        <w:spacing w:before="0" w:after="0"/>
      </w:pPr>
      <w:r>
        <w:separator/>
      </w:r>
    </w:p>
  </w:footnote>
  <w:footnote w:type="continuationSeparator" w:id="0">
    <w:p w14:paraId="5949A4CD" w14:textId="77777777" w:rsidR="00491A0C" w:rsidRDefault="00491A0C">
      <w:pPr>
        <w:spacing w:before="0" w:after="0"/>
      </w:pPr>
      <w:r>
        <w:continuationSeparator/>
      </w:r>
    </w:p>
  </w:footnote>
  <w:footnote w:type="continuationNotice" w:id="1">
    <w:p w14:paraId="47BDAE61" w14:textId="77777777" w:rsidR="00491A0C" w:rsidRDefault="00491A0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1D07" w14:textId="52E60078"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027E984D" w:rsidR="003C7552" w:rsidRPr="00662BDC" w:rsidRDefault="003E0632" w:rsidP="000A590A">
    <w:pPr>
      <w:pStyle w:val="NoSpacing"/>
      <w:tabs>
        <w:tab w:val="left" w:pos="7920"/>
      </w:tabs>
    </w:pPr>
    <w:r>
      <w:t>August 1</w:t>
    </w:r>
    <w:r w:rsidR="71338862">
      <w: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2193F663" w14:paraId="38CE45BF" w14:textId="77777777" w:rsidTr="2193F663">
      <w:trPr>
        <w:trHeight w:val="300"/>
      </w:trPr>
      <w:tc>
        <w:tcPr>
          <w:tcW w:w="3160" w:type="dxa"/>
        </w:tcPr>
        <w:p w14:paraId="5D87D882" w14:textId="427E6F4E" w:rsidR="2193F663" w:rsidRDefault="2193F663" w:rsidP="2193F663">
          <w:pPr>
            <w:pStyle w:val="Header"/>
            <w:ind w:left="-115"/>
          </w:pPr>
        </w:p>
      </w:tc>
      <w:tc>
        <w:tcPr>
          <w:tcW w:w="3160" w:type="dxa"/>
        </w:tcPr>
        <w:p w14:paraId="1BA58480" w14:textId="322C839F" w:rsidR="2193F663" w:rsidRDefault="2193F663" w:rsidP="2193F663">
          <w:pPr>
            <w:pStyle w:val="Header"/>
            <w:jc w:val="center"/>
          </w:pPr>
        </w:p>
      </w:tc>
      <w:tc>
        <w:tcPr>
          <w:tcW w:w="3160" w:type="dxa"/>
        </w:tcPr>
        <w:p w14:paraId="0CD68F80" w14:textId="3C1E6464" w:rsidR="2193F663" w:rsidRDefault="2193F663" w:rsidP="2193F663">
          <w:pPr>
            <w:pStyle w:val="Header"/>
            <w:ind w:right="-115"/>
            <w:jc w:val="right"/>
          </w:pPr>
        </w:p>
      </w:tc>
    </w:tr>
  </w:tbl>
  <w:p w14:paraId="0514E2AD" w14:textId="3E4A02A8" w:rsidR="2193F663" w:rsidRDefault="2193F663" w:rsidP="2193F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E5D0A"/>
    <w:multiLevelType w:val="hybridMultilevel"/>
    <w:tmpl w:val="0EEC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2"/>
  </w:num>
  <w:num w:numId="3" w16cid:durableId="609967805">
    <w:abstractNumId w:val="14"/>
  </w:num>
  <w:num w:numId="4" w16cid:durableId="251090247">
    <w:abstractNumId w:val="15"/>
  </w:num>
  <w:num w:numId="5" w16cid:durableId="1731339148">
    <w:abstractNumId w:val="16"/>
  </w:num>
  <w:num w:numId="6" w16cid:durableId="539635806">
    <w:abstractNumId w:val="2"/>
  </w:num>
  <w:num w:numId="7" w16cid:durableId="1386492090">
    <w:abstractNumId w:val="9"/>
  </w:num>
  <w:num w:numId="8" w16cid:durableId="1115247537">
    <w:abstractNumId w:val="8"/>
  </w:num>
  <w:num w:numId="9" w16cid:durableId="753940604">
    <w:abstractNumId w:val="6"/>
  </w:num>
  <w:num w:numId="10" w16cid:durableId="1994872969">
    <w:abstractNumId w:val="5"/>
  </w:num>
  <w:num w:numId="11" w16cid:durableId="1728139951">
    <w:abstractNumId w:val="0"/>
  </w:num>
  <w:num w:numId="12" w16cid:durableId="260647508">
    <w:abstractNumId w:val="11"/>
  </w:num>
  <w:num w:numId="13" w16cid:durableId="2064135907">
    <w:abstractNumId w:val="7"/>
  </w:num>
  <w:num w:numId="14" w16cid:durableId="1678193203">
    <w:abstractNumId w:val="3"/>
  </w:num>
  <w:num w:numId="15" w16cid:durableId="392314919">
    <w:abstractNumId w:val="17"/>
  </w:num>
  <w:num w:numId="16" w16cid:durableId="1016081850">
    <w:abstractNumId w:val="10"/>
  </w:num>
  <w:num w:numId="17" w16cid:durableId="1121270386">
    <w:abstractNumId w:val="13"/>
  </w:num>
  <w:num w:numId="18" w16cid:durableId="207870348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87"/>
    <w:rsid w:val="000008AF"/>
    <w:rsid w:val="000014FF"/>
    <w:rsid w:val="000016BC"/>
    <w:rsid w:val="00001930"/>
    <w:rsid w:val="00001D5E"/>
    <w:rsid w:val="00002100"/>
    <w:rsid w:val="000021B4"/>
    <w:rsid w:val="00002459"/>
    <w:rsid w:val="00002535"/>
    <w:rsid w:val="0000271E"/>
    <w:rsid w:val="00002827"/>
    <w:rsid w:val="000028E9"/>
    <w:rsid w:val="0000298A"/>
    <w:rsid w:val="00002A50"/>
    <w:rsid w:val="00002B31"/>
    <w:rsid w:val="00002B4D"/>
    <w:rsid w:val="00002E24"/>
    <w:rsid w:val="0000309F"/>
    <w:rsid w:val="0000310B"/>
    <w:rsid w:val="000031F4"/>
    <w:rsid w:val="0000355A"/>
    <w:rsid w:val="00003657"/>
    <w:rsid w:val="00003667"/>
    <w:rsid w:val="0000382E"/>
    <w:rsid w:val="00003917"/>
    <w:rsid w:val="000039A3"/>
    <w:rsid w:val="0000407D"/>
    <w:rsid w:val="00004B52"/>
    <w:rsid w:val="00004C37"/>
    <w:rsid w:val="000051FD"/>
    <w:rsid w:val="000053EC"/>
    <w:rsid w:val="00005C33"/>
    <w:rsid w:val="00005F5A"/>
    <w:rsid w:val="0000653B"/>
    <w:rsid w:val="00006757"/>
    <w:rsid w:val="00006BD0"/>
    <w:rsid w:val="00006CFC"/>
    <w:rsid w:val="000073BB"/>
    <w:rsid w:val="000075BD"/>
    <w:rsid w:val="00007835"/>
    <w:rsid w:val="00007DB1"/>
    <w:rsid w:val="0001000F"/>
    <w:rsid w:val="000110A4"/>
    <w:rsid w:val="00011314"/>
    <w:rsid w:val="00011591"/>
    <w:rsid w:val="00011EB4"/>
    <w:rsid w:val="00012351"/>
    <w:rsid w:val="00012854"/>
    <w:rsid w:val="00012C3A"/>
    <w:rsid w:val="000131AF"/>
    <w:rsid w:val="0001395B"/>
    <w:rsid w:val="00013C35"/>
    <w:rsid w:val="00013EBB"/>
    <w:rsid w:val="000145B1"/>
    <w:rsid w:val="00014C12"/>
    <w:rsid w:val="00014E9D"/>
    <w:rsid w:val="00015227"/>
    <w:rsid w:val="00015333"/>
    <w:rsid w:val="00015359"/>
    <w:rsid w:val="0001548B"/>
    <w:rsid w:val="00015524"/>
    <w:rsid w:val="0001563B"/>
    <w:rsid w:val="00015735"/>
    <w:rsid w:val="00015C0D"/>
    <w:rsid w:val="00015C25"/>
    <w:rsid w:val="00015E13"/>
    <w:rsid w:val="000166E8"/>
    <w:rsid w:val="00016BA2"/>
    <w:rsid w:val="000171BC"/>
    <w:rsid w:val="00020094"/>
    <w:rsid w:val="00021386"/>
    <w:rsid w:val="0002147E"/>
    <w:rsid w:val="000218AB"/>
    <w:rsid w:val="00021FCB"/>
    <w:rsid w:val="000222D5"/>
    <w:rsid w:val="00022392"/>
    <w:rsid w:val="000224E2"/>
    <w:rsid w:val="00022DAC"/>
    <w:rsid w:val="00022E2E"/>
    <w:rsid w:val="00023012"/>
    <w:rsid w:val="0002305C"/>
    <w:rsid w:val="00023187"/>
    <w:rsid w:val="00024799"/>
    <w:rsid w:val="000255CD"/>
    <w:rsid w:val="00025608"/>
    <w:rsid w:val="00025924"/>
    <w:rsid w:val="000259E1"/>
    <w:rsid w:val="00025B2C"/>
    <w:rsid w:val="00025D68"/>
    <w:rsid w:val="000260CE"/>
    <w:rsid w:val="000262A8"/>
    <w:rsid w:val="00026710"/>
    <w:rsid w:val="00026CC7"/>
    <w:rsid w:val="00027025"/>
    <w:rsid w:val="00027A54"/>
    <w:rsid w:val="000301C7"/>
    <w:rsid w:val="000306D4"/>
    <w:rsid w:val="00030888"/>
    <w:rsid w:val="00030F77"/>
    <w:rsid w:val="0003127A"/>
    <w:rsid w:val="0003132B"/>
    <w:rsid w:val="000315C5"/>
    <w:rsid w:val="00031955"/>
    <w:rsid w:val="00031F70"/>
    <w:rsid w:val="0003205F"/>
    <w:rsid w:val="000323B4"/>
    <w:rsid w:val="000325C7"/>
    <w:rsid w:val="0003266C"/>
    <w:rsid w:val="00032C17"/>
    <w:rsid w:val="00032DE2"/>
    <w:rsid w:val="000332AD"/>
    <w:rsid w:val="00033356"/>
    <w:rsid w:val="00033AD4"/>
    <w:rsid w:val="00033FB0"/>
    <w:rsid w:val="0003463C"/>
    <w:rsid w:val="000346F4"/>
    <w:rsid w:val="00034FEF"/>
    <w:rsid w:val="00035762"/>
    <w:rsid w:val="000359DE"/>
    <w:rsid w:val="00035A43"/>
    <w:rsid w:val="00035A9A"/>
    <w:rsid w:val="00035AA1"/>
    <w:rsid w:val="00035F8B"/>
    <w:rsid w:val="00036228"/>
    <w:rsid w:val="0003654C"/>
    <w:rsid w:val="00036551"/>
    <w:rsid w:val="00036CC8"/>
    <w:rsid w:val="00036F11"/>
    <w:rsid w:val="00036FD8"/>
    <w:rsid w:val="0004027E"/>
    <w:rsid w:val="0004040C"/>
    <w:rsid w:val="000404C0"/>
    <w:rsid w:val="000408A9"/>
    <w:rsid w:val="0004092B"/>
    <w:rsid w:val="00040C8E"/>
    <w:rsid w:val="000410C9"/>
    <w:rsid w:val="000416FA"/>
    <w:rsid w:val="00041B30"/>
    <w:rsid w:val="00041C43"/>
    <w:rsid w:val="00041D3B"/>
    <w:rsid w:val="00041F29"/>
    <w:rsid w:val="00042E5D"/>
    <w:rsid w:val="00042E66"/>
    <w:rsid w:val="00042E7E"/>
    <w:rsid w:val="0004327B"/>
    <w:rsid w:val="00043519"/>
    <w:rsid w:val="00043A05"/>
    <w:rsid w:val="00043AC7"/>
    <w:rsid w:val="00044142"/>
    <w:rsid w:val="00044956"/>
    <w:rsid w:val="00044B22"/>
    <w:rsid w:val="00044EA9"/>
    <w:rsid w:val="00044FCD"/>
    <w:rsid w:val="00045128"/>
    <w:rsid w:val="000451AC"/>
    <w:rsid w:val="00045C03"/>
    <w:rsid w:val="000461C5"/>
    <w:rsid w:val="000461E4"/>
    <w:rsid w:val="0004658C"/>
    <w:rsid w:val="000469DB"/>
    <w:rsid w:val="00046A9E"/>
    <w:rsid w:val="00046B7C"/>
    <w:rsid w:val="00046D35"/>
    <w:rsid w:val="00046D65"/>
    <w:rsid w:val="000473F5"/>
    <w:rsid w:val="000476D9"/>
    <w:rsid w:val="00047740"/>
    <w:rsid w:val="00047C2F"/>
    <w:rsid w:val="00047D75"/>
    <w:rsid w:val="00047F71"/>
    <w:rsid w:val="000500A4"/>
    <w:rsid w:val="000504F0"/>
    <w:rsid w:val="000505AF"/>
    <w:rsid w:val="000508ED"/>
    <w:rsid w:val="00050F66"/>
    <w:rsid w:val="0005114A"/>
    <w:rsid w:val="000515CC"/>
    <w:rsid w:val="000519A9"/>
    <w:rsid w:val="00051A42"/>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C6D"/>
    <w:rsid w:val="00054CE1"/>
    <w:rsid w:val="000550B3"/>
    <w:rsid w:val="00055148"/>
    <w:rsid w:val="0005580C"/>
    <w:rsid w:val="00055A99"/>
    <w:rsid w:val="00056DF1"/>
    <w:rsid w:val="000573C1"/>
    <w:rsid w:val="000574A1"/>
    <w:rsid w:val="0005761C"/>
    <w:rsid w:val="000578E4"/>
    <w:rsid w:val="00057970"/>
    <w:rsid w:val="00057A7E"/>
    <w:rsid w:val="00057F1F"/>
    <w:rsid w:val="00060030"/>
    <w:rsid w:val="000601CF"/>
    <w:rsid w:val="00060344"/>
    <w:rsid w:val="000604CB"/>
    <w:rsid w:val="00060538"/>
    <w:rsid w:val="00060545"/>
    <w:rsid w:val="000605DE"/>
    <w:rsid w:val="000610F3"/>
    <w:rsid w:val="00061327"/>
    <w:rsid w:val="000614FF"/>
    <w:rsid w:val="000615D9"/>
    <w:rsid w:val="000619AA"/>
    <w:rsid w:val="00061A9A"/>
    <w:rsid w:val="00061EBF"/>
    <w:rsid w:val="000620CD"/>
    <w:rsid w:val="00062222"/>
    <w:rsid w:val="00062238"/>
    <w:rsid w:val="00062345"/>
    <w:rsid w:val="0006249A"/>
    <w:rsid w:val="000630D8"/>
    <w:rsid w:val="000633D1"/>
    <w:rsid w:val="0006395F"/>
    <w:rsid w:val="00063D9E"/>
    <w:rsid w:val="00063F46"/>
    <w:rsid w:val="00064293"/>
    <w:rsid w:val="000646D5"/>
    <w:rsid w:val="00064739"/>
    <w:rsid w:val="000648F4"/>
    <w:rsid w:val="00064BB1"/>
    <w:rsid w:val="00064BE3"/>
    <w:rsid w:val="00064DE5"/>
    <w:rsid w:val="0006523C"/>
    <w:rsid w:val="000653E3"/>
    <w:rsid w:val="00065428"/>
    <w:rsid w:val="00065B0A"/>
    <w:rsid w:val="00066110"/>
    <w:rsid w:val="000661A9"/>
    <w:rsid w:val="000665F7"/>
    <w:rsid w:val="00066604"/>
    <w:rsid w:val="000669C7"/>
    <w:rsid w:val="000672A1"/>
    <w:rsid w:val="00067617"/>
    <w:rsid w:val="00070453"/>
    <w:rsid w:val="00070D9A"/>
    <w:rsid w:val="00070F1B"/>
    <w:rsid w:val="00071071"/>
    <w:rsid w:val="0007131A"/>
    <w:rsid w:val="000713AF"/>
    <w:rsid w:val="000713EB"/>
    <w:rsid w:val="00071467"/>
    <w:rsid w:val="000721DB"/>
    <w:rsid w:val="0007285E"/>
    <w:rsid w:val="000728BC"/>
    <w:rsid w:val="000729A9"/>
    <w:rsid w:val="00072A68"/>
    <w:rsid w:val="00072D32"/>
    <w:rsid w:val="00072FB0"/>
    <w:rsid w:val="0007306F"/>
    <w:rsid w:val="00073802"/>
    <w:rsid w:val="00073CCC"/>
    <w:rsid w:val="00073EC6"/>
    <w:rsid w:val="000742AC"/>
    <w:rsid w:val="00074DD8"/>
    <w:rsid w:val="00074F7F"/>
    <w:rsid w:val="00074FBD"/>
    <w:rsid w:val="00075C1D"/>
    <w:rsid w:val="0007621C"/>
    <w:rsid w:val="0007622F"/>
    <w:rsid w:val="000769CF"/>
    <w:rsid w:val="00076C4D"/>
    <w:rsid w:val="0007710E"/>
    <w:rsid w:val="00077137"/>
    <w:rsid w:val="000774CF"/>
    <w:rsid w:val="0007798F"/>
    <w:rsid w:val="000800DA"/>
    <w:rsid w:val="0008010A"/>
    <w:rsid w:val="00081621"/>
    <w:rsid w:val="00081821"/>
    <w:rsid w:val="000824C2"/>
    <w:rsid w:val="0008254C"/>
    <w:rsid w:val="00082BE2"/>
    <w:rsid w:val="00082BE8"/>
    <w:rsid w:val="00082F6C"/>
    <w:rsid w:val="000832BB"/>
    <w:rsid w:val="000832C9"/>
    <w:rsid w:val="000832DC"/>
    <w:rsid w:val="0008338B"/>
    <w:rsid w:val="00083916"/>
    <w:rsid w:val="0008416E"/>
    <w:rsid w:val="00084283"/>
    <w:rsid w:val="00084A5E"/>
    <w:rsid w:val="000853E4"/>
    <w:rsid w:val="00085825"/>
    <w:rsid w:val="00085989"/>
    <w:rsid w:val="00085C4E"/>
    <w:rsid w:val="00085F42"/>
    <w:rsid w:val="000860D9"/>
    <w:rsid w:val="000860FA"/>
    <w:rsid w:val="00086185"/>
    <w:rsid w:val="000862D2"/>
    <w:rsid w:val="000863C8"/>
    <w:rsid w:val="0008646F"/>
    <w:rsid w:val="000865B6"/>
    <w:rsid w:val="00086917"/>
    <w:rsid w:val="00086C31"/>
    <w:rsid w:val="00086DA6"/>
    <w:rsid w:val="00086DAA"/>
    <w:rsid w:val="00086EF8"/>
    <w:rsid w:val="00087775"/>
    <w:rsid w:val="00087BE7"/>
    <w:rsid w:val="0009086F"/>
    <w:rsid w:val="00090877"/>
    <w:rsid w:val="00090B87"/>
    <w:rsid w:val="00090CCE"/>
    <w:rsid w:val="00090D1F"/>
    <w:rsid w:val="00090D70"/>
    <w:rsid w:val="00090F78"/>
    <w:rsid w:val="00091587"/>
    <w:rsid w:val="00091D2A"/>
    <w:rsid w:val="0009258D"/>
    <w:rsid w:val="0009278B"/>
    <w:rsid w:val="00092B36"/>
    <w:rsid w:val="00092F26"/>
    <w:rsid w:val="00092F8E"/>
    <w:rsid w:val="0009315E"/>
    <w:rsid w:val="000931C4"/>
    <w:rsid w:val="000934CF"/>
    <w:rsid w:val="00093599"/>
    <w:rsid w:val="00093970"/>
    <w:rsid w:val="000939F1"/>
    <w:rsid w:val="00093CF1"/>
    <w:rsid w:val="00094805"/>
    <w:rsid w:val="0009494F"/>
    <w:rsid w:val="00094CC9"/>
    <w:rsid w:val="00094CD4"/>
    <w:rsid w:val="0009539C"/>
    <w:rsid w:val="000954BD"/>
    <w:rsid w:val="000954C8"/>
    <w:rsid w:val="00095C00"/>
    <w:rsid w:val="000961A4"/>
    <w:rsid w:val="00096355"/>
    <w:rsid w:val="00096488"/>
    <w:rsid w:val="00097580"/>
    <w:rsid w:val="000978E3"/>
    <w:rsid w:val="00097A69"/>
    <w:rsid w:val="00097DA0"/>
    <w:rsid w:val="00097E58"/>
    <w:rsid w:val="00097E5F"/>
    <w:rsid w:val="00097EB9"/>
    <w:rsid w:val="000A040E"/>
    <w:rsid w:val="000A0553"/>
    <w:rsid w:val="000A0D69"/>
    <w:rsid w:val="000A172F"/>
    <w:rsid w:val="000A180E"/>
    <w:rsid w:val="000A18EF"/>
    <w:rsid w:val="000A1C49"/>
    <w:rsid w:val="000A1E40"/>
    <w:rsid w:val="000A21B2"/>
    <w:rsid w:val="000A26CB"/>
    <w:rsid w:val="000A2AAB"/>
    <w:rsid w:val="000A2DA9"/>
    <w:rsid w:val="000A30EA"/>
    <w:rsid w:val="000A345B"/>
    <w:rsid w:val="000A36AC"/>
    <w:rsid w:val="000A3C2C"/>
    <w:rsid w:val="000A3E2B"/>
    <w:rsid w:val="000A3E67"/>
    <w:rsid w:val="000A40C4"/>
    <w:rsid w:val="000A432C"/>
    <w:rsid w:val="000A4506"/>
    <w:rsid w:val="000A45C1"/>
    <w:rsid w:val="000A4781"/>
    <w:rsid w:val="000A4DA8"/>
    <w:rsid w:val="000A4FAA"/>
    <w:rsid w:val="000A590A"/>
    <w:rsid w:val="000A6461"/>
    <w:rsid w:val="000A6597"/>
    <w:rsid w:val="000A6A30"/>
    <w:rsid w:val="000A729A"/>
    <w:rsid w:val="000A746B"/>
    <w:rsid w:val="000A748A"/>
    <w:rsid w:val="000A798C"/>
    <w:rsid w:val="000A7C96"/>
    <w:rsid w:val="000A7DF5"/>
    <w:rsid w:val="000A7FA4"/>
    <w:rsid w:val="000B09E4"/>
    <w:rsid w:val="000B12C6"/>
    <w:rsid w:val="000B1349"/>
    <w:rsid w:val="000B13A0"/>
    <w:rsid w:val="000B14B3"/>
    <w:rsid w:val="000B1BF1"/>
    <w:rsid w:val="000B1EBC"/>
    <w:rsid w:val="000B2141"/>
    <w:rsid w:val="000B220B"/>
    <w:rsid w:val="000B25F3"/>
    <w:rsid w:val="000B287A"/>
    <w:rsid w:val="000B2CDA"/>
    <w:rsid w:val="000B2DCA"/>
    <w:rsid w:val="000B3157"/>
    <w:rsid w:val="000B31F8"/>
    <w:rsid w:val="000B3920"/>
    <w:rsid w:val="000B3DBF"/>
    <w:rsid w:val="000B42CA"/>
    <w:rsid w:val="000B4B25"/>
    <w:rsid w:val="000B4DA9"/>
    <w:rsid w:val="000B4F3B"/>
    <w:rsid w:val="000B54E5"/>
    <w:rsid w:val="000B5A77"/>
    <w:rsid w:val="000B5AEC"/>
    <w:rsid w:val="000B5EEA"/>
    <w:rsid w:val="000B67AD"/>
    <w:rsid w:val="000B67DE"/>
    <w:rsid w:val="000B694B"/>
    <w:rsid w:val="000B6AD9"/>
    <w:rsid w:val="000B7D8A"/>
    <w:rsid w:val="000B7FB5"/>
    <w:rsid w:val="000C0224"/>
    <w:rsid w:val="000C0329"/>
    <w:rsid w:val="000C081C"/>
    <w:rsid w:val="000C12AF"/>
    <w:rsid w:val="000C1436"/>
    <w:rsid w:val="000C16D2"/>
    <w:rsid w:val="000C19BF"/>
    <w:rsid w:val="000C1A32"/>
    <w:rsid w:val="000C231E"/>
    <w:rsid w:val="000C28C1"/>
    <w:rsid w:val="000C2E2F"/>
    <w:rsid w:val="000C3340"/>
    <w:rsid w:val="000C347E"/>
    <w:rsid w:val="000C3991"/>
    <w:rsid w:val="000C3B67"/>
    <w:rsid w:val="000C3D9C"/>
    <w:rsid w:val="000C4074"/>
    <w:rsid w:val="000C4208"/>
    <w:rsid w:val="000C47EE"/>
    <w:rsid w:val="000C48D0"/>
    <w:rsid w:val="000C4C30"/>
    <w:rsid w:val="000C4D0B"/>
    <w:rsid w:val="000C53AF"/>
    <w:rsid w:val="000C56F5"/>
    <w:rsid w:val="000C58A0"/>
    <w:rsid w:val="000C5A12"/>
    <w:rsid w:val="000C5BA6"/>
    <w:rsid w:val="000C6284"/>
    <w:rsid w:val="000C674A"/>
    <w:rsid w:val="000C6A4F"/>
    <w:rsid w:val="000C6AB8"/>
    <w:rsid w:val="000C6CF6"/>
    <w:rsid w:val="000C77F2"/>
    <w:rsid w:val="000C7BC9"/>
    <w:rsid w:val="000D02A1"/>
    <w:rsid w:val="000D047B"/>
    <w:rsid w:val="000D09D9"/>
    <w:rsid w:val="000D0C4B"/>
    <w:rsid w:val="000D0F05"/>
    <w:rsid w:val="000D1533"/>
    <w:rsid w:val="000D1CEB"/>
    <w:rsid w:val="000D1FAA"/>
    <w:rsid w:val="000D204A"/>
    <w:rsid w:val="000D214E"/>
    <w:rsid w:val="000D2B68"/>
    <w:rsid w:val="000D314D"/>
    <w:rsid w:val="000D3248"/>
    <w:rsid w:val="000D339F"/>
    <w:rsid w:val="000D3870"/>
    <w:rsid w:val="000D39B8"/>
    <w:rsid w:val="000D3A6F"/>
    <w:rsid w:val="000D3BDA"/>
    <w:rsid w:val="000D3F53"/>
    <w:rsid w:val="000D422B"/>
    <w:rsid w:val="000D4B79"/>
    <w:rsid w:val="000D543B"/>
    <w:rsid w:val="000D58FF"/>
    <w:rsid w:val="000D5BB5"/>
    <w:rsid w:val="000D5CAC"/>
    <w:rsid w:val="000D5D48"/>
    <w:rsid w:val="000D5F60"/>
    <w:rsid w:val="000D5FF2"/>
    <w:rsid w:val="000D6373"/>
    <w:rsid w:val="000D6F5A"/>
    <w:rsid w:val="000D7447"/>
    <w:rsid w:val="000D7843"/>
    <w:rsid w:val="000D7957"/>
    <w:rsid w:val="000D7FEF"/>
    <w:rsid w:val="000E01A5"/>
    <w:rsid w:val="000E0C89"/>
    <w:rsid w:val="000E0EED"/>
    <w:rsid w:val="000E1449"/>
    <w:rsid w:val="000E1A8A"/>
    <w:rsid w:val="000E2239"/>
    <w:rsid w:val="000E245F"/>
    <w:rsid w:val="000E2840"/>
    <w:rsid w:val="000E2886"/>
    <w:rsid w:val="000E28DC"/>
    <w:rsid w:val="000E2D37"/>
    <w:rsid w:val="000E2ED6"/>
    <w:rsid w:val="000E2F84"/>
    <w:rsid w:val="000E3711"/>
    <w:rsid w:val="000E37FD"/>
    <w:rsid w:val="000E4010"/>
    <w:rsid w:val="000E41B6"/>
    <w:rsid w:val="000E42F3"/>
    <w:rsid w:val="000E43E4"/>
    <w:rsid w:val="000E440E"/>
    <w:rsid w:val="000E4690"/>
    <w:rsid w:val="000E4B58"/>
    <w:rsid w:val="000E4CF7"/>
    <w:rsid w:val="000E4E17"/>
    <w:rsid w:val="000E4FDA"/>
    <w:rsid w:val="000E5793"/>
    <w:rsid w:val="000E5827"/>
    <w:rsid w:val="000E5992"/>
    <w:rsid w:val="000E5C5B"/>
    <w:rsid w:val="000E626C"/>
    <w:rsid w:val="000E6530"/>
    <w:rsid w:val="000E6835"/>
    <w:rsid w:val="000E6FC0"/>
    <w:rsid w:val="000E7328"/>
    <w:rsid w:val="000E740D"/>
    <w:rsid w:val="000F0C70"/>
    <w:rsid w:val="000F0FF6"/>
    <w:rsid w:val="000F10EC"/>
    <w:rsid w:val="000F1603"/>
    <w:rsid w:val="000F18CC"/>
    <w:rsid w:val="000F1CA0"/>
    <w:rsid w:val="000F1FA4"/>
    <w:rsid w:val="000F2605"/>
    <w:rsid w:val="000F2F8F"/>
    <w:rsid w:val="000F34DF"/>
    <w:rsid w:val="000F37A7"/>
    <w:rsid w:val="000F3A5C"/>
    <w:rsid w:val="000F3CA4"/>
    <w:rsid w:val="000F3E0E"/>
    <w:rsid w:val="000F3EDC"/>
    <w:rsid w:val="000F4074"/>
    <w:rsid w:val="000F4531"/>
    <w:rsid w:val="000F4968"/>
    <w:rsid w:val="000F4C42"/>
    <w:rsid w:val="000F4DD2"/>
    <w:rsid w:val="000F5510"/>
    <w:rsid w:val="000F5A1A"/>
    <w:rsid w:val="000F5B11"/>
    <w:rsid w:val="000F5DEE"/>
    <w:rsid w:val="000F5F0A"/>
    <w:rsid w:val="000F5F8D"/>
    <w:rsid w:val="000F5F98"/>
    <w:rsid w:val="000F6383"/>
    <w:rsid w:val="000F6869"/>
    <w:rsid w:val="000F6C46"/>
    <w:rsid w:val="000F6E6C"/>
    <w:rsid w:val="000F7026"/>
    <w:rsid w:val="000F7104"/>
    <w:rsid w:val="001010CB"/>
    <w:rsid w:val="00101AAB"/>
    <w:rsid w:val="00101EA4"/>
    <w:rsid w:val="00101F8D"/>
    <w:rsid w:val="00102003"/>
    <w:rsid w:val="00102084"/>
    <w:rsid w:val="00103062"/>
    <w:rsid w:val="00103232"/>
    <w:rsid w:val="00103612"/>
    <w:rsid w:val="00103CE9"/>
    <w:rsid w:val="0010459D"/>
    <w:rsid w:val="001049EC"/>
    <w:rsid w:val="00104D1E"/>
    <w:rsid w:val="001050D5"/>
    <w:rsid w:val="00105362"/>
    <w:rsid w:val="00105371"/>
    <w:rsid w:val="00105714"/>
    <w:rsid w:val="00105E70"/>
    <w:rsid w:val="00105F37"/>
    <w:rsid w:val="00106461"/>
    <w:rsid w:val="00106A74"/>
    <w:rsid w:val="00106DAA"/>
    <w:rsid w:val="00107129"/>
    <w:rsid w:val="00107217"/>
    <w:rsid w:val="00107304"/>
    <w:rsid w:val="00107681"/>
    <w:rsid w:val="001076CB"/>
    <w:rsid w:val="0011067A"/>
    <w:rsid w:val="001108A8"/>
    <w:rsid w:val="00110BED"/>
    <w:rsid w:val="00110F85"/>
    <w:rsid w:val="001118B2"/>
    <w:rsid w:val="00111C62"/>
    <w:rsid w:val="00111CFC"/>
    <w:rsid w:val="00112709"/>
    <w:rsid w:val="001127F0"/>
    <w:rsid w:val="00112CF2"/>
    <w:rsid w:val="00112DFF"/>
    <w:rsid w:val="00112EC5"/>
    <w:rsid w:val="001132E3"/>
    <w:rsid w:val="001134AC"/>
    <w:rsid w:val="001135CC"/>
    <w:rsid w:val="0011411E"/>
    <w:rsid w:val="00114575"/>
    <w:rsid w:val="00114CA3"/>
    <w:rsid w:val="0011548E"/>
    <w:rsid w:val="00115A59"/>
    <w:rsid w:val="00115DD8"/>
    <w:rsid w:val="00116612"/>
    <w:rsid w:val="0011668B"/>
    <w:rsid w:val="001168EE"/>
    <w:rsid w:val="00116C6F"/>
    <w:rsid w:val="00116D14"/>
    <w:rsid w:val="00117098"/>
    <w:rsid w:val="0011715E"/>
    <w:rsid w:val="00117586"/>
    <w:rsid w:val="00117971"/>
    <w:rsid w:val="00117B75"/>
    <w:rsid w:val="00117DF1"/>
    <w:rsid w:val="00120195"/>
    <w:rsid w:val="001202D1"/>
    <w:rsid w:val="00120421"/>
    <w:rsid w:val="00120A6D"/>
    <w:rsid w:val="00120CF8"/>
    <w:rsid w:val="00120FC1"/>
    <w:rsid w:val="001213B2"/>
    <w:rsid w:val="001221F9"/>
    <w:rsid w:val="00122C35"/>
    <w:rsid w:val="00122E05"/>
    <w:rsid w:val="00123061"/>
    <w:rsid w:val="00123134"/>
    <w:rsid w:val="00123905"/>
    <w:rsid w:val="00124524"/>
    <w:rsid w:val="001250B6"/>
    <w:rsid w:val="001251A0"/>
    <w:rsid w:val="0012526A"/>
    <w:rsid w:val="0012564B"/>
    <w:rsid w:val="0012585C"/>
    <w:rsid w:val="00125865"/>
    <w:rsid w:val="00125BA8"/>
    <w:rsid w:val="00125E30"/>
    <w:rsid w:val="00125EAD"/>
    <w:rsid w:val="00125F2A"/>
    <w:rsid w:val="00126099"/>
    <w:rsid w:val="00126338"/>
    <w:rsid w:val="001264C3"/>
    <w:rsid w:val="001266DE"/>
    <w:rsid w:val="00126866"/>
    <w:rsid w:val="00126B91"/>
    <w:rsid w:val="00126FDB"/>
    <w:rsid w:val="001270EE"/>
    <w:rsid w:val="00127450"/>
    <w:rsid w:val="00127508"/>
    <w:rsid w:val="00127604"/>
    <w:rsid w:val="00127F6A"/>
    <w:rsid w:val="001310A7"/>
    <w:rsid w:val="001312A2"/>
    <w:rsid w:val="0013131C"/>
    <w:rsid w:val="001316C9"/>
    <w:rsid w:val="001324EA"/>
    <w:rsid w:val="00132668"/>
    <w:rsid w:val="00133136"/>
    <w:rsid w:val="00133398"/>
    <w:rsid w:val="00133721"/>
    <w:rsid w:val="00133AB4"/>
    <w:rsid w:val="00134012"/>
    <w:rsid w:val="001344A8"/>
    <w:rsid w:val="001346D4"/>
    <w:rsid w:val="0013495C"/>
    <w:rsid w:val="00134A0E"/>
    <w:rsid w:val="0013520A"/>
    <w:rsid w:val="001352C5"/>
    <w:rsid w:val="001360C6"/>
    <w:rsid w:val="00136CC2"/>
    <w:rsid w:val="001370DE"/>
    <w:rsid w:val="0013714B"/>
    <w:rsid w:val="001372F4"/>
    <w:rsid w:val="0013744F"/>
    <w:rsid w:val="001377E4"/>
    <w:rsid w:val="0013793B"/>
    <w:rsid w:val="00137ED4"/>
    <w:rsid w:val="00137F71"/>
    <w:rsid w:val="00137FF3"/>
    <w:rsid w:val="0014025D"/>
    <w:rsid w:val="00140381"/>
    <w:rsid w:val="00140A5D"/>
    <w:rsid w:val="00140D40"/>
    <w:rsid w:val="001412D5"/>
    <w:rsid w:val="0014197D"/>
    <w:rsid w:val="00141FE5"/>
    <w:rsid w:val="00142555"/>
    <w:rsid w:val="001427F9"/>
    <w:rsid w:val="00142B94"/>
    <w:rsid w:val="00142D4D"/>
    <w:rsid w:val="00142DB7"/>
    <w:rsid w:val="00142DBA"/>
    <w:rsid w:val="001435ED"/>
    <w:rsid w:val="00143FFE"/>
    <w:rsid w:val="00144000"/>
    <w:rsid w:val="001443AB"/>
    <w:rsid w:val="0014463A"/>
    <w:rsid w:val="0014472B"/>
    <w:rsid w:val="00144BF3"/>
    <w:rsid w:val="00145979"/>
    <w:rsid w:val="00145A2E"/>
    <w:rsid w:val="00145A96"/>
    <w:rsid w:val="00146064"/>
    <w:rsid w:val="001460E6"/>
    <w:rsid w:val="00146131"/>
    <w:rsid w:val="001461C1"/>
    <w:rsid w:val="00146308"/>
    <w:rsid w:val="001466BE"/>
    <w:rsid w:val="001472D5"/>
    <w:rsid w:val="001474B2"/>
    <w:rsid w:val="00147578"/>
    <w:rsid w:val="0014790E"/>
    <w:rsid w:val="00147968"/>
    <w:rsid w:val="00147FD8"/>
    <w:rsid w:val="0015021D"/>
    <w:rsid w:val="001504EB"/>
    <w:rsid w:val="001507D2"/>
    <w:rsid w:val="001508DA"/>
    <w:rsid w:val="00151DF7"/>
    <w:rsid w:val="00152236"/>
    <w:rsid w:val="0015224A"/>
    <w:rsid w:val="00152811"/>
    <w:rsid w:val="00152E73"/>
    <w:rsid w:val="00152EEE"/>
    <w:rsid w:val="00153249"/>
    <w:rsid w:val="00153301"/>
    <w:rsid w:val="00153326"/>
    <w:rsid w:val="00153484"/>
    <w:rsid w:val="0015391F"/>
    <w:rsid w:val="00153CD3"/>
    <w:rsid w:val="00153FEA"/>
    <w:rsid w:val="0015520D"/>
    <w:rsid w:val="00156627"/>
    <w:rsid w:val="00156708"/>
    <w:rsid w:val="001568CE"/>
    <w:rsid w:val="00156A5B"/>
    <w:rsid w:val="00156AA4"/>
    <w:rsid w:val="00156BB1"/>
    <w:rsid w:val="00156E11"/>
    <w:rsid w:val="00156F5D"/>
    <w:rsid w:val="00157B05"/>
    <w:rsid w:val="00157B08"/>
    <w:rsid w:val="00157BD9"/>
    <w:rsid w:val="00157E3F"/>
    <w:rsid w:val="00160172"/>
    <w:rsid w:val="001604AF"/>
    <w:rsid w:val="00160543"/>
    <w:rsid w:val="001606D3"/>
    <w:rsid w:val="0016073A"/>
    <w:rsid w:val="00160CB4"/>
    <w:rsid w:val="001610C5"/>
    <w:rsid w:val="0016137E"/>
    <w:rsid w:val="001617D1"/>
    <w:rsid w:val="00161C20"/>
    <w:rsid w:val="0016279F"/>
    <w:rsid w:val="001628D1"/>
    <w:rsid w:val="00162F33"/>
    <w:rsid w:val="0016316B"/>
    <w:rsid w:val="001633A7"/>
    <w:rsid w:val="00163839"/>
    <w:rsid w:val="00163DFB"/>
    <w:rsid w:val="00163F3B"/>
    <w:rsid w:val="00163F47"/>
    <w:rsid w:val="00163F77"/>
    <w:rsid w:val="001642E1"/>
    <w:rsid w:val="0016435F"/>
    <w:rsid w:val="00164E6E"/>
    <w:rsid w:val="00164EB7"/>
    <w:rsid w:val="00165384"/>
    <w:rsid w:val="00165479"/>
    <w:rsid w:val="001658A3"/>
    <w:rsid w:val="001659DA"/>
    <w:rsid w:val="00166379"/>
    <w:rsid w:val="00166430"/>
    <w:rsid w:val="001667E4"/>
    <w:rsid w:val="0016699F"/>
    <w:rsid w:val="00166BE2"/>
    <w:rsid w:val="001675F9"/>
    <w:rsid w:val="00167C3F"/>
    <w:rsid w:val="00167F94"/>
    <w:rsid w:val="001703C8"/>
    <w:rsid w:val="001707B5"/>
    <w:rsid w:val="001708DA"/>
    <w:rsid w:val="00170A8B"/>
    <w:rsid w:val="00170F7C"/>
    <w:rsid w:val="00171108"/>
    <w:rsid w:val="001712B7"/>
    <w:rsid w:val="0017142D"/>
    <w:rsid w:val="0017205E"/>
    <w:rsid w:val="00172502"/>
    <w:rsid w:val="00172614"/>
    <w:rsid w:val="0017274D"/>
    <w:rsid w:val="0017298D"/>
    <w:rsid w:val="001729B4"/>
    <w:rsid w:val="00172BD5"/>
    <w:rsid w:val="00172D0F"/>
    <w:rsid w:val="00173FDA"/>
    <w:rsid w:val="001742BD"/>
    <w:rsid w:val="00174EFD"/>
    <w:rsid w:val="00175A07"/>
    <w:rsid w:val="0017612D"/>
    <w:rsid w:val="001762B6"/>
    <w:rsid w:val="0017660C"/>
    <w:rsid w:val="00176ACB"/>
    <w:rsid w:val="00176B86"/>
    <w:rsid w:val="00176FD2"/>
    <w:rsid w:val="001772D6"/>
    <w:rsid w:val="0017750A"/>
    <w:rsid w:val="00177B72"/>
    <w:rsid w:val="00177B80"/>
    <w:rsid w:val="0018004E"/>
    <w:rsid w:val="00180390"/>
    <w:rsid w:val="00180435"/>
    <w:rsid w:val="00180451"/>
    <w:rsid w:val="0018110F"/>
    <w:rsid w:val="00181207"/>
    <w:rsid w:val="00181AD2"/>
    <w:rsid w:val="00181E9F"/>
    <w:rsid w:val="0018243E"/>
    <w:rsid w:val="001828DD"/>
    <w:rsid w:val="00182BD3"/>
    <w:rsid w:val="00182F38"/>
    <w:rsid w:val="00183335"/>
    <w:rsid w:val="0018355C"/>
    <w:rsid w:val="001841D5"/>
    <w:rsid w:val="00184C6D"/>
    <w:rsid w:val="00185CC8"/>
    <w:rsid w:val="001861EE"/>
    <w:rsid w:val="00186433"/>
    <w:rsid w:val="00186D26"/>
    <w:rsid w:val="001874C4"/>
    <w:rsid w:val="00187978"/>
    <w:rsid w:val="001879EA"/>
    <w:rsid w:val="0019050B"/>
    <w:rsid w:val="00190B0F"/>
    <w:rsid w:val="00190D75"/>
    <w:rsid w:val="00191116"/>
    <w:rsid w:val="001912E3"/>
    <w:rsid w:val="001918BB"/>
    <w:rsid w:val="00191B63"/>
    <w:rsid w:val="001920A8"/>
    <w:rsid w:val="00192296"/>
    <w:rsid w:val="00192385"/>
    <w:rsid w:val="001925F1"/>
    <w:rsid w:val="001926B9"/>
    <w:rsid w:val="00192B54"/>
    <w:rsid w:val="00192DCE"/>
    <w:rsid w:val="00192FE2"/>
    <w:rsid w:val="00193959"/>
    <w:rsid w:val="00193D5C"/>
    <w:rsid w:val="00193E66"/>
    <w:rsid w:val="0019417C"/>
    <w:rsid w:val="001953C8"/>
    <w:rsid w:val="00195B05"/>
    <w:rsid w:val="00195BA7"/>
    <w:rsid w:val="00195D8F"/>
    <w:rsid w:val="00195E40"/>
    <w:rsid w:val="00196219"/>
    <w:rsid w:val="0019643F"/>
    <w:rsid w:val="001964A8"/>
    <w:rsid w:val="001964DE"/>
    <w:rsid w:val="001964E8"/>
    <w:rsid w:val="001968C0"/>
    <w:rsid w:val="001973D0"/>
    <w:rsid w:val="001974CA"/>
    <w:rsid w:val="0019755E"/>
    <w:rsid w:val="00197ABE"/>
    <w:rsid w:val="00197BDC"/>
    <w:rsid w:val="00197D8D"/>
    <w:rsid w:val="00197E3E"/>
    <w:rsid w:val="001A043B"/>
    <w:rsid w:val="001A086D"/>
    <w:rsid w:val="001A08BB"/>
    <w:rsid w:val="001A0C20"/>
    <w:rsid w:val="001A1803"/>
    <w:rsid w:val="001A1C68"/>
    <w:rsid w:val="001A1DEB"/>
    <w:rsid w:val="001A21B5"/>
    <w:rsid w:val="001A2530"/>
    <w:rsid w:val="001A3494"/>
    <w:rsid w:val="001A3577"/>
    <w:rsid w:val="001A38B7"/>
    <w:rsid w:val="001A3949"/>
    <w:rsid w:val="001A3CA8"/>
    <w:rsid w:val="001A4119"/>
    <w:rsid w:val="001A4379"/>
    <w:rsid w:val="001A4A01"/>
    <w:rsid w:val="001A4AC7"/>
    <w:rsid w:val="001A522C"/>
    <w:rsid w:val="001A55F5"/>
    <w:rsid w:val="001A5803"/>
    <w:rsid w:val="001A590C"/>
    <w:rsid w:val="001A60F5"/>
    <w:rsid w:val="001A698A"/>
    <w:rsid w:val="001A6A7D"/>
    <w:rsid w:val="001A6C16"/>
    <w:rsid w:val="001A6C6A"/>
    <w:rsid w:val="001A718D"/>
    <w:rsid w:val="001A72BB"/>
    <w:rsid w:val="001A740A"/>
    <w:rsid w:val="001A762E"/>
    <w:rsid w:val="001A7832"/>
    <w:rsid w:val="001A7B81"/>
    <w:rsid w:val="001A7DE2"/>
    <w:rsid w:val="001A7F1F"/>
    <w:rsid w:val="001B04A5"/>
    <w:rsid w:val="001B0B62"/>
    <w:rsid w:val="001B0D93"/>
    <w:rsid w:val="001B0EFA"/>
    <w:rsid w:val="001B17E9"/>
    <w:rsid w:val="001B1CC2"/>
    <w:rsid w:val="001B1FF9"/>
    <w:rsid w:val="001B2531"/>
    <w:rsid w:val="001B2674"/>
    <w:rsid w:val="001B297A"/>
    <w:rsid w:val="001B2D49"/>
    <w:rsid w:val="001B2ECA"/>
    <w:rsid w:val="001B33AB"/>
    <w:rsid w:val="001B34D1"/>
    <w:rsid w:val="001B37C3"/>
    <w:rsid w:val="001B3D37"/>
    <w:rsid w:val="001B3FED"/>
    <w:rsid w:val="001B44C4"/>
    <w:rsid w:val="001B54DC"/>
    <w:rsid w:val="001B5524"/>
    <w:rsid w:val="001B584E"/>
    <w:rsid w:val="001B62D7"/>
    <w:rsid w:val="001B6AB6"/>
    <w:rsid w:val="001B6ECE"/>
    <w:rsid w:val="001B704F"/>
    <w:rsid w:val="001B72EB"/>
    <w:rsid w:val="001B77E9"/>
    <w:rsid w:val="001C0518"/>
    <w:rsid w:val="001C09AA"/>
    <w:rsid w:val="001C0A14"/>
    <w:rsid w:val="001C1865"/>
    <w:rsid w:val="001C186B"/>
    <w:rsid w:val="001C1A63"/>
    <w:rsid w:val="001C22C6"/>
    <w:rsid w:val="001C2691"/>
    <w:rsid w:val="001C2E9F"/>
    <w:rsid w:val="001C3090"/>
    <w:rsid w:val="001C331F"/>
    <w:rsid w:val="001C34F0"/>
    <w:rsid w:val="001C3AE7"/>
    <w:rsid w:val="001C42A6"/>
    <w:rsid w:val="001C4507"/>
    <w:rsid w:val="001C46CD"/>
    <w:rsid w:val="001C4A16"/>
    <w:rsid w:val="001C5084"/>
    <w:rsid w:val="001C5D80"/>
    <w:rsid w:val="001C62B3"/>
    <w:rsid w:val="001C6587"/>
    <w:rsid w:val="001C689A"/>
    <w:rsid w:val="001C6C80"/>
    <w:rsid w:val="001C6D35"/>
    <w:rsid w:val="001C6ED2"/>
    <w:rsid w:val="001C6F3F"/>
    <w:rsid w:val="001C7120"/>
    <w:rsid w:val="001C7359"/>
    <w:rsid w:val="001C7628"/>
    <w:rsid w:val="001D0718"/>
    <w:rsid w:val="001D09B1"/>
    <w:rsid w:val="001D0AAC"/>
    <w:rsid w:val="001D0DBD"/>
    <w:rsid w:val="001D1028"/>
    <w:rsid w:val="001D102E"/>
    <w:rsid w:val="001D15EA"/>
    <w:rsid w:val="001D1996"/>
    <w:rsid w:val="001D19B3"/>
    <w:rsid w:val="001D19D2"/>
    <w:rsid w:val="001D1AA5"/>
    <w:rsid w:val="001D1D17"/>
    <w:rsid w:val="001D1F6F"/>
    <w:rsid w:val="001D20DB"/>
    <w:rsid w:val="001D2ED3"/>
    <w:rsid w:val="001D2F7D"/>
    <w:rsid w:val="001D315E"/>
    <w:rsid w:val="001D31F0"/>
    <w:rsid w:val="001D348C"/>
    <w:rsid w:val="001D35E0"/>
    <w:rsid w:val="001D37A2"/>
    <w:rsid w:val="001D38BE"/>
    <w:rsid w:val="001D3B38"/>
    <w:rsid w:val="001D3D54"/>
    <w:rsid w:val="001D4111"/>
    <w:rsid w:val="001D4964"/>
    <w:rsid w:val="001D4F85"/>
    <w:rsid w:val="001D57C8"/>
    <w:rsid w:val="001D5966"/>
    <w:rsid w:val="001D5D26"/>
    <w:rsid w:val="001D5D51"/>
    <w:rsid w:val="001D5D8D"/>
    <w:rsid w:val="001D5F42"/>
    <w:rsid w:val="001D611E"/>
    <w:rsid w:val="001D62DD"/>
    <w:rsid w:val="001D63E9"/>
    <w:rsid w:val="001D706C"/>
    <w:rsid w:val="001D7344"/>
    <w:rsid w:val="001D7497"/>
    <w:rsid w:val="001D7BA7"/>
    <w:rsid w:val="001E01D3"/>
    <w:rsid w:val="001E0665"/>
    <w:rsid w:val="001E08D5"/>
    <w:rsid w:val="001E0F22"/>
    <w:rsid w:val="001E140A"/>
    <w:rsid w:val="001E1593"/>
    <w:rsid w:val="001E178F"/>
    <w:rsid w:val="001E192F"/>
    <w:rsid w:val="001E1BD2"/>
    <w:rsid w:val="001E1D95"/>
    <w:rsid w:val="001E2549"/>
    <w:rsid w:val="001E2A88"/>
    <w:rsid w:val="001E2BA6"/>
    <w:rsid w:val="001E2C9A"/>
    <w:rsid w:val="001E2F72"/>
    <w:rsid w:val="001E31E1"/>
    <w:rsid w:val="001E3C4B"/>
    <w:rsid w:val="001E3FF7"/>
    <w:rsid w:val="001E4421"/>
    <w:rsid w:val="001E47C4"/>
    <w:rsid w:val="001E502C"/>
    <w:rsid w:val="001E52AE"/>
    <w:rsid w:val="001E5DB3"/>
    <w:rsid w:val="001E5F18"/>
    <w:rsid w:val="001E64DB"/>
    <w:rsid w:val="001E659E"/>
    <w:rsid w:val="001E66D0"/>
    <w:rsid w:val="001E67C0"/>
    <w:rsid w:val="001E6AF7"/>
    <w:rsid w:val="001E731D"/>
    <w:rsid w:val="001E74C5"/>
    <w:rsid w:val="001E7AF8"/>
    <w:rsid w:val="001E7DAA"/>
    <w:rsid w:val="001E7F0B"/>
    <w:rsid w:val="001F12C3"/>
    <w:rsid w:val="001F1AA7"/>
    <w:rsid w:val="001F278C"/>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46A"/>
    <w:rsid w:val="001F755D"/>
    <w:rsid w:val="001F7769"/>
    <w:rsid w:val="001F7778"/>
    <w:rsid w:val="001F7CE1"/>
    <w:rsid w:val="0020013E"/>
    <w:rsid w:val="00200ACD"/>
    <w:rsid w:val="00200CC5"/>
    <w:rsid w:val="00200FD5"/>
    <w:rsid w:val="00201205"/>
    <w:rsid w:val="0020122F"/>
    <w:rsid w:val="00201433"/>
    <w:rsid w:val="002015E8"/>
    <w:rsid w:val="00202318"/>
    <w:rsid w:val="00202990"/>
    <w:rsid w:val="00202A7C"/>
    <w:rsid w:val="00202C8A"/>
    <w:rsid w:val="00202E33"/>
    <w:rsid w:val="00203B27"/>
    <w:rsid w:val="00203B6B"/>
    <w:rsid w:val="00203E1B"/>
    <w:rsid w:val="00203F1A"/>
    <w:rsid w:val="00204402"/>
    <w:rsid w:val="00204EE8"/>
    <w:rsid w:val="0020535F"/>
    <w:rsid w:val="0020586B"/>
    <w:rsid w:val="00205B6B"/>
    <w:rsid w:val="00205EEF"/>
    <w:rsid w:val="00205FE0"/>
    <w:rsid w:val="00206000"/>
    <w:rsid w:val="00206902"/>
    <w:rsid w:val="00206944"/>
    <w:rsid w:val="00206BCB"/>
    <w:rsid w:val="00206F20"/>
    <w:rsid w:val="00207177"/>
    <w:rsid w:val="002072C6"/>
    <w:rsid w:val="002077EC"/>
    <w:rsid w:val="00210DDD"/>
    <w:rsid w:val="00210FCD"/>
    <w:rsid w:val="00211C5C"/>
    <w:rsid w:val="00211CBE"/>
    <w:rsid w:val="0021212F"/>
    <w:rsid w:val="00212192"/>
    <w:rsid w:val="0021231A"/>
    <w:rsid w:val="00212327"/>
    <w:rsid w:val="00212AD2"/>
    <w:rsid w:val="00212DE9"/>
    <w:rsid w:val="00212E79"/>
    <w:rsid w:val="00212FA0"/>
    <w:rsid w:val="00213463"/>
    <w:rsid w:val="002135BB"/>
    <w:rsid w:val="00213AD4"/>
    <w:rsid w:val="00213D37"/>
    <w:rsid w:val="00214501"/>
    <w:rsid w:val="0021464D"/>
    <w:rsid w:val="002148AB"/>
    <w:rsid w:val="002148D2"/>
    <w:rsid w:val="002156C5"/>
    <w:rsid w:val="00215847"/>
    <w:rsid w:val="00215B75"/>
    <w:rsid w:val="00215C72"/>
    <w:rsid w:val="00215FA7"/>
    <w:rsid w:val="00216DC0"/>
    <w:rsid w:val="00217488"/>
    <w:rsid w:val="00217707"/>
    <w:rsid w:val="00217869"/>
    <w:rsid w:val="002178C3"/>
    <w:rsid w:val="00217FF8"/>
    <w:rsid w:val="0022013D"/>
    <w:rsid w:val="00220141"/>
    <w:rsid w:val="0022045A"/>
    <w:rsid w:val="00220837"/>
    <w:rsid w:val="0022094A"/>
    <w:rsid w:val="002209C8"/>
    <w:rsid w:val="00220CB8"/>
    <w:rsid w:val="00220F90"/>
    <w:rsid w:val="002210B2"/>
    <w:rsid w:val="002213D6"/>
    <w:rsid w:val="002213F5"/>
    <w:rsid w:val="002214A8"/>
    <w:rsid w:val="0022159E"/>
    <w:rsid w:val="00221835"/>
    <w:rsid w:val="00222EA0"/>
    <w:rsid w:val="00222ED3"/>
    <w:rsid w:val="0022399E"/>
    <w:rsid w:val="00224085"/>
    <w:rsid w:val="00224161"/>
    <w:rsid w:val="00224289"/>
    <w:rsid w:val="00224387"/>
    <w:rsid w:val="00224521"/>
    <w:rsid w:val="002248A6"/>
    <w:rsid w:val="00224FF4"/>
    <w:rsid w:val="00225A12"/>
    <w:rsid w:val="002260B1"/>
    <w:rsid w:val="00226319"/>
    <w:rsid w:val="0022677D"/>
    <w:rsid w:val="00226C86"/>
    <w:rsid w:val="002274BD"/>
    <w:rsid w:val="0022761E"/>
    <w:rsid w:val="0022778A"/>
    <w:rsid w:val="00227794"/>
    <w:rsid w:val="00227B62"/>
    <w:rsid w:val="0023061E"/>
    <w:rsid w:val="00230E5E"/>
    <w:rsid w:val="00231BB5"/>
    <w:rsid w:val="00231DD9"/>
    <w:rsid w:val="00231DE5"/>
    <w:rsid w:val="00232375"/>
    <w:rsid w:val="002324BB"/>
    <w:rsid w:val="0023321E"/>
    <w:rsid w:val="00233427"/>
    <w:rsid w:val="0023348E"/>
    <w:rsid w:val="002335D9"/>
    <w:rsid w:val="00234346"/>
    <w:rsid w:val="00234347"/>
    <w:rsid w:val="002348B1"/>
    <w:rsid w:val="00234991"/>
    <w:rsid w:val="00234E49"/>
    <w:rsid w:val="00235158"/>
    <w:rsid w:val="00235549"/>
    <w:rsid w:val="00235D4C"/>
    <w:rsid w:val="002362EF"/>
    <w:rsid w:val="002364BC"/>
    <w:rsid w:val="0023678A"/>
    <w:rsid w:val="002367D4"/>
    <w:rsid w:val="00236FA1"/>
    <w:rsid w:val="00237024"/>
    <w:rsid w:val="00237F88"/>
    <w:rsid w:val="00241E52"/>
    <w:rsid w:val="00242105"/>
    <w:rsid w:val="002431DF"/>
    <w:rsid w:val="00243884"/>
    <w:rsid w:val="0024390C"/>
    <w:rsid w:val="00243EB0"/>
    <w:rsid w:val="0024449A"/>
    <w:rsid w:val="0024486D"/>
    <w:rsid w:val="00244B37"/>
    <w:rsid w:val="00244B5B"/>
    <w:rsid w:val="00245102"/>
    <w:rsid w:val="002451EE"/>
    <w:rsid w:val="00245D0C"/>
    <w:rsid w:val="002461AD"/>
    <w:rsid w:val="002461B7"/>
    <w:rsid w:val="002467D3"/>
    <w:rsid w:val="0024687F"/>
    <w:rsid w:val="00246F1D"/>
    <w:rsid w:val="0024704A"/>
    <w:rsid w:val="00247462"/>
    <w:rsid w:val="00247482"/>
    <w:rsid w:val="00247815"/>
    <w:rsid w:val="00250121"/>
    <w:rsid w:val="0025021F"/>
    <w:rsid w:val="00250674"/>
    <w:rsid w:val="002507C3"/>
    <w:rsid w:val="00250BA8"/>
    <w:rsid w:val="00250E6F"/>
    <w:rsid w:val="00251626"/>
    <w:rsid w:val="002519B5"/>
    <w:rsid w:val="002519C0"/>
    <w:rsid w:val="00251B6E"/>
    <w:rsid w:val="00251F0B"/>
    <w:rsid w:val="002521FA"/>
    <w:rsid w:val="00252796"/>
    <w:rsid w:val="00252951"/>
    <w:rsid w:val="00252FFF"/>
    <w:rsid w:val="00253074"/>
    <w:rsid w:val="0025307A"/>
    <w:rsid w:val="00253399"/>
    <w:rsid w:val="0025352E"/>
    <w:rsid w:val="00253B3C"/>
    <w:rsid w:val="00254058"/>
    <w:rsid w:val="00254561"/>
    <w:rsid w:val="002547B3"/>
    <w:rsid w:val="002548AB"/>
    <w:rsid w:val="002550CD"/>
    <w:rsid w:val="002555E5"/>
    <w:rsid w:val="0025590D"/>
    <w:rsid w:val="00255B39"/>
    <w:rsid w:val="00255F37"/>
    <w:rsid w:val="00255F54"/>
    <w:rsid w:val="00256784"/>
    <w:rsid w:val="00256828"/>
    <w:rsid w:val="00256E0D"/>
    <w:rsid w:val="0025727F"/>
    <w:rsid w:val="0025737C"/>
    <w:rsid w:val="002573D9"/>
    <w:rsid w:val="002577DC"/>
    <w:rsid w:val="00260213"/>
    <w:rsid w:val="00260AC3"/>
    <w:rsid w:val="00260C52"/>
    <w:rsid w:val="00260CF4"/>
    <w:rsid w:val="00261510"/>
    <w:rsid w:val="00261F41"/>
    <w:rsid w:val="00262A31"/>
    <w:rsid w:val="00262ACE"/>
    <w:rsid w:val="00262D95"/>
    <w:rsid w:val="00263097"/>
    <w:rsid w:val="00263167"/>
    <w:rsid w:val="00263228"/>
    <w:rsid w:val="002637AF"/>
    <w:rsid w:val="00263CEC"/>
    <w:rsid w:val="0026411D"/>
    <w:rsid w:val="00264D22"/>
    <w:rsid w:val="002650EA"/>
    <w:rsid w:val="00265479"/>
    <w:rsid w:val="002654B4"/>
    <w:rsid w:val="00265B2E"/>
    <w:rsid w:val="002660A4"/>
    <w:rsid w:val="00266A4D"/>
    <w:rsid w:val="00266BE7"/>
    <w:rsid w:val="00266E16"/>
    <w:rsid w:val="00266E87"/>
    <w:rsid w:val="00266FB1"/>
    <w:rsid w:val="0026722B"/>
    <w:rsid w:val="00267275"/>
    <w:rsid w:val="00267647"/>
    <w:rsid w:val="0026791B"/>
    <w:rsid w:val="00267C34"/>
    <w:rsid w:val="00267F36"/>
    <w:rsid w:val="00267F47"/>
    <w:rsid w:val="00270FED"/>
    <w:rsid w:val="002719DA"/>
    <w:rsid w:val="00271A72"/>
    <w:rsid w:val="00271C07"/>
    <w:rsid w:val="00271D7B"/>
    <w:rsid w:val="00271DD4"/>
    <w:rsid w:val="00271F01"/>
    <w:rsid w:val="002724B9"/>
    <w:rsid w:val="002725CD"/>
    <w:rsid w:val="00272B4D"/>
    <w:rsid w:val="00272C79"/>
    <w:rsid w:val="00272CD2"/>
    <w:rsid w:val="00273261"/>
    <w:rsid w:val="002733C4"/>
    <w:rsid w:val="00273E6D"/>
    <w:rsid w:val="00274614"/>
    <w:rsid w:val="00274C4B"/>
    <w:rsid w:val="0027508F"/>
    <w:rsid w:val="00275824"/>
    <w:rsid w:val="00275C2D"/>
    <w:rsid w:val="00275EAE"/>
    <w:rsid w:val="00276D93"/>
    <w:rsid w:val="0027715D"/>
    <w:rsid w:val="00277728"/>
    <w:rsid w:val="00277789"/>
    <w:rsid w:val="0027794E"/>
    <w:rsid w:val="00277997"/>
    <w:rsid w:val="00277A18"/>
    <w:rsid w:val="00277B41"/>
    <w:rsid w:val="00277D86"/>
    <w:rsid w:val="00277DBC"/>
    <w:rsid w:val="00277E97"/>
    <w:rsid w:val="00280878"/>
    <w:rsid w:val="002808DA"/>
    <w:rsid w:val="00280C77"/>
    <w:rsid w:val="00281097"/>
    <w:rsid w:val="00281372"/>
    <w:rsid w:val="002821C1"/>
    <w:rsid w:val="00282317"/>
    <w:rsid w:val="0028282A"/>
    <w:rsid w:val="002828E1"/>
    <w:rsid w:val="00282A68"/>
    <w:rsid w:val="00282AAA"/>
    <w:rsid w:val="00282D63"/>
    <w:rsid w:val="00282E7B"/>
    <w:rsid w:val="00282E9E"/>
    <w:rsid w:val="00283033"/>
    <w:rsid w:val="0028305D"/>
    <w:rsid w:val="00283298"/>
    <w:rsid w:val="0028367C"/>
    <w:rsid w:val="00283DCA"/>
    <w:rsid w:val="00284238"/>
    <w:rsid w:val="0028424F"/>
    <w:rsid w:val="00284421"/>
    <w:rsid w:val="00284779"/>
    <w:rsid w:val="00285015"/>
    <w:rsid w:val="00285064"/>
    <w:rsid w:val="00285662"/>
    <w:rsid w:val="0028584F"/>
    <w:rsid w:val="00285A92"/>
    <w:rsid w:val="00285D69"/>
    <w:rsid w:val="00285DCF"/>
    <w:rsid w:val="00285E10"/>
    <w:rsid w:val="00285FA4"/>
    <w:rsid w:val="002862BE"/>
    <w:rsid w:val="0028656E"/>
    <w:rsid w:val="00286724"/>
    <w:rsid w:val="00286772"/>
    <w:rsid w:val="00286BEC"/>
    <w:rsid w:val="002876C2"/>
    <w:rsid w:val="00287A22"/>
    <w:rsid w:val="00287C64"/>
    <w:rsid w:val="00287FF2"/>
    <w:rsid w:val="002902F5"/>
    <w:rsid w:val="002904B0"/>
    <w:rsid w:val="00290631"/>
    <w:rsid w:val="0029073F"/>
    <w:rsid w:val="00290969"/>
    <w:rsid w:val="00290A2B"/>
    <w:rsid w:val="00291127"/>
    <w:rsid w:val="002911F6"/>
    <w:rsid w:val="00291408"/>
    <w:rsid w:val="0029147C"/>
    <w:rsid w:val="00291544"/>
    <w:rsid w:val="002919E8"/>
    <w:rsid w:val="002928A6"/>
    <w:rsid w:val="00292B44"/>
    <w:rsid w:val="00292B89"/>
    <w:rsid w:val="00293204"/>
    <w:rsid w:val="00293215"/>
    <w:rsid w:val="00293756"/>
    <w:rsid w:val="00293C94"/>
    <w:rsid w:val="00293DB7"/>
    <w:rsid w:val="002943DB"/>
    <w:rsid w:val="002946A2"/>
    <w:rsid w:val="00294938"/>
    <w:rsid w:val="002955B8"/>
    <w:rsid w:val="00295A9B"/>
    <w:rsid w:val="00295AF9"/>
    <w:rsid w:val="00295D20"/>
    <w:rsid w:val="0029674B"/>
    <w:rsid w:val="00296A2C"/>
    <w:rsid w:val="00296F57"/>
    <w:rsid w:val="00297C3E"/>
    <w:rsid w:val="00297C7B"/>
    <w:rsid w:val="00297D74"/>
    <w:rsid w:val="002A0178"/>
    <w:rsid w:val="002A05F7"/>
    <w:rsid w:val="002A0765"/>
    <w:rsid w:val="002A07B7"/>
    <w:rsid w:val="002A09D0"/>
    <w:rsid w:val="002A11F6"/>
    <w:rsid w:val="002A1FD6"/>
    <w:rsid w:val="002A2250"/>
    <w:rsid w:val="002A2263"/>
    <w:rsid w:val="002A249C"/>
    <w:rsid w:val="002A3273"/>
    <w:rsid w:val="002A3EEC"/>
    <w:rsid w:val="002A42CD"/>
    <w:rsid w:val="002A4867"/>
    <w:rsid w:val="002A52C6"/>
    <w:rsid w:val="002A587C"/>
    <w:rsid w:val="002A597D"/>
    <w:rsid w:val="002A5CB8"/>
    <w:rsid w:val="002A5F0E"/>
    <w:rsid w:val="002A6033"/>
    <w:rsid w:val="002A65E4"/>
    <w:rsid w:val="002A6BB4"/>
    <w:rsid w:val="002A6C4C"/>
    <w:rsid w:val="002A701C"/>
    <w:rsid w:val="002A7137"/>
    <w:rsid w:val="002A77A0"/>
    <w:rsid w:val="002A7BD6"/>
    <w:rsid w:val="002A7DD9"/>
    <w:rsid w:val="002A7E00"/>
    <w:rsid w:val="002B099A"/>
    <w:rsid w:val="002B0CC2"/>
    <w:rsid w:val="002B0E1E"/>
    <w:rsid w:val="002B18DA"/>
    <w:rsid w:val="002B1CF5"/>
    <w:rsid w:val="002B1F2B"/>
    <w:rsid w:val="002B2176"/>
    <w:rsid w:val="002B230F"/>
    <w:rsid w:val="002B2328"/>
    <w:rsid w:val="002B25F5"/>
    <w:rsid w:val="002B263A"/>
    <w:rsid w:val="002B29F2"/>
    <w:rsid w:val="002B2D8C"/>
    <w:rsid w:val="002B3056"/>
    <w:rsid w:val="002B34B0"/>
    <w:rsid w:val="002B3AAF"/>
    <w:rsid w:val="002B3E9D"/>
    <w:rsid w:val="002B3F02"/>
    <w:rsid w:val="002B4381"/>
    <w:rsid w:val="002B47DD"/>
    <w:rsid w:val="002B481E"/>
    <w:rsid w:val="002B4D6C"/>
    <w:rsid w:val="002B53B5"/>
    <w:rsid w:val="002B5529"/>
    <w:rsid w:val="002B56B6"/>
    <w:rsid w:val="002B57EF"/>
    <w:rsid w:val="002B5967"/>
    <w:rsid w:val="002B6387"/>
    <w:rsid w:val="002B64B4"/>
    <w:rsid w:val="002B7580"/>
    <w:rsid w:val="002B777F"/>
    <w:rsid w:val="002B79D3"/>
    <w:rsid w:val="002B7A59"/>
    <w:rsid w:val="002C004A"/>
    <w:rsid w:val="002C06F7"/>
    <w:rsid w:val="002C0960"/>
    <w:rsid w:val="002C123C"/>
    <w:rsid w:val="002C1278"/>
    <w:rsid w:val="002C14B6"/>
    <w:rsid w:val="002C1C15"/>
    <w:rsid w:val="002C1CAF"/>
    <w:rsid w:val="002C1E21"/>
    <w:rsid w:val="002C216E"/>
    <w:rsid w:val="002C24E4"/>
    <w:rsid w:val="002C2847"/>
    <w:rsid w:val="002C2A61"/>
    <w:rsid w:val="002C2A75"/>
    <w:rsid w:val="002C2CD3"/>
    <w:rsid w:val="002C2CEC"/>
    <w:rsid w:val="002C2E9F"/>
    <w:rsid w:val="002C3803"/>
    <w:rsid w:val="002C40D1"/>
    <w:rsid w:val="002C4106"/>
    <w:rsid w:val="002C41B0"/>
    <w:rsid w:val="002C4280"/>
    <w:rsid w:val="002C43F3"/>
    <w:rsid w:val="002C464B"/>
    <w:rsid w:val="002C493A"/>
    <w:rsid w:val="002C5137"/>
    <w:rsid w:val="002C53A4"/>
    <w:rsid w:val="002C5453"/>
    <w:rsid w:val="002C59B1"/>
    <w:rsid w:val="002C5A69"/>
    <w:rsid w:val="002C6069"/>
    <w:rsid w:val="002C6198"/>
    <w:rsid w:val="002C6201"/>
    <w:rsid w:val="002C6290"/>
    <w:rsid w:val="002C62C9"/>
    <w:rsid w:val="002C633B"/>
    <w:rsid w:val="002C6356"/>
    <w:rsid w:val="002C6512"/>
    <w:rsid w:val="002C6549"/>
    <w:rsid w:val="002C6F25"/>
    <w:rsid w:val="002C6FEE"/>
    <w:rsid w:val="002C7664"/>
    <w:rsid w:val="002C7896"/>
    <w:rsid w:val="002C7946"/>
    <w:rsid w:val="002C79F3"/>
    <w:rsid w:val="002C7CE1"/>
    <w:rsid w:val="002D03E0"/>
    <w:rsid w:val="002D06DF"/>
    <w:rsid w:val="002D1049"/>
    <w:rsid w:val="002D1461"/>
    <w:rsid w:val="002D1B95"/>
    <w:rsid w:val="002D2310"/>
    <w:rsid w:val="002D26A0"/>
    <w:rsid w:val="002D297F"/>
    <w:rsid w:val="002D29AF"/>
    <w:rsid w:val="002D2DFD"/>
    <w:rsid w:val="002D2FB5"/>
    <w:rsid w:val="002D3254"/>
    <w:rsid w:val="002D36E6"/>
    <w:rsid w:val="002D36FE"/>
    <w:rsid w:val="002D385D"/>
    <w:rsid w:val="002D38C9"/>
    <w:rsid w:val="002D3AFD"/>
    <w:rsid w:val="002D3CED"/>
    <w:rsid w:val="002D41F9"/>
    <w:rsid w:val="002D455E"/>
    <w:rsid w:val="002D498C"/>
    <w:rsid w:val="002D4D32"/>
    <w:rsid w:val="002D5361"/>
    <w:rsid w:val="002D5C8A"/>
    <w:rsid w:val="002D5EB5"/>
    <w:rsid w:val="002D6C55"/>
    <w:rsid w:val="002D74A4"/>
    <w:rsid w:val="002E096E"/>
    <w:rsid w:val="002E1509"/>
    <w:rsid w:val="002E17DA"/>
    <w:rsid w:val="002E1A5C"/>
    <w:rsid w:val="002E2399"/>
    <w:rsid w:val="002E23AF"/>
    <w:rsid w:val="002E2B72"/>
    <w:rsid w:val="002E3560"/>
    <w:rsid w:val="002E39AD"/>
    <w:rsid w:val="002E3A00"/>
    <w:rsid w:val="002E3FB0"/>
    <w:rsid w:val="002E504B"/>
    <w:rsid w:val="002E50E3"/>
    <w:rsid w:val="002E54F9"/>
    <w:rsid w:val="002E5687"/>
    <w:rsid w:val="002E5995"/>
    <w:rsid w:val="002E59A6"/>
    <w:rsid w:val="002E63AB"/>
    <w:rsid w:val="002E6458"/>
    <w:rsid w:val="002E6879"/>
    <w:rsid w:val="002E6956"/>
    <w:rsid w:val="002E69EA"/>
    <w:rsid w:val="002E6C54"/>
    <w:rsid w:val="002E7198"/>
    <w:rsid w:val="002E72A9"/>
    <w:rsid w:val="002E77B9"/>
    <w:rsid w:val="002E7922"/>
    <w:rsid w:val="002E7BC9"/>
    <w:rsid w:val="002E7CA8"/>
    <w:rsid w:val="002E7D23"/>
    <w:rsid w:val="002E7D3C"/>
    <w:rsid w:val="002F00BE"/>
    <w:rsid w:val="002F058C"/>
    <w:rsid w:val="002F08C3"/>
    <w:rsid w:val="002F08DC"/>
    <w:rsid w:val="002F095B"/>
    <w:rsid w:val="002F0C39"/>
    <w:rsid w:val="002F104A"/>
    <w:rsid w:val="002F10FC"/>
    <w:rsid w:val="002F16BA"/>
    <w:rsid w:val="002F1ADC"/>
    <w:rsid w:val="002F1CDF"/>
    <w:rsid w:val="002F1D9C"/>
    <w:rsid w:val="002F1E9D"/>
    <w:rsid w:val="002F30A4"/>
    <w:rsid w:val="002F3A49"/>
    <w:rsid w:val="002F3C4E"/>
    <w:rsid w:val="002F4176"/>
    <w:rsid w:val="002F423A"/>
    <w:rsid w:val="002F4815"/>
    <w:rsid w:val="002F4834"/>
    <w:rsid w:val="002F488B"/>
    <w:rsid w:val="002F4A87"/>
    <w:rsid w:val="002F4CB0"/>
    <w:rsid w:val="002F50A3"/>
    <w:rsid w:val="002F56D9"/>
    <w:rsid w:val="002F5774"/>
    <w:rsid w:val="002F5933"/>
    <w:rsid w:val="002F5B91"/>
    <w:rsid w:val="002F608F"/>
    <w:rsid w:val="002F62C9"/>
    <w:rsid w:val="002F7834"/>
    <w:rsid w:val="002F7870"/>
    <w:rsid w:val="002F79BB"/>
    <w:rsid w:val="002F7BC3"/>
    <w:rsid w:val="002F7CAB"/>
    <w:rsid w:val="002F7EAF"/>
    <w:rsid w:val="00300504"/>
    <w:rsid w:val="003006D1"/>
    <w:rsid w:val="00300858"/>
    <w:rsid w:val="00300B58"/>
    <w:rsid w:val="00300DBC"/>
    <w:rsid w:val="00301B3F"/>
    <w:rsid w:val="0030298A"/>
    <w:rsid w:val="00302EA8"/>
    <w:rsid w:val="00303452"/>
    <w:rsid w:val="003039CF"/>
    <w:rsid w:val="00303E0F"/>
    <w:rsid w:val="00304591"/>
    <w:rsid w:val="00304680"/>
    <w:rsid w:val="00304690"/>
    <w:rsid w:val="003047DD"/>
    <w:rsid w:val="00304B24"/>
    <w:rsid w:val="00304FD5"/>
    <w:rsid w:val="003051A4"/>
    <w:rsid w:val="0030534A"/>
    <w:rsid w:val="00305399"/>
    <w:rsid w:val="0030549E"/>
    <w:rsid w:val="00305672"/>
    <w:rsid w:val="0030577B"/>
    <w:rsid w:val="00305A93"/>
    <w:rsid w:val="00305F5B"/>
    <w:rsid w:val="0030680A"/>
    <w:rsid w:val="00306ACB"/>
    <w:rsid w:val="00306DC8"/>
    <w:rsid w:val="003071E9"/>
    <w:rsid w:val="00307282"/>
    <w:rsid w:val="003075DB"/>
    <w:rsid w:val="003100DD"/>
    <w:rsid w:val="0031036F"/>
    <w:rsid w:val="003107F7"/>
    <w:rsid w:val="00310B16"/>
    <w:rsid w:val="00310E0E"/>
    <w:rsid w:val="00311569"/>
    <w:rsid w:val="003124B2"/>
    <w:rsid w:val="00312678"/>
    <w:rsid w:val="0031293F"/>
    <w:rsid w:val="003131F3"/>
    <w:rsid w:val="003133BC"/>
    <w:rsid w:val="0031376D"/>
    <w:rsid w:val="00313DC1"/>
    <w:rsid w:val="00314E5B"/>
    <w:rsid w:val="00314FD7"/>
    <w:rsid w:val="00315408"/>
    <w:rsid w:val="00315517"/>
    <w:rsid w:val="0031596E"/>
    <w:rsid w:val="00315EC5"/>
    <w:rsid w:val="00315FDD"/>
    <w:rsid w:val="00315FF3"/>
    <w:rsid w:val="00316018"/>
    <w:rsid w:val="0031609E"/>
    <w:rsid w:val="003165B6"/>
    <w:rsid w:val="00316A6A"/>
    <w:rsid w:val="00316AC9"/>
    <w:rsid w:val="0031716D"/>
    <w:rsid w:val="0031747F"/>
    <w:rsid w:val="003174FB"/>
    <w:rsid w:val="00317555"/>
    <w:rsid w:val="00317991"/>
    <w:rsid w:val="00317C5C"/>
    <w:rsid w:val="00317C60"/>
    <w:rsid w:val="003200AC"/>
    <w:rsid w:val="0032032B"/>
    <w:rsid w:val="00320F5E"/>
    <w:rsid w:val="00320F7E"/>
    <w:rsid w:val="0032182B"/>
    <w:rsid w:val="003219D9"/>
    <w:rsid w:val="00321CFC"/>
    <w:rsid w:val="00321F8B"/>
    <w:rsid w:val="003221F2"/>
    <w:rsid w:val="00322278"/>
    <w:rsid w:val="003225C1"/>
    <w:rsid w:val="00322EAD"/>
    <w:rsid w:val="0032387F"/>
    <w:rsid w:val="00323A16"/>
    <w:rsid w:val="00323F22"/>
    <w:rsid w:val="0032423D"/>
    <w:rsid w:val="00324824"/>
    <w:rsid w:val="003249C1"/>
    <w:rsid w:val="003249F7"/>
    <w:rsid w:val="00324DD4"/>
    <w:rsid w:val="00325897"/>
    <w:rsid w:val="00325B35"/>
    <w:rsid w:val="00325F50"/>
    <w:rsid w:val="003262E4"/>
    <w:rsid w:val="00326469"/>
    <w:rsid w:val="003266CF"/>
    <w:rsid w:val="00327018"/>
    <w:rsid w:val="003273BF"/>
    <w:rsid w:val="0032747D"/>
    <w:rsid w:val="003277E4"/>
    <w:rsid w:val="00327EC4"/>
    <w:rsid w:val="00330B04"/>
    <w:rsid w:val="00330FF2"/>
    <w:rsid w:val="00331148"/>
    <w:rsid w:val="00331670"/>
    <w:rsid w:val="00331AE6"/>
    <w:rsid w:val="00331E95"/>
    <w:rsid w:val="0033210E"/>
    <w:rsid w:val="00332583"/>
    <w:rsid w:val="00333362"/>
    <w:rsid w:val="00333407"/>
    <w:rsid w:val="003334AC"/>
    <w:rsid w:val="00333A2C"/>
    <w:rsid w:val="00333BDA"/>
    <w:rsid w:val="0033410C"/>
    <w:rsid w:val="0033423C"/>
    <w:rsid w:val="00334C44"/>
    <w:rsid w:val="00334EE6"/>
    <w:rsid w:val="00335A36"/>
    <w:rsid w:val="00336532"/>
    <w:rsid w:val="003365D6"/>
    <w:rsid w:val="00336976"/>
    <w:rsid w:val="00336B17"/>
    <w:rsid w:val="0033719E"/>
    <w:rsid w:val="00337730"/>
    <w:rsid w:val="00337C37"/>
    <w:rsid w:val="00337CE2"/>
    <w:rsid w:val="00337E80"/>
    <w:rsid w:val="00340009"/>
    <w:rsid w:val="003401DB"/>
    <w:rsid w:val="00340261"/>
    <w:rsid w:val="0034068A"/>
    <w:rsid w:val="003408FD"/>
    <w:rsid w:val="00340BC5"/>
    <w:rsid w:val="003412DA"/>
    <w:rsid w:val="00341552"/>
    <w:rsid w:val="00341FE7"/>
    <w:rsid w:val="003427EF"/>
    <w:rsid w:val="00342AA6"/>
    <w:rsid w:val="00342DC8"/>
    <w:rsid w:val="0034321E"/>
    <w:rsid w:val="00343743"/>
    <w:rsid w:val="00343782"/>
    <w:rsid w:val="00343E62"/>
    <w:rsid w:val="003440E8"/>
    <w:rsid w:val="00344153"/>
    <w:rsid w:val="00344236"/>
    <w:rsid w:val="0034444B"/>
    <w:rsid w:val="003447DE"/>
    <w:rsid w:val="00344EF8"/>
    <w:rsid w:val="0034539D"/>
    <w:rsid w:val="003454B7"/>
    <w:rsid w:val="003459B3"/>
    <w:rsid w:val="00345CFE"/>
    <w:rsid w:val="0034638F"/>
    <w:rsid w:val="0034672D"/>
    <w:rsid w:val="00346A5F"/>
    <w:rsid w:val="00346E40"/>
    <w:rsid w:val="00347146"/>
    <w:rsid w:val="00347750"/>
    <w:rsid w:val="0034777E"/>
    <w:rsid w:val="00347DE2"/>
    <w:rsid w:val="0035092F"/>
    <w:rsid w:val="00350966"/>
    <w:rsid w:val="00350C8B"/>
    <w:rsid w:val="003514B6"/>
    <w:rsid w:val="00351561"/>
    <w:rsid w:val="00351A74"/>
    <w:rsid w:val="00351AB4"/>
    <w:rsid w:val="003523E4"/>
    <w:rsid w:val="0035240D"/>
    <w:rsid w:val="0035248E"/>
    <w:rsid w:val="003524BB"/>
    <w:rsid w:val="00352EC4"/>
    <w:rsid w:val="00353192"/>
    <w:rsid w:val="0035319C"/>
    <w:rsid w:val="00353532"/>
    <w:rsid w:val="0035399F"/>
    <w:rsid w:val="00353A68"/>
    <w:rsid w:val="00353DF1"/>
    <w:rsid w:val="00354519"/>
    <w:rsid w:val="00354600"/>
    <w:rsid w:val="0035522F"/>
    <w:rsid w:val="00355412"/>
    <w:rsid w:val="003556A9"/>
    <w:rsid w:val="003558B1"/>
    <w:rsid w:val="00355B3C"/>
    <w:rsid w:val="00356108"/>
    <w:rsid w:val="003563B3"/>
    <w:rsid w:val="0035660B"/>
    <w:rsid w:val="00356921"/>
    <w:rsid w:val="00356A3F"/>
    <w:rsid w:val="00357DD2"/>
    <w:rsid w:val="003608C2"/>
    <w:rsid w:val="003609A6"/>
    <w:rsid w:val="00360A48"/>
    <w:rsid w:val="00360B8C"/>
    <w:rsid w:val="00360D07"/>
    <w:rsid w:val="00360E94"/>
    <w:rsid w:val="003610B5"/>
    <w:rsid w:val="00361409"/>
    <w:rsid w:val="003615E2"/>
    <w:rsid w:val="003619DA"/>
    <w:rsid w:val="0036218B"/>
    <w:rsid w:val="0036240A"/>
    <w:rsid w:val="00362445"/>
    <w:rsid w:val="00362766"/>
    <w:rsid w:val="00362A91"/>
    <w:rsid w:val="00362C7C"/>
    <w:rsid w:val="00362DA0"/>
    <w:rsid w:val="00362EA0"/>
    <w:rsid w:val="0036310A"/>
    <w:rsid w:val="003636CE"/>
    <w:rsid w:val="00363C1B"/>
    <w:rsid w:val="0036442F"/>
    <w:rsid w:val="00364BA5"/>
    <w:rsid w:val="00364E3D"/>
    <w:rsid w:val="003651BB"/>
    <w:rsid w:val="00365495"/>
    <w:rsid w:val="003654D3"/>
    <w:rsid w:val="00365855"/>
    <w:rsid w:val="00365AD0"/>
    <w:rsid w:val="003664FF"/>
    <w:rsid w:val="00366563"/>
    <w:rsid w:val="00366714"/>
    <w:rsid w:val="003669D8"/>
    <w:rsid w:val="00367550"/>
    <w:rsid w:val="00367B13"/>
    <w:rsid w:val="00367B27"/>
    <w:rsid w:val="0037017A"/>
    <w:rsid w:val="00370B65"/>
    <w:rsid w:val="0037122F"/>
    <w:rsid w:val="0037186A"/>
    <w:rsid w:val="00371EBC"/>
    <w:rsid w:val="00371EEC"/>
    <w:rsid w:val="003727CB"/>
    <w:rsid w:val="00372B9D"/>
    <w:rsid w:val="00373C8D"/>
    <w:rsid w:val="00373F3D"/>
    <w:rsid w:val="00375630"/>
    <w:rsid w:val="00375874"/>
    <w:rsid w:val="00375876"/>
    <w:rsid w:val="00376025"/>
    <w:rsid w:val="003769CB"/>
    <w:rsid w:val="003774F0"/>
    <w:rsid w:val="00377E2D"/>
    <w:rsid w:val="0038005B"/>
    <w:rsid w:val="003802D7"/>
    <w:rsid w:val="00380433"/>
    <w:rsid w:val="003804F7"/>
    <w:rsid w:val="00380660"/>
    <w:rsid w:val="003809B6"/>
    <w:rsid w:val="00380ADA"/>
    <w:rsid w:val="0038131B"/>
    <w:rsid w:val="003814D5"/>
    <w:rsid w:val="0038175D"/>
    <w:rsid w:val="0038176A"/>
    <w:rsid w:val="0038178A"/>
    <w:rsid w:val="00381DFE"/>
    <w:rsid w:val="00381FF0"/>
    <w:rsid w:val="00382236"/>
    <w:rsid w:val="0038286F"/>
    <w:rsid w:val="00383129"/>
    <w:rsid w:val="003844B3"/>
    <w:rsid w:val="0038476D"/>
    <w:rsid w:val="00384A39"/>
    <w:rsid w:val="00384A8A"/>
    <w:rsid w:val="00384B3B"/>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90350"/>
    <w:rsid w:val="003908AF"/>
    <w:rsid w:val="0039092F"/>
    <w:rsid w:val="00391030"/>
    <w:rsid w:val="00391126"/>
    <w:rsid w:val="003916F7"/>
    <w:rsid w:val="00391735"/>
    <w:rsid w:val="003918BB"/>
    <w:rsid w:val="003919A8"/>
    <w:rsid w:val="00391B69"/>
    <w:rsid w:val="00391C56"/>
    <w:rsid w:val="00391DC9"/>
    <w:rsid w:val="003929AC"/>
    <w:rsid w:val="00392C92"/>
    <w:rsid w:val="00393E23"/>
    <w:rsid w:val="003940ED"/>
    <w:rsid w:val="00394394"/>
    <w:rsid w:val="0039442C"/>
    <w:rsid w:val="00394A07"/>
    <w:rsid w:val="00394ECC"/>
    <w:rsid w:val="003967D7"/>
    <w:rsid w:val="00396888"/>
    <w:rsid w:val="00396F70"/>
    <w:rsid w:val="0039714E"/>
    <w:rsid w:val="0039734F"/>
    <w:rsid w:val="003973C1"/>
    <w:rsid w:val="0039765E"/>
    <w:rsid w:val="0039795F"/>
    <w:rsid w:val="00397E13"/>
    <w:rsid w:val="00397E40"/>
    <w:rsid w:val="003A0053"/>
    <w:rsid w:val="003A06D9"/>
    <w:rsid w:val="003A0A9E"/>
    <w:rsid w:val="003A0FE1"/>
    <w:rsid w:val="003A17CD"/>
    <w:rsid w:val="003A1CC8"/>
    <w:rsid w:val="003A1F22"/>
    <w:rsid w:val="003A22E1"/>
    <w:rsid w:val="003A23F0"/>
    <w:rsid w:val="003A27A0"/>
    <w:rsid w:val="003A283E"/>
    <w:rsid w:val="003A2AE8"/>
    <w:rsid w:val="003A3035"/>
    <w:rsid w:val="003A34F6"/>
    <w:rsid w:val="003A446E"/>
    <w:rsid w:val="003A458C"/>
    <w:rsid w:val="003A49EE"/>
    <w:rsid w:val="003A4A9F"/>
    <w:rsid w:val="003A4B5E"/>
    <w:rsid w:val="003A4BE6"/>
    <w:rsid w:val="003A5279"/>
    <w:rsid w:val="003A52A7"/>
    <w:rsid w:val="003A5579"/>
    <w:rsid w:val="003A5937"/>
    <w:rsid w:val="003A5A8D"/>
    <w:rsid w:val="003A5DB9"/>
    <w:rsid w:val="003A5FED"/>
    <w:rsid w:val="003A61F8"/>
    <w:rsid w:val="003A65F3"/>
    <w:rsid w:val="003A6701"/>
    <w:rsid w:val="003A6F7F"/>
    <w:rsid w:val="003A7145"/>
    <w:rsid w:val="003A735B"/>
    <w:rsid w:val="003A7605"/>
    <w:rsid w:val="003A7DEE"/>
    <w:rsid w:val="003B10D4"/>
    <w:rsid w:val="003B13EC"/>
    <w:rsid w:val="003B15C1"/>
    <w:rsid w:val="003B18E4"/>
    <w:rsid w:val="003B214F"/>
    <w:rsid w:val="003B23CB"/>
    <w:rsid w:val="003B2CF0"/>
    <w:rsid w:val="003B3C73"/>
    <w:rsid w:val="003B3FC4"/>
    <w:rsid w:val="003B4238"/>
    <w:rsid w:val="003B4971"/>
    <w:rsid w:val="003B4C3D"/>
    <w:rsid w:val="003B4D89"/>
    <w:rsid w:val="003B4F29"/>
    <w:rsid w:val="003B5B6E"/>
    <w:rsid w:val="003B5DBB"/>
    <w:rsid w:val="003B5DFA"/>
    <w:rsid w:val="003B5F8B"/>
    <w:rsid w:val="003B6043"/>
    <w:rsid w:val="003B64A3"/>
    <w:rsid w:val="003B67C8"/>
    <w:rsid w:val="003B6A27"/>
    <w:rsid w:val="003B6B09"/>
    <w:rsid w:val="003B6E5D"/>
    <w:rsid w:val="003B7350"/>
    <w:rsid w:val="003B78C7"/>
    <w:rsid w:val="003B7C45"/>
    <w:rsid w:val="003B7F1E"/>
    <w:rsid w:val="003C017D"/>
    <w:rsid w:val="003C030A"/>
    <w:rsid w:val="003C0443"/>
    <w:rsid w:val="003C0DE1"/>
    <w:rsid w:val="003C10AC"/>
    <w:rsid w:val="003C1332"/>
    <w:rsid w:val="003C1479"/>
    <w:rsid w:val="003C191F"/>
    <w:rsid w:val="003C25AC"/>
    <w:rsid w:val="003C2747"/>
    <w:rsid w:val="003C2A21"/>
    <w:rsid w:val="003C2B21"/>
    <w:rsid w:val="003C2D53"/>
    <w:rsid w:val="003C2F1A"/>
    <w:rsid w:val="003C2FBE"/>
    <w:rsid w:val="003C2FC2"/>
    <w:rsid w:val="003C339C"/>
    <w:rsid w:val="003C3701"/>
    <w:rsid w:val="003C416E"/>
    <w:rsid w:val="003C4E2A"/>
    <w:rsid w:val="003C57E6"/>
    <w:rsid w:val="003C5B3A"/>
    <w:rsid w:val="003C5E4E"/>
    <w:rsid w:val="003C6323"/>
    <w:rsid w:val="003C6422"/>
    <w:rsid w:val="003C6742"/>
    <w:rsid w:val="003C681E"/>
    <w:rsid w:val="003C7552"/>
    <w:rsid w:val="003C7637"/>
    <w:rsid w:val="003C778E"/>
    <w:rsid w:val="003C795D"/>
    <w:rsid w:val="003C7A20"/>
    <w:rsid w:val="003C7A69"/>
    <w:rsid w:val="003C7D52"/>
    <w:rsid w:val="003C7D65"/>
    <w:rsid w:val="003D023E"/>
    <w:rsid w:val="003D0A12"/>
    <w:rsid w:val="003D0B17"/>
    <w:rsid w:val="003D0F4E"/>
    <w:rsid w:val="003D159C"/>
    <w:rsid w:val="003D1D57"/>
    <w:rsid w:val="003D1EB1"/>
    <w:rsid w:val="003D1FB4"/>
    <w:rsid w:val="003D29DA"/>
    <w:rsid w:val="003D2DA4"/>
    <w:rsid w:val="003D2E53"/>
    <w:rsid w:val="003D3BF6"/>
    <w:rsid w:val="003D44DE"/>
    <w:rsid w:val="003D458D"/>
    <w:rsid w:val="003D47C8"/>
    <w:rsid w:val="003D4C95"/>
    <w:rsid w:val="003D5FEA"/>
    <w:rsid w:val="003D642E"/>
    <w:rsid w:val="003D65C7"/>
    <w:rsid w:val="003D68C2"/>
    <w:rsid w:val="003D6E2B"/>
    <w:rsid w:val="003D6E35"/>
    <w:rsid w:val="003D6E81"/>
    <w:rsid w:val="003D765A"/>
    <w:rsid w:val="003D7BBB"/>
    <w:rsid w:val="003D7BE9"/>
    <w:rsid w:val="003E0632"/>
    <w:rsid w:val="003E0993"/>
    <w:rsid w:val="003E0CAD"/>
    <w:rsid w:val="003E0F0E"/>
    <w:rsid w:val="003E1193"/>
    <w:rsid w:val="003E1BCF"/>
    <w:rsid w:val="003E208A"/>
    <w:rsid w:val="003E221A"/>
    <w:rsid w:val="003E23AE"/>
    <w:rsid w:val="003E2646"/>
    <w:rsid w:val="003E2653"/>
    <w:rsid w:val="003E2AF2"/>
    <w:rsid w:val="003E389E"/>
    <w:rsid w:val="003E38C4"/>
    <w:rsid w:val="003E38F8"/>
    <w:rsid w:val="003E44BD"/>
    <w:rsid w:val="003E47B8"/>
    <w:rsid w:val="003E486D"/>
    <w:rsid w:val="003E52D7"/>
    <w:rsid w:val="003E5569"/>
    <w:rsid w:val="003E5587"/>
    <w:rsid w:val="003E56DB"/>
    <w:rsid w:val="003E625A"/>
    <w:rsid w:val="003E6288"/>
    <w:rsid w:val="003E66A4"/>
    <w:rsid w:val="003E67E9"/>
    <w:rsid w:val="003E6883"/>
    <w:rsid w:val="003E6C6E"/>
    <w:rsid w:val="003E6C86"/>
    <w:rsid w:val="003E7178"/>
    <w:rsid w:val="003E75BA"/>
    <w:rsid w:val="003E7617"/>
    <w:rsid w:val="003E77A1"/>
    <w:rsid w:val="003E77AA"/>
    <w:rsid w:val="003E78B1"/>
    <w:rsid w:val="003E7991"/>
    <w:rsid w:val="003E7C1F"/>
    <w:rsid w:val="003E7D11"/>
    <w:rsid w:val="003F0F36"/>
    <w:rsid w:val="003F12FB"/>
    <w:rsid w:val="003F1343"/>
    <w:rsid w:val="003F147C"/>
    <w:rsid w:val="003F15A0"/>
    <w:rsid w:val="003F15E8"/>
    <w:rsid w:val="003F26B8"/>
    <w:rsid w:val="003F29D2"/>
    <w:rsid w:val="003F2A41"/>
    <w:rsid w:val="003F2CE3"/>
    <w:rsid w:val="003F2F04"/>
    <w:rsid w:val="003F3183"/>
    <w:rsid w:val="003F4332"/>
    <w:rsid w:val="003F4350"/>
    <w:rsid w:val="003F4ED4"/>
    <w:rsid w:val="003F4FCB"/>
    <w:rsid w:val="003F555A"/>
    <w:rsid w:val="003F5AC7"/>
    <w:rsid w:val="003F5BBC"/>
    <w:rsid w:val="003F5F5B"/>
    <w:rsid w:val="003F636A"/>
    <w:rsid w:val="003F64E6"/>
    <w:rsid w:val="003F6C62"/>
    <w:rsid w:val="003F6F97"/>
    <w:rsid w:val="003F70ED"/>
    <w:rsid w:val="003F7420"/>
    <w:rsid w:val="003F7A77"/>
    <w:rsid w:val="003F7F4D"/>
    <w:rsid w:val="0040031F"/>
    <w:rsid w:val="0040037E"/>
    <w:rsid w:val="00400573"/>
    <w:rsid w:val="004005ED"/>
    <w:rsid w:val="00400B6F"/>
    <w:rsid w:val="00400FE4"/>
    <w:rsid w:val="004011E3"/>
    <w:rsid w:val="004012FC"/>
    <w:rsid w:val="004015C9"/>
    <w:rsid w:val="004017B0"/>
    <w:rsid w:val="00402381"/>
    <w:rsid w:val="00402D2B"/>
    <w:rsid w:val="004030B5"/>
    <w:rsid w:val="004030C8"/>
    <w:rsid w:val="004030CF"/>
    <w:rsid w:val="0040359A"/>
    <w:rsid w:val="004039B7"/>
    <w:rsid w:val="00403AD4"/>
    <w:rsid w:val="00403AE3"/>
    <w:rsid w:val="00403F9B"/>
    <w:rsid w:val="0040468B"/>
    <w:rsid w:val="004047D2"/>
    <w:rsid w:val="00404A56"/>
    <w:rsid w:val="00404E97"/>
    <w:rsid w:val="00405318"/>
    <w:rsid w:val="004054B6"/>
    <w:rsid w:val="00405544"/>
    <w:rsid w:val="00405961"/>
    <w:rsid w:val="004059E6"/>
    <w:rsid w:val="00405C4D"/>
    <w:rsid w:val="00406488"/>
    <w:rsid w:val="00406700"/>
    <w:rsid w:val="004069C8"/>
    <w:rsid w:val="00406C3C"/>
    <w:rsid w:val="00406F75"/>
    <w:rsid w:val="00407F56"/>
    <w:rsid w:val="00410618"/>
    <w:rsid w:val="004106EA"/>
    <w:rsid w:val="00410F3D"/>
    <w:rsid w:val="004110C2"/>
    <w:rsid w:val="00411229"/>
    <w:rsid w:val="00411662"/>
    <w:rsid w:val="004118A5"/>
    <w:rsid w:val="00411EF0"/>
    <w:rsid w:val="0041202A"/>
    <w:rsid w:val="004122F2"/>
    <w:rsid w:val="00412622"/>
    <w:rsid w:val="00413464"/>
    <w:rsid w:val="004135E0"/>
    <w:rsid w:val="0041377D"/>
    <w:rsid w:val="00414020"/>
    <w:rsid w:val="00414293"/>
    <w:rsid w:val="00414853"/>
    <w:rsid w:val="00414BE7"/>
    <w:rsid w:val="004150B4"/>
    <w:rsid w:val="00415B67"/>
    <w:rsid w:val="00415BB4"/>
    <w:rsid w:val="00415DB4"/>
    <w:rsid w:val="00415E46"/>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10B4"/>
    <w:rsid w:val="0042187B"/>
    <w:rsid w:val="00421C83"/>
    <w:rsid w:val="00421EB9"/>
    <w:rsid w:val="00422577"/>
    <w:rsid w:val="00422A6E"/>
    <w:rsid w:val="00423952"/>
    <w:rsid w:val="00424349"/>
    <w:rsid w:val="0042468E"/>
    <w:rsid w:val="00424AC9"/>
    <w:rsid w:val="00424E15"/>
    <w:rsid w:val="004250FD"/>
    <w:rsid w:val="0042529D"/>
    <w:rsid w:val="0042544F"/>
    <w:rsid w:val="00425786"/>
    <w:rsid w:val="0042578E"/>
    <w:rsid w:val="00425F21"/>
    <w:rsid w:val="00425FA6"/>
    <w:rsid w:val="00426182"/>
    <w:rsid w:val="00426A49"/>
    <w:rsid w:val="0042794F"/>
    <w:rsid w:val="00427989"/>
    <w:rsid w:val="00427C55"/>
    <w:rsid w:val="00427DB2"/>
    <w:rsid w:val="00427FDF"/>
    <w:rsid w:val="00430C35"/>
    <w:rsid w:val="00430F21"/>
    <w:rsid w:val="00431120"/>
    <w:rsid w:val="00431328"/>
    <w:rsid w:val="004314A4"/>
    <w:rsid w:val="004315FD"/>
    <w:rsid w:val="00431694"/>
    <w:rsid w:val="00431765"/>
    <w:rsid w:val="00431AF0"/>
    <w:rsid w:val="00431B95"/>
    <w:rsid w:val="00431FC9"/>
    <w:rsid w:val="004323C4"/>
    <w:rsid w:val="00432923"/>
    <w:rsid w:val="00432A6D"/>
    <w:rsid w:val="00432EC7"/>
    <w:rsid w:val="0043307D"/>
    <w:rsid w:val="00433579"/>
    <w:rsid w:val="00433633"/>
    <w:rsid w:val="00433645"/>
    <w:rsid w:val="00433B0D"/>
    <w:rsid w:val="00434262"/>
    <w:rsid w:val="004342C4"/>
    <w:rsid w:val="00434863"/>
    <w:rsid w:val="004350CA"/>
    <w:rsid w:val="004351A4"/>
    <w:rsid w:val="00435BC0"/>
    <w:rsid w:val="00436C26"/>
    <w:rsid w:val="00436D9A"/>
    <w:rsid w:val="0043752C"/>
    <w:rsid w:val="00437C4A"/>
    <w:rsid w:val="00437E31"/>
    <w:rsid w:val="00440216"/>
    <w:rsid w:val="004407D0"/>
    <w:rsid w:val="00441535"/>
    <w:rsid w:val="00441A68"/>
    <w:rsid w:val="00442079"/>
    <w:rsid w:val="00442089"/>
    <w:rsid w:val="004425EF"/>
    <w:rsid w:val="004426BA"/>
    <w:rsid w:val="00442A05"/>
    <w:rsid w:val="00442B8C"/>
    <w:rsid w:val="00443545"/>
    <w:rsid w:val="004437B8"/>
    <w:rsid w:val="00443915"/>
    <w:rsid w:val="00443A5C"/>
    <w:rsid w:val="00443A8A"/>
    <w:rsid w:val="00443C92"/>
    <w:rsid w:val="0044404B"/>
    <w:rsid w:val="004442D5"/>
    <w:rsid w:val="00444716"/>
    <w:rsid w:val="004450DA"/>
    <w:rsid w:val="00445235"/>
    <w:rsid w:val="0044546C"/>
    <w:rsid w:val="00445CD2"/>
    <w:rsid w:val="00445E3E"/>
    <w:rsid w:val="004461E0"/>
    <w:rsid w:val="00446229"/>
    <w:rsid w:val="00446541"/>
    <w:rsid w:val="00447033"/>
    <w:rsid w:val="004471A1"/>
    <w:rsid w:val="00447209"/>
    <w:rsid w:val="004475C2"/>
    <w:rsid w:val="00447F06"/>
    <w:rsid w:val="00447F78"/>
    <w:rsid w:val="004503A9"/>
    <w:rsid w:val="00450764"/>
    <w:rsid w:val="0045091B"/>
    <w:rsid w:val="00450C03"/>
    <w:rsid w:val="00450E9F"/>
    <w:rsid w:val="0045142F"/>
    <w:rsid w:val="004514E1"/>
    <w:rsid w:val="00451A4E"/>
    <w:rsid w:val="00451BA5"/>
    <w:rsid w:val="00452592"/>
    <w:rsid w:val="00452B3C"/>
    <w:rsid w:val="00452BF0"/>
    <w:rsid w:val="00452D5E"/>
    <w:rsid w:val="0045376D"/>
    <w:rsid w:val="00453788"/>
    <w:rsid w:val="00453D66"/>
    <w:rsid w:val="00453E4B"/>
    <w:rsid w:val="00454232"/>
    <w:rsid w:val="00454718"/>
    <w:rsid w:val="00454A7A"/>
    <w:rsid w:val="00454DCE"/>
    <w:rsid w:val="00454E5B"/>
    <w:rsid w:val="00454E99"/>
    <w:rsid w:val="00454FF1"/>
    <w:rsid w:val="00455399"/>
    <w:rsid w:val="00455448"/>
    <w:rsid w:val="004554E3"/>
    <w:rsid w:val="004562EB"/>
    <w:rsid w:val="004563BD"/>
    <w:rsid w:val="0045679B"/>
    <w:rsid w:val="00456835"/>
    <w:rsid w:val="00456AF3"/>
    <w:rsid w:val="00456BA9"/>
    <w:rsid w:val="00456F7B"/>
    <w:rsid w:val="004575F2"/>
    <w:rsid w:val="00457747"/>
    <w:rsid w:val="0045793E"/>
    <w:rsid w:val="004579FE"/>
    <w:rsid w:val="00460166"/>
    <w:rsid w:val="00460732"/>
    <w:rsid w:val="0046093F"/>
    <w:rsid w:val="00460B48"/>
    <w:rsid w:val="00460CD9"/>
    <w:rsid w:val="00460DB6"/>
    <w:rsid w:val="0046165C"/>
    <w:rsid w:val="00461965"/>
    <w:rsid w:val="00461F60"/>
    <w:rsid w:val="00462693"/>
    <w:rsid w:val="004629CD"/>
    <w:rsid w:val="00462D89"/>
    <w:rsid w:val="0046329C"/>
    <w:rsid w:val="00463B35"/>
    <w:rsid w:val="00464298"/>
    <w:rsid w:val="0046454D"/>
    <w:rsid w:val="004645A7"/>
    <w:rsid w:val="00464C55"/>
    <w:rsid w:val="00464F3D"/>
    <w:rsid w:val="00465203"/>
    <w:rsid w:val="00465263"/>
    <w:rsid w:val="004653BF"/>
    <w:rsid w:val="0046595F"/>
    <w:rsid w:val="00465CD6"/>
    <w:rsid w:val="00465EB5"/>
    <w:rsid w:val="00466024"/>
    <w:rsid w:val="004665B2"/>
    <w:rsid w:val="004665FC"/>
    <w:rsid w:val="00467311"/>
    <w:rsid w:val="004675B7"/>
    <w:rsid w:val="0046775C"/>
    <w:rsid w:val="00467A36"/>
    <w:rsid w:val="00467AE6"/>
    <w:rsid w:val="00467CB5"/>
    <w:rsid w:val="00467E07"/>
    <w:rsid w:val="00467F22"/>
    <w:rsid w:val="00470132"/>
    <w:rsid w:val="004702A4"/>
    <w:rsid w:val="00470A4E"/>
    <w:rsid w:val="00471835"/>
    <w:rsid w:val="00471A03"/>
    <w:rsid w:val="00472496"/>
    <w:rsid w:val="00472582"/>
    <w:rsid w:val="00473517"/>
    <w:rsid w:val="00473D25"/>
    <w:rsid w:val="0047429C"/>
    <w:rsid w:val="00474934"/>
    <w:rsid w:val="00474A6F"/>
    <w:rsid w:val="004756B5"/>
    <w:rsid w:val="00475D21"/>
    <w:rsid w:val="00476771"/>
    <w:rsid w:val="004768FD"/>
    <w:rsid w:val="00476B19"/>
    <w:rsid w:val="00476BFC"/>
    <w:rsid w:val="00476CAA"/>
    <w:rsid w:val="004771AD"/>
    <w:rsid w:val="004773AC"/>
    <w:rsid w:val="0047770D"/>
    <w:rsid w:val="004777CA"/>
    <w:rsid w:val="00480139"/>
    <w:rsid w:val="004801AD"/>
    <w:rsid w:val="00480207"/>
    <w:rsid w:val="00480A7C"/>
    <w:rsid w:val="0048186D"/>
    <w:rsid w:val="004818D2"/>
    <w:rsid w:val="00481A07"/>
    <w:rsid w:val="00481BEB"/>
    <w:rsid w:val="00481F5C"/>
    <w:rsid w:val="00482544"/>
    <w:rsid w:val="00482812"/>
    <w:rsid w:val="00482BA4"/>
    <w:rsid w:val="00484351"/>
    <w:rsid w:val="00484587"/>
    <w:rsid w:val="00484D67"/>
    <w:rsid w:val="00485354"/>
    <w:rsid w:val="004857C8"/>
    <w:rsid w:val="00485C00"/>
    <w:rsid w:val="00485F74"/>
    <w:rsid w:val="004860DB"/>
    <w:rsid w:val="004862AC"/>
    <w:rsid w:val="00486479"/>
    <w:rsid w:val="00487324"/>
    <w:rsid w:val="0048769A"/>
    <w:rsid w:val="00487A9B"/>
    <w:rsid w:val="00490257"/>
    <w:rsid w:val="004906B4"/>
    <w:rsid w:val="004909D9"/>
    <w:rsid w:val="004911AF"/>
    <w:rsid w:val="004914BD"/>
    <w:rsid w:val="00491A0C"/>
    <w:rsid w:val="00491C4A"/>
    <w:rsid w:val="00491D55"/>
    <w:rsid w:val="00491FE1"/>
    <w:rsid w:val="00492029"/>
    <w:rsid w:val="0049316B"/>
    <w:rsid w:val="00493588"/>
    <w:rsid w:val="004935BB"/>
    <w:rsid w:val="004937CA"/>
    <w:rsid w:val="00493B15"/>
    <w:rsid w:val="00493C5C"/>
    <w:rsid w:val="00493C6F"/>
    <w:rsid w:val="00493E0A"/>
    <w:rsid w:val="00493E5B"/>
    <w:rsid w:val="00493EFF"/>
    <w:rsid w:val="00494537"/>
    <w:rsid w:val="0049481A"/>
    <w:rsid w:val="00494ACA"/>
    <w:rsid w:val="00494AE6"/>
    <w:rsid w:val="00494ED7"/>
    <w:rsid w:val="004954EF"/>
    <w:rsid w:val="00495DC9"/>
    <w:rsid w:val="00495FB0"/>
    <w:rsid w:val="00496511"/>
    <w:rsid w:val="004969AD"/>
    <w:rsid w:val="00496A7E"/>
    <w:rsid w:val="00497B49"/>
    <w:rsid w:val="004A023B"/>
    <w:rsid w:val="004A0B53"/>
    <w:rsid w:val="004A0CBF"/>
    <w:rsid w:val="004A145D"/>
    <w:rsid w:val="004A1776"/>
    <w:rsid w:val="004A18CD"/>
    <w:rsid w:val="004A2262"/>
    <w:rsid w:val="004A2A08"/>
    <w:rsid w:val="004A2F19"/>
    <w:rsid w:val="004A34F3"/>
    <w:rsid w:val="004A368D"/>
    <w:rsid w:val="004A3976"/>
    <w:rsid w:val="004A39EC"/>
    <w:rsid w:val="004A3BFA"/>
    <w:rsid w:val="004A3C66"/>
    <w:rsid w:val="004A4891"/>
    <w:rsid w:val="004A4BA7"/>
    <w:rsid w:val="004A4C2B"/>
    <w:rsid w:val="004A540B"/>
    <w:rsid w:val="004A5613"/>
    <w:rsid w:val="004A5A7D"/>
    <w:rsid w:val="004A5BDF"/>
    <w:rsid w:val="004A5FC7"/>
    <w:rsid w:val="004A6826"/>
    <w:rsid w:val="004A703A"/>
    <w:rsid w:val="004A76C5"/>
    <w:rsid w:val="004A7B38"/>
    <w:rsid w:val="004B0190"/>
    <w:rsid w:val="004B1118"/>
    <w:rsid w:val="004B1543"/>
    <w:rsid w:val="004B1804"/>
    <w:rsid w:val="004B1A41"/>
    <w:rsid w:val="004B1D7F"/>
    <w:rsid w:val="004B1E48"/>
    <w:rsid w:val="004B209C"/>
    <w:rsid w:val="004B29A2"/>
    <w:rsid w:val="004B2CBC"/>
    <w:rsid w:val="004B41FF"/>
    <w:rsid w:val="004B446C"/>
    <w:rsid w:val="004B4923"/>
    <w:rsid w:val="004B49B0"/>
    <w:rsid w:val="004B50CF"/>
    <w:rsid w:val="004B568A"/>
    <w:rsid w:val="004B59E8"/>
    <w:rsid w:val="004B6141"/>
    <w:rsid w:val="004B67E6"/>
    <w:rsid w:val="004B6BAF"/>
    <w:rsid w:val="004B7022"/>
    <w:rsid w:val="004B731B"/>
    <w:rsid w:val="004B7B42"/>
    <w:rsid w:val="004B7EF6"/>
    <w:rsid w:val="004C07EB"/>
    <w:rsid w:val="004C0948"/>
    <w:rsid w:val="004C0AAC"/>
    <w:rsid w:val="004C0F79"/>
    <w:rsid w:val="004C10C2"/>
    <w:rsid w:val="004C1494"/>
    <w:rsid w:val="004C167F"/>
    <w:rsid w:val="004C1B57"/>
    <w:rsid w:val="004C1B9A"/>
    <w:rsid w:val="004C1BDF"/>
    <w:rsid w:val="004C1D9A"/>
    <w:rsid w:val="004C26B8"/>
    <w:rsid w:val="004C27F6"/>
    <w:rsid w:val="004C3276"/>
    <w:rsid w:val="004C377A"/>
    <w:rsid w:val="004C3CD2"/>
    <w:rsid w:val="004C3E1E"/>
    <w:rsid w:val="004C4643"/>
    <w:rsid w:val="004C4952"/>
    <w:rsid w:val="004C5115"/>
    <w:rsid w:val="004C57B5"/>
    <w:rsid w:val="004C597F"/>
    <w:rsid w:val="004C5FE4"/>
    <w:rsid w:val="004C61B2"/>
    <w:rsid w:val="004C6631"/>
    <w:rsid w:val="004C7085"/>
    <w:rsid w:val="004C72B7"/>
    <w:rsid w:val="004C7577"/>
    <w:rsid w:val="004C79A5"/>
    <w:rsid w:val="004C7C53"/>
    <w:rsid w:val="004D02E9"/>
    <w:rsid w:val="004D06CC"/>
    <w:rsid w:val="004D072E"/>
    <w:rsid w:val="004D139D"/>
    <w:rsid w:val="004D2287"/>
    <w:rsid w:val="004D2559"/>
    <w:rsid w:val="004D25E8"/>
    <w:rsid w:val="004D2776"/>
    <w:rsid w:val="004D2C78"/>
    <w:rsid w:val="004D2D40"/>
    <w:rsid w:val="004D3918"/>
    <w:rsid w:val="004D3A1F"/>
    <w:rsid w:val="004D429B"/>
    <w:rsid w:val="004D4A02"/>
    <w:rsid w:val="004D4C53"/>
    <w:rsid w:val="004D505C"/>
    <w:rsid w:val="004D5369"/>
    <w:rsid w:val="004D54B9"/>
    <w:rsid w:val="004D5631"/>
    <w:rsid w:val="004D5733"/>
    <w:rsid w:val="004D57AF"/>
    <w:rsid w:val="004D5B8C"/>
    <w:rsid w:val="004D5D6C"/>
    <w:rsid w:val="004D5F91"/>
    <w:rsid w:val="004D6343"/>
    <w:rsid w:val="004D657E"/>
    <w:rsid w:val="004D6911"/>
    <w:rsid w:val="004D6B2A"/>
    <w:rsid w:val="004D6E55"/>
    <w:rsid w:val="004D71B7"/>
    <w:rsid w:val="004D7239"/>
    <w:rsid w:val="004D769D"/>
    <w:rsid w:val="004D7AD9"/>
    <w:rsid w:val="004D7B67"/>
    <w:rsid w:val="004D7E32"/>
    <w:rsid w:val="004E045B"/>
    <w:rsid w:val="004E0541"/>
    <w:rsid w:val="004E0971"/>
    <w:rsid w:val="004E10BF"/>
    <w:rsid w:val="004E130F"/>
    <w:rsid w:val="004E2267"/>
    <w:rsid w:val="004E2495"/>
    <w:rsid w:val="004E281E"/>
    <w:rsid w:val="004E2C2E"/>
    <w:rsid w:val="004E30A8"/>
    <w:rsid w:val="004E31AB"/>
    <w:rsid w:val="004E3A51"/>
    <w:rsid w:val="004E3BFF"/>
    <w:rsid w:val="004E3CCF"/>
    <w:rsid w:val="004E3ECB"/>
    <w:rsid w:val="004E3F70"/>
    <w:rsid w:val="004E4D97"/>
    <w:rsid w:val="004E5B63"/>
    <w:rsid w:val="004E6085"/>
    <w:rsid w:val="004E623B"/>
    <w:rsid w:val="004E69A4"/>
    <w:rsid w:val="004E6A28"/>
    <w:rsid w:val="004E6D46"/>
    <w:rsid w:val="004E71C3"/>
    <w:rsid w:val="004E760D"/>
    <w:rsid w:val="004E78E8"/>
    <w:rsid w:val="004E79EC"/>
    <w:rsid w:val="004E7A05"/>
    <w:rsid w:val="004E7AA5"/>
    <w:rsid w:val="004F02A1"/>
    <w:rsid w:val="004F0665"/>
    <w:rsid w:val="004F07C7"/>
    <w:rsid w:val="004F1022"/>
    <w:rsid w:val="004F1212"/>
    <w:rsid w:val="004F134A"/>
    <w:rsid w:val="004F1549"/>
    <w:rsid w:val="004F223A"/>
    <w:rsid w:val="004F3910"/>
    <w:rsid w:val="004F426F"/>
    <w:rsid w:val="004F4312"/>
    <w:rsid w:val="004F457E"/>
    <w:rsid w:val="004F47DD"/>
    <w:rsid w:val="004F4D47"/>
    <w:rsid w:val="004F4D87"/>
    <w:rsid w:val="004F512C"/>
    <w:rsid w:val="004F5285"/>
    <w:rsid w:val="004F54EE"/>
    <w:rsid w:val="004F60FC"/>
    <w:rsid w:val="004F64BB"/>
    <w:rsid w:val="004F65D5"/>
    <w:rsid w:val="004F693D"/>
    <w:rsid w:val="004F6AD8"/>
    <w:rsid w:val="004F6C82"/>
    <w:rsid w:val="004F77A3"/>
    <w:rsid w:val="004F7D7B"/>
    <w:rsid w:val="004F7DCE"/>
    <w:rsid w:val="004F7ED6"/>
    <w:rsid w:val="0050084E"/>
    <w:rsid w:val="00500B5E"/>
    <w:rsid w:val="00500B6E"/>
    <w:rsid w:val="00501084"/>
    <w:rsid w:val="0050126B"/>
    <w:rsid w:val="005016D7"/>
    <w:rsid w:val="0050208B"/>
    <w:rsid w:val="0050294B"/>
    <w:rsid w:val="00502A25"/>
    <w:rsid w:val="005035D9"/>
    <w:rsid w:val="00503AD9"/>
    <w:rsid w:val="00503BC8"/>
    <w:rsid w:val="00504353"/>
    <w:rsid w:val="0050477A"/>
    <w:rsid w:val="00504ABB"/>
    <w:rsid w:val="00504B15"/>
    <w:rsid w:val="00504D6D"/>
    <w:rsid w:val="0050598C"/>
    <w:rsid w:val="00506294"/>
    <w:rsid w:val="00506782"/>
    <w:rsid w:val="005073EB"/>
    <w:rsid w:val="00507599"/>
    <w:rsid w:val="00507743"/>
    <w:rsid w:val="00507A5A"/>
    <w:rsid w:val="00507B3C"/>
    <w:rsid w:val="00507BA3"/>
    <w:rsid w:val="00507F66"/>
    <w:rsid w:val="005102F8"/>
    <w:rsid w:val="00510F34"/>
    <w:rsid w:val="0051124D"/>
    <w:rsid w:val="005117FC"/>
    <w:rsid w:val="00511ABC"/>
    <w:rsid w:val="0051214A"/>
    <w:rsid w:val="00512513"/>
    <w:rsid w:val="005125B0"/>
    <w:rsid w:val="00513588"/>
    <w:rsid w:val="00513AE4"/>
    <w:rsid w:val="00513F47"/>
    <w:rsid w:val="0051406D"/>
    <w:rsid w:val="00514315"/>
    <w:rsid w:val="00514C23"/>
    <w:rsid w:val="005151B6"/>
    <w:rsid w:val="005154D4"/>
    <w:rsid w:val="005155B1"/>
    <w:rsid w:val="00515E7C"/>
    <w:rsid w:val="005162C9"/>
    <w:rsid w:val="00516443"/>
    <w:rsid w:val="005164A6"/>
    <w:rsid w:val="0051689D"/>
    <w:rsid w:val="00516D25"/>
    <w:rsid w:val="00516FBF"/>
    <w:rsid w:val="0051706D"/>
    <w:rsid w:val="00517189"/>
    <w:rsid w:val="005174D5"/>
    <w:rsid w:val="00517A9C"/>
    <w:rsid w:val="0052015B"/>
    <w:rsid w:val="0052042E"/>
    <w:rsid w:val="005204A4"/>
    <w:rsid w:val="0052055B"/>
    <w:rsid w:val="005205B8"/>
    <w:rsid w:val="0052083B"/>
    <w:rsid w:val="00520CE0"/>
    <w:rsid w:val="00520DD8"/>
    <w:rsid w:val="00520EC1"/>
    <w:rsid w:val="0052133B"/>
    <w:rsid w:val="00521447"/>
    <w:rsid w:val="00521603"/>
    <w:rsid w:val="00521BA2"/>
    <w:rsid w:val="00521FCC"/>
    <w:rsid w:val="00522611"/>
    <w:rsid w:val="00522614"/>
    <w:rsid w:val="00522975"/>
    <w:rsid w:val="005229AC"/>
    <w:rsid w:val="00522A9D"/>
    <w:rsid w:val="00522E32"/>
    <w:rsid w:val="00523033"/>
    <w:rsid w:val="005235C5"/>
    <w:rsid w:val="005237EC"/>
    <w:rsid w:val="00524AED"/>
    <w:rsid w:val="005255DC"/>
    <w:rsid w:val="005256E0"/>
    <w:rsid w:val="0052672B"/>
    <w:rsid w:val="005267FD"/>
    <w:rsid w:val="005269A1"/>
    <w:rsid w:val="00527201"/>
    <w:rsid w:val="00527550"/>
    <w:rsid w:val="00527977"/>
    <w:rsid w:val="00527A38"/>
    <w:rsid w:val="00527BAE"/>
    <w:rsid w:val="0053034C"/>
    <w:rsid w:val="00530A35"/>
    <w:rsid w:val="00530BDB"/>
    <w:rsid w:val="00530C61"/>
    <w:rsid w:val="005313B3"/>
    <w:rsid w:val="00531682"/>
    <w:rsid w:val="00531BB2"/>
    <w:rsid w:val="00532220"/>
    <w:rsid w:val="005323C2"/>
    <w:rsid w:val="00532532"/>
    <w:rsid w:val="0053295E"/>
    <w:rsid w:val="00532A40"/>
    <w:rsid w:val="00533BD3"/>
    <w:rsid w:val="005343CB"/>
    <w:rsid w:val="0053467B"/>
    <w:rsid w:val="005346F0"/>
    <w:rsid w:val="00534A7A"/>
    <w:rsid w:val="0053537D"/>
    <w:rsid w:val="005353A2"/>
    <w:rsid w:val="00535550"/>
    <w:rsid w:val="00535996"/>
    <w:rsid w:val="00535CB5"/>
    <w:rsid w:val="00535D1C"/>
    <w:rsid w:val="00535E2B"/>
    <w:rsid w:val="00536144"/>
    <w:rsid w:val="0053629F"/>
    <w:rsid w:val="005363E0"/>
    <w:rsid w:val="0053662C"/>
    <w:rsid w:val="00536715"/>
    <w:rsid w:val="00536F6C"/>
    <w:rsid w:val="00537731"/>
    <w:rsid w:val="00537CA2"/>
    <w:rsid w:val="00537D4B"/>
    <w:rsid w:val="00537D52"/>
    <w:rsid w:val="00537F6C"/>
    <w:rsid w:val="00537F82"/>
    <w:rsid w:val="00540241"/>
    <w:rsid w:val="00540A6D"/>
    <w:rsid w:val="00540BF2"/>
    <w:rsid w:val="00540C39"/>
    <w:rsid w:val="00541323"/>
    <w:rsid w:val="00542345"/>
    <w:rsid w:val="0054252A"/>
    <w:rsid w:val="0054255D"/>
    <w:rsid w:val="005426F5"/>
    <w:rsid w:val="0054305D"/>
    <w:rsid w:val="00543101"/>
    <w:rsid w:val="00543331"/>
    <w:rsid w:val="00543D06"/>
    <w:rsid w:val="00543DB7"/>
    <w:rsid w:val="00543F2F"/>
    <w:rsid w:val="00544832"/>
    <w:rsid w:val="00544BF2"/>
    <w:rsid w:val="00544CE4"/>
    <w:rsid w:val="00544D3B"/>
    <w:rsid w:val="00544D5A"/>
    <w:rsid w:val="00544EFE"/>
    <w:rsid w:val="0054546A"/>
    <w:rsid w:val="00545920"/>
    <w:rsid w:val="00545BB0"/>
    <w:rsid w:val="00545EB6"/>
    <w:rsid w:val="00546792"/>
    <w:rsid w:val="00546A62"/>
    <w:rsid w:val="00546BEA"/>
    <w:rsid w:val="00547461"/>
    <w:rsid w:val="00547628"/>
    <w:rsid w:val="00547ABE"/>
    <w:rsid w:val="00547E6C"/>
    <w:rsid w:val="005502A4"/>
    <w:rsid w:val="005506E2"/>
    <w:rsid w:val="00550E1A"/>
    <w:rsid w:val="00551130"/>
    <w:rsid w:val="00551654"/>
    <w:rsid w:val="005517AF"/>
    <w:rsid w:val="00551A8A"/>
    <w:rsid w:val="00551C50"/>
    <w:rsid w:val="005520EF"/>
    <w:rsid w:val="00552D59"/>
    <w:rsid w:val="00552FD4"/>
    <w:rsid w:val="0055366A"/>
    <w:rsid w:val="00553CDE"/>
    <w:rsid w:val="00553F91"/>
    <w:rsid w:val="00554023"/>
    <w:rsid w:val="00554628"/>
    <w:rsid w:val="005547AA"/>
    <w:rsid w:val="00554F96"/>
    <w:rsid w:val="00555442"/>
    <w:rsid w:val="00555D88"/>
    <w:rsid w:val="00555F8A"/>
    <w:rsid w:val="005563BF"/>
    <w:rsid w:val="005565FB"/>
    <w:rsid w:val="005567FE"/>
    <w:rsid w:val="00556AD1"/>
    <w:rsid w:val="00556B9D"/>
    <w:rsid w:val="005573C4"/>
    <w:rsid w:val="00557919"/>
    <w:rsid w:val="00557A4E"/>
    <w:rsid w:val="0056031A"/>
    <w:rsid w:val="0056033E"/>
    <w:rsid w:val="00560764"/>
    <w:rsid w:val="00560B2E"/>
    <w:rsid w:val="00560C5B"/>
    <w:rsid w:val="00561564"/>
    <w:rsid w:val="005616F1"/>
    <w:rsid w:val="00561BC9"/>
    <w:rsid w:val="00562835"/>
    <w:rsid w:val="00562AAA"/>
    <w:rsid w:val="00562D4E"/>
    <w:rsid w:val="0056325A"/>
    <w:rsid w:val="00563956"/>
    <w:rsid w:val="00563A3C"/>
    <w:rsid w:val="00563C41"/>
    <w:rsid w:val="00563E4A"/>
    <w:rsid w:val="00563EF4"/>
    <w:rsid w:val="00563FC2"/>
    <w:rsid w:val="005644E1"/>
    <w:rsid w:val="00564610"/>
    <w:rsid w:val="00564BDA"/>
    <w:rsid w:val="00564E0C"/>
    <w:rsid w:val="0056501B"/>
    <w:rsid w:val="005650F4"/>
    <w:rsid w:val="005654CF"/>
    <w:rsid w:val="005656C4"/>
    <w:rsid w:val="00565C83"/>
    <w:rsid w:val="00566048"/>
    <w:rsid w:val="0056608B"/>
    <w:rsid w:val="005664C7"/>
    <w:rsid w:val="00566931"/>
    <w:rsid w:val="00566BC4"/>
    <w:rsid w:val="005670EB"/>
    <w:rsid w:val="005672E8"/>
    <w:rsid w:val="00567914"/>
    <w:rsid w:val="0057008A"/>
    <w:rsid w:val="00570636"/>
    <w:rsid w:val="00570948"/>
    <w:rsid w:val="00570A8B"/>
    <w:rsid w:val="00570BB2"/>
    <w:rsid w:val="00570CED"/>
    <w:rsid w:val="005711BE"/>
    <w:rsid w:val="0057243C"/>
    <w:rsid w:val="00572640"/>
    <w:rsid w:val="005729E0"/>
    <w:rsid w:val="00572C26"/>
    <w:rsid w:val="00572E63"/>
    <w:rsid w:val="00573281"/>
    <w:rsid w:val="00573D8B"/>
    <w:rsid w:val="00574285"/>
    <w:rsid w:val="00574785"/>
    <w:rsid w:val="00574DBB"/>
    <w:rsid w:val="00574EFA"/>
    <w:rsid w:val="00574F26"/>
    <w:rsid w:val="00575530"/>
    <w:rsid w:val="00575592"/>
    <w:rsid w:val="00576175"/>
    <w:rsid w:val="00576704"/>
    <w:rsid w:val="00577476"/>
    <w:rsid w:val="005775B2"/>
    <w:rsid w:val="005802A6"/>
    <w:rsid w:val="0058046B"/>
    <w:rsid w:val="0058069C"/>
    <w:rsid w:val="00580871"/>
    <w:rsid w:val="00580C78"/>
    <w:rsid w:val="00581B24"/>
    <w:rsid w:val="00581C07"/>
    <w:rsid w:val="00582505"/>
    <w:rsid w:val="0058265B"/>
    <w:rsid w:val="005827A5"/>
    <w:rsid w:val="00582A0F"/>
    <w:rsid w:val="00582BD0"/>
    <w:rsid w:val="00582C23"/>
    <w:rsid w:val="005832B6"/>
    <w:rsid w:val="00583A5D"/>
    <w:rsid w:val="0058422A"/>
    <w:rsid w:val="00584C0E"/>
    <w:rsid w:val="00584C69"/>
    <w:rsid w:val="00585865"/>
    <w:rsid w:val="005859AD"/>
    <w:rsid w:val="00585B11"/>
    <w:rsid w:val="00585C07"/>
    <w:rsid w:val="00585DC0"/>
    <w:rsid w:val="00585E80"/>
    <w:rsid w:val="005864F2"/>
    <w:rsid w:val="0058677D"/>
    <w:rsid w:val="00586E1D"/>
    <w:rsid w:val="005878AE"/>
    <w:rsid w:val="005878C3"/>
    <w:rsid w:val="0059099B"/>
    <w:rsid w:val="005914C7"/>
    <w:rsid w:val="00591543"/>
    <w:rsid w:val="005916A5"/>
    <w:rsid w:val="0059171C"/>
    <w:rsid w:val="00591BD6"/>
    <w:rsid w:val="00591FFD"/>
    <w:rsid w:val="005925E2"/>
    <w:rsid w:val="005925F0"/>
    <w:rsid w:val="00592842"/>
    <w:rsid w:val="00592913"/>
    <w:rsid w:val="00592AFB"/>
    <w:rsid w:val="00592CF1"/>
    <w:rsid w:val="00592ECA"/>
    <w:rsid w:val="00592F2E"/>
    <w:rsid w:val="00593357"/>
    <w:rsid w:val="00593B70"/>
    <w:rsid w:val="00593BFB"/>
    <w:rsid w:val="00593DEE"/>
    <w:rsid w:val="00593ECE"/>
    <w:rsid w:val="00593EFC"/>
    <w:rsid w:val="00594108"/>
    <w:rsid w:val="00594261"/>
    <w:rsid w:val="005952F3"/>
    <w:rsid w:val="00595844"/>
    <w:rsid w:val="005958CD"/>
    <w:rsid w:val="005963F9"/>
    <w:rsid w:val="005977DF"/>
    <w:rsid w:val="00597E70"/>
    <w:rsid w:val="00597EB2"/>
    <w:rsid w:val="00597F13"/>
    <w:rsid w:val="005A0039"/>
    <w:rsid w:val="005A061B"/>
    <w:rsid w:val="005A0713"/>
    <w:rsid w:val="005A0C20"/>
    <w:rsid w:val="005A1546"/>
    <w:rsid w:val="005A15E9"/>
    <w:rsid w:val="005A17BF"/>
    <w:rsid w:val="005A18A0"/>
    <w:rsid w:val="005A2282"/>
    <w:rsid w:val="005A250C"/>
    <w:rsid w:val="005A2A9E"/>
    <w:rsid w:val="005A2FCE"/>
    <w:rsid w:val="005A300A"/>
    <w:rsid w:val="005A30E1"/>
    <w:rsid w:val="005A40A9"/>
    <w:rsid w:val="005A48C5"/>
    <w:rsid w:val="005A4942"/>
    <w:rsid w:val="005A5363"/>
    <w:rsid w:val="005A6437"/>
    <w:rsid w:val="005A64A0"/>
    <w:rsid w:val="005A6D88"/>
    <w:rsid w:val="005A7070"/>
    <w:rsid w:val="005A70B5"/>
    <w:rsid w:val="005A7219"/>
    <w:rsid w:val="005A73E7"/>
    <w:rsid w:val="005A79EB"/>
    <w:rsid w:val="005A7D43"/>
    <w:rsid w:val="005A7E08"/>
    <w:rsid w:val="005A7FE5"/>
    <w:rsid w:val="005A7FEC"/>
    <w:rsid w:val="005B0184"/>
    <w:rsid w:val="005B03C7"/>
    <w:rsid w:val="005B056F"/>
    <w:rsid w:val="005B1118"/>
    <w:rsid w:val="005B161F"/>
    <w:rsid w:val="005B2A5C"/>
    <w:rsid w:val="005B2A9A"/>
    <w:rsid w:val="005B2DE3"/>
    <w:rsid w:val="005B2E4C"/>
    <w:rsid w:val="005B33AE"/>
    <w:rsid w:val="005B347A"/>
    <w:rsid w:val="005B3A7A"/>
    <w:rsid w:val="005B3DD2"/>
    <w:rsid w:val="005B3F59"/>
    <w:rsid w:val="005B42F2"/>
    <w:rsid w:val="005B47DF"/>
    <w:rsid w:val="005B47F4"/>
    <w:rsid w:val="005B4962"/>
    <w:rsid w:val="005B49C5"/>
    <w:rsid w:val="005B4CE5"/>
    <w:rsid w:val="005B4EAD"/>
    <w:rsid w:val="005B51CA"/>
    <w:rsid w:val="005B5C85"/>
    <w:rsid w:val="005B5E1F"/>
    <w:rsid w:val="005B607F"/>
    <w:rsid w:val="005B62B8"/>
    <w:rsid w:val="005B6E29"/>
    <w:rsid w:val="005B75E5"/>
    <w:rsid w:val="005B76B1"/>
    <w:rsid w:val="005B79D1"/>
    <w:rsid w:val="005B7F62"/>
    <w:rsid w:val="005C00C4"/>
    <w:rsid w:val="005C0207"/>
    <w:rsid w:val="005C033A"/>
    <w:rsid w:val="005C04DA"/>
    <w:rsid w:val="005C057F"/>
    <w:rsid w:val="005C0899"/>
    <w:rsid w:val="005C0922"/>
    <w:rsid w:val="005C098A"/>
    <w:rsid w:val="005C1045"/>
    <w:rsid w:val="005C184B"/>
    <w:rsid w:val="005C1C99"/>
    <w:rsid w:val="005C1F25"/>
    <w:rsid w:val="005C250F"/>
    <w:rsid w:val="005C2844"/>
    <w:rsid w:val="005C2854"/>
    <w:rsid w:val="005C2B19"/>
    <w:rsid w:val="005C2E99"/>
    <w:rsid w:val="005C324D"/>
    <w:rsid w:val="005C35FF"/>
    <w:rsid w:val="005C3684"/>
    <w:rsid w:val="005C38C3"/>
    <w:rsid w:val="005C38FF"/>
    <w:rsid w:val="005C3DE3"/>
    <w:rsid w:val="005C3EC0"/>
    <w:rsid w:val="005C4317"/>
    <w:rsid w:val="005C465E"/>
    <w:rsid w:val="005C46F5"/>
    <w:rsid w:val="005C47F7"/>
    <w:rsid w:val="005C4B91"/>
    <w:rsid w:val="005C4BF7"/>
    <w:rsid w:val="005C4DD9"/>
    <w:rsid w:val="005C504E"/>
    <w:rsid w:val="005C599F"/>
    <w:rsid w:val="005C5C9B"/>
    <w:rsid w:val="005C61DD"/>
    <w:rsid w:val="005C6393"/>
    <w:rsid w:val="005C6CA2"/>
    <w:rsid w:val="005C6D4B"/>
    <w:rsid w:val="005C6FC1"/>
    <w:rsid w:val="005C7232"/>
    <w:rsid w:val="005C7326"/>
    <w:rsid w:val="005C7641"/>
    <w:rsid w:val="005C77AB"/>
    <w:rsid w:val="005C79AD"/>
    <w:rsid w:val="005C7B3E"/>
    <w:rsid w:val="005C7B8E"/>
    <w:rsid w:val="005C7E61"/>
    <w:rsid w:val="005D00D3"/>
    <w:rsid w:val="005D0345"/>
    <w:rsid w:val="005D03BF"/>
    <w:rsid w:val="005D0CD6"/>
    <w:rsid w:val="005D11D3"/>
    <w:rsid w:val="005D127E"/>
    <w:rsid w:val="005D12A4"/>
    <w:rsid w:val="005D1736"/>
    <w:rsid w:val="005D2470"/>
    <w:rsid w:val="005D28A8"/>
    <w:rsid w:val="005D29F7"/>
    <w:rsid w:val="005D2AF2"/>
    <w:rsid w:val="005D2B20"/>
    <w:rsid w:val="005D3388"/>
    <w:rsid w:val="005D3688"/>
    <w:rsid w:val="005D36C3"/>
    <w:rsid w:val="005D3A42"/>
    <w:rsid w:val="005D3BDC"/>
    <w:rsid w:val="005D3CC0"/>
    <w:rsid w:val="005D3FF9"/>
    <w:rsid w:val="005D4386"/>
    <w:rsid w:val="005D445F"/>
    <w:rsid w:val="005D456B"/>
    <w:rsid w:val="005D4843"/>
    <w:rsid w:val="005D564B"/>
    <w:rsid w:val="005D5BE6"/>
    <w:rsid w:val="005D618F"/>
    <w:rsid w:val="005D64AF"/>
    <w:rsid w:val="005D661F"/>
    <w:rsid w:val="005D6732"/>
    <w:rsid w:val="005D6BEF"/>
    <w:rsid w:val="005D6E17"/>
    <w:rsid w:val="005D6F3B"/>
    <w:rsid w:val="005D708E"/>
    <w:rsid w:val="005D7E2A"/>
    <w:rsid w:val="005DE6BC"/>
    <w:rsid w:val="005E0364"/>
    <w:rsid w:val="005E0760"/>
    <w:rsid w:val="005E0800"/>
    <w:rsid w:val="005E0A9F"/>
    <w:rsid w:val="005E0CCF"/>
    <w:rsid w:val="005E0E77"/>
    <w:rsid w:val="005E0F60"/>
    <w:rsid w:val="005E0FAC"/>
    <w:rsid w:val="005E1833"/>
    <w:rsid w:val="005E1F2B"/>
    <w:rsid w:val="005E1FC7"/>
    <w:rsid w:val="005E2728"/>
    <w:rsid w:val="005E3034"/>
    <w:rsid w:val="005E3156"/>
    <w:rsid w:val="005E368F"/>
    <w:rsid w:val="005E3C51"/>
    <w:rsid w:val="005E3CD8"/>
    <w:rsid w:val="005E3DEE"/>
    <w:rsid w:val="005E49B8"/>
    <w:rsid w:val="005E4A28"/>
    <w:rsid w:val="005E507D"/>
    <w:rsid w:val="005E5CED"/>
    <w:rsid w:val="005E6AA4"/>
    <w:rsid w:val="005E6D8F"/>
    <w:rsid w:val="005E6E7B"/>
    <w:rsid w:val="005E7138"/>
    <w:rsid w:val="005E73F3"/>
    <w:rsid w:val="005E741D"/>
    <w:rsid w:val="005E7692"/>
    <w:rsid w:val="005E7813"/>
    <w:rsid w:val="005E7EFB"/>
    <w:rsid w:val="005F001C"/>
    <w:rsid w:val="005F089C"/>
    <w:rsid w:val="005F101D"/>
    <w:rsid w:val="005F13A4"/>
    <w:rsid w:val="005F1CB0"/>
    <w:rsid w:val="005F22CE"/>
    <w:rsid w:val="005F23FA"/>
    <w:rsid w:val="005F2907"/>
    <w:rsid w:val="005F2C24"/>
    <w:rsid w:val="005F2DE3"/>
    <w:rsid w:val="005F2EF7"/>
    <w:rsid w:val="005F338B"/>
    <w:rsid w:val="005F33BB"/>
    <w:rsid w:val="005F35BB"/>
    <w:rsid w:val="005F367B"/>
    <w:rsid w:val="005F36B2"/>
    <w:rsid w:val="005F3A24"/>
    <w:rsid w:val="005F3EE7"/>
    <w:rsid w:val="005F40CA"/>
    <w:rsid w:val="005F44B7"/>
    <w:rsid w:val="005F477F"/>
    <w:rsid w:val="005F47D6"/>
    <w:rsid w:val="005F4B7D"/>
    <w:rsid w:val="005F4E9F"/>
    <w:rsid w:val="005F4F70"/>
    <w:rsid w:val="005F5335"/>
    <w:rsid w:val="005F5585"/>
    <w:rsid w:val="005F591B"/>
    <w:rsid w:val="005F5B30"/>
    <w:rsid w:val="005F5B31"/>
    <w:rsid w:val="005F5EF3"/>
    <w:rsid w:val="005F5EFB"/>
    <w:rsid w:val="005F600C"/>
    <w:rsid w:val="005F63C4"/>
    <w:rsid w:val="005F65D6"/>
    <w:rsid w:val="005F661D"/>
    <w:rsid w:val="005F6A8B"/>
    <w:rsid w:val="005F6EA8"/>
    <w:rsid w:val="005F78F0"/>
    <w:rsid w:val="005F7B22"/>
    <w:rsid w:val="0060052D"/>
    <w:rsid w:val="00600C3D"/>
    <w:rsid w:val="00600F28"/>
    <w:rsid w:val="006011FA"/>
    <w:rsid w:val="0060135F"/>
    <w:rsid w:val="00601BC2"/>
    <w:rsid w:val="0060206F"/>
    <w:rsid w:val="00602166"/>
    <w:rsid w:val="006024AF"/>
    <w:rsid w:val="0060255B"/>
    <w:rsid w:val="006028A0"/>
    <w:rsid w:val="00602912"/>
    <w:rsid w:val="006029EC"/>
    <w:rsid w:val="00602C0F"/>
    <w:rsid w:val="00602E53"/>
    <w:rsid w:val="00602F30"/>
    <w:rsid w:val="00603F0A"/>
    <w:rsid w:val="0060405B"/>
    <w:rsid w:val="00604277"/>
    <w:rsid w:val="00604C2B"/>
    <w:rsid w:val="00604C3A"/>
    <w:rsid w:val="006050BD"/>
    <w:rsid w:val="0060551A"/>
    <w:rsid w:val="00605B53"/>
    <w:rsid w:val="00605E2D"/>
    <w:rsid w:val="00605FDB"/>
    <w:rsid w:val="00606077"/>
    <w:rsid w:val="00606D58"/>
    <w:rsid w:val="00606F22"/>
    <w:rsid w:val="00607255"/>
    <w:rsid w:val="006076AA"/>
    <w:rsid w:val="006076FA"/>
    <w:rsid w:val="00607CC9"/>
    <w:rsid w:val="00607D91"/>
    <w:rsid w:val="00611998"/>
    <w:rsid w:val="0061295D"/>
    <w:rsid w:val="00612B4F"/>
    <w:rsid w:val="00612B8D"/>
    <w:rsid w:val="0061343A"/>
    <w:rsid w:val="006134DA"/>
    <w:rsid w:val="00614001"/>
    <w:rsid w:val="0061422C"/>
    <w:rsid w:val="00615704"/>
    <w:rsid w:val="00615818"/>
    <w:rsid w:val="00616FFA"/>
    <w:rsid w:val="0061728F"/>
    <w:rsid w:val="00620086"/>
    <w:rsid w:val="006202C2"/>
    <w:rsid w:val="00620828"/>
    <w:rsid w:val="00620FCA"/>
    <w:rsid w:val="00621413"/>
    <w:rsid w:val="006214FC"/>
    <w:rsid w:val="00621633"/>
    <w:rsid w:val="0062177A"/>
    <w:rsid w:val="0062188E"/>
    <w:rsid w:val="00621BED"/>
    <w:rsid w:val="00622780"/>
    <w:rsid w:val="00622911"/>
    <w:rsid w:val="006231F7"/>
    <w:rsid w:val="00623592"/>
    <w:rsid w:val="0062374D"/>
    <w:rsid w:val="00623AD6"/>
    <w:rsid w:val="00623CFF"/>
    <w:rsid w:val="00623F37"/>
    <w:rsid w:val="0062537A"/>
    <w:rsid w:val="006253BE"/>
    <w:rsid w:val="00625643"/>
    <w:rsid w:val="00625E20"/>
    <w:rsid w:val="0062632E"/>
    <w:rsid w:val="00626337"/>
    <w:rsid w:val="0062693D"/>
    <w:rsid w:val="00626DAA"/>
    <w:rsid w:val="00626E64"/>
    <w:rsid w:val="00630299"/>
    <w:rsid w:val="0063039D"/>
    <w:rsid w:val="0063096F"/>
    <w:rsid w:val="00630EC7"/>
    <w:rsid w:val="006310D6"/>
    <w:rsid w:val="0063110B"/>
    <w:rsid w:val="00631275"/>
    <w:rsid w:val="0063135C"/>
    <w:rsid w:val="006314FC"/>
    <w:rsid w:val="006317C5"/>
    <w:rsid w:val="0063180E"/>
    <w:rsid w:val="006318E1"/>
    <w:rsid w:val="00631C93"/>
    <w:rsid w:val="0063278E"/>
    <w:rsid w:val="00632ED6"/>
    <w:rsid w:val="0063418D"/>
    <w:rsid w:val="0063462A"/>
    <w:rsid w:val="006348EE"/>
    <w:rsid w:val="00634B66"/>
    <w:rsid w:val="00634C52"/>
    <w:rsid w:val="00634CCC"/>
    <w:rsid w:val="00634FDC"/>
    <w:rsid w:val="00635013"/>
    <w:rsid w:val="0063509B"/>
    <w:rsid w:val="00635845"/>
    <w:rsid w:val="00635BCE"/>
    <w:rsid w:val="00635C16"/>
    <w:rsid w:val="00635C2B"/>
    <w:rsid w:val="00636171"/>
    <w:rsid w:val="006365BC"/>
    <w:rsid w:val="00636684"/>
    <w:rsid w:val="006366FF"/>
    <w:rsid w:val="00636C32"/>
    <w:rsid w:val="00636E0A"/>
    <w:rsid w:val="00637055"/>
    <w:rsid w:val="0063773C"/>
    <w:rsid w:val="00637860"/>
    <w:rsid w:val="0063799B"/>
    <w:rsid w:val="00637BB6"/>
    <w:rsid w:val="00640100"/>
    <w:rsid w:val="00640366"/>
    <w:rsid w:val="00640713"/>
    <w:rsid w:val="00640A4E"/>
    <w:rsid w:val="00640BA5"/>
    <w:rsid w:val="0064121B"/>
    <w:rsid w:val="00641588"/>
    <w:rsid w:val="0064160F"/>
    <w:rsid w:val="0064176F"/>
    <w:rsid w:val="006419CA"/>
    <w:rsid w:val="00641E34"/>
    <w:rsid w:val="006425D5"/>
    <w:rsid w:val="006427CF"/>
    <w:rsid w:val="0064348E"/>
    <w:rsid w:val="00643730"/>
    <w:rsid w:val="00643A94"/>
    <w:rsid w:val="00644053"/>
    <w:rsid w:val="006441B0"/>
    <w:rsid w:val="006444FB"/>
    <w:rsid w:val="006445B8"/>
    <w:rsid w:val="006449C8"/>
    <w:rsid w:val="00644C2D"/>
    <w:rsid w:val="00644CF4"/>
    <w:rsid w:val="0064574A"/>
    <w:rsid w:val="00645EE4"/>
    <w:rsid w:val="00646199"/>
    <w:rsid w:val="00646E75"/>
    <w:rsid w:val="0064727A"/>
    <w:rsid w:val="0064763E"/>
    <w:rsid w:val="00647C12"/>
    <w:rsid w:val="006502A8"/>
    <w:rsid w:val="00650457"/>
    <w:rsid w:val="00650CCE"/>
    <w:rsid w:val="00650CDF"/>
    <w:rsid w:val="00651242"/>
    <w:rsid w:val="00651279"/>
    <w:rsid w:val="006513EB"/>
    <w:rsid w:val="006515EA"/>
    <w:rsid w:val="00651C8B"/>
    <w:rsid w:val="00651DF9"/>
    <w:rsid w:val="00651E4D"/>
    <w:rsid w:val="006522B3"/>
    <w:rsid w:val="0065232B"/>
    <w:rsid w:val="006524F1"/>
    <w:rsid w:val="00652603"/>
    <w:rsid w:val="006527C9"/>
    <w:rsid w:val="00652FAF"/>
    <w:rsid w:val="00653B6E"/>
    <w:rsid w:val="00654378"/>
    <w:rsid w:val="006544A3"/>
    <w:rsid w:val="006544CD"/>
    <w:rsid w:val="0065470F"/>
    <w:rsid w:val="00654B08"/>
    <w:rsid w:val="00654C5E"/>
    <w:rsid w:val="006559AC"/>
    <w:rsid w:val="0065614D"/>
    <w:rsid w:val="00656218"/>
    <w:rsid w:val="00656A10"/>
    <w:rsid w:val="00657097"/>
    <w:rsid w:val="00657D9C"/>
    <w:rsid w:val="00657FFC"/>
    <w:rsid w:val="006602C7"/>
    <w:rsid w:val="006602CF"/>
    <w:rsid w:val="006603A5"/>
    <w:rsid w:val="00660412"/>
    <w:rsid w:val="00660700"/>
    <w:rsid w:val="00660A24"/>
    <w:rsid w:val="00660F6C"/>
    <w:rsid w:val="00661378"/>
    <w:rsid w:val="00661A4D"/>
    <w:rsid w:val="00661A83"/>
    <w:rsid w:val="00661D78"/>
    <w:rsid w:val="00661E49"/>
    <w:rsid w:val="00662681"/>
    <w:rsid w:val="006627DC"/>
    <w:rsid w:val="00662BDC"/>
    <w:rsid w:val="00663072"/>
    <w:rsid w:val="0066371D"/>
    <w:rsid w:val="0066386C"/>
    <w:rsid w:val="00663A00"/>
    <w:rsid w:val="00664136"/>
    <w:rsid w:val="006643AA"/>
    <w:rsid w:val="006646D4"/>
    <w:rsid w:val="006648B3"/>
    <w:rsid w:val="00664AD2"/>
    <w:rsid w:val="00664FB8"/>
    <w:rsid w:val="00665001"/>
    <w:rsid w:val="00665094"/>
    <w:rsid w:val="006659F5"/>
    <w:rsid w:val="0066602E"/>
    <w:rsid w:val="006661EB"/>
    <w:rsid w:val="00666FAD"/>
    <w:rsid w:val="0066766C"/>
    <w:rsid w:val="00667801"/>
    <w:rsid w:val="00667A07"/>
    <w:rsid w:val="00670253"/>
    <w:rsid w:val="006703BA"/>
    <w:rsid w:val="00670475"/>
    <w:rsid w:val="006704B0"/>
    <w:rsid w:val="006704BD"/>
    <w:rsid w:val="00670964"/>
    <w:rsid w:val="00670F91"/>
    <w:rsid w:val="00671AE4"/>
    <w:rsid w:val="00671BD9"/>
    <w:rsid w:val="00672231"/>
    <w:rsid w:val="0067340B"/>
    <w:rsid w:val="00673789"/>
    <w:rsid w:val="00673D50"/>
    <w:rsid w:val="00673E86"/>
    <w:rsid w:val="00674289"/>
    <w:rsid w:val="00674981"/>
    <w:rsid w:val="00674B52"/>
    <w:rsid w:val="00675104"/>
    <w:rsid w:val="00675C2A"/>
    <w:rsid w:val="00676299"/>
    <w:rsid w:val="00676DB3"/>
    <w:rsid w:val="0067709B"/>
    <w:rsid w:val="006774FD"/>
    <w:rsid w:val="006775E5"/>
    <w:rsid w:val="00677A59"/>
    <w:rsid w:val="00680208"/>
    <w:rsid w:val="00680AF1"/>
    <w:rsid w:val="0068116D"/>
    <w:rsid w:val="0068125F"/>
    <w:rsid w:val="00681CD8"/>
    <w:rsid w:val="0068222C"/>
    <w:rsid w:val="006824EF"/>
    <w:rsid w:val="0068252F"/>
    <w:rsid w:val="00682562"/>
    <w:rsid w:val="00682755"/>
    <w:rsid w:val="0068292B"/>
    <w:rsid w:val="006829EB"/>
    <w:rsid w:val="00682D99"/>
    <w:rsid w:val="00682EDE"/>
    <w:rsid w:val="006831D7"/>
    <w:rsid w:val="006832E9"/>
    <w:rsid w:val="00683840"/>
    <w:rsid w:val="006838F5"/>
    <w:rsid w:val="0068394D"/>
    <w:rsid w:val="00683BEC"/>
    <w:rsid w:val="00683CDE"/>
    <w:rsid w:val="006842E9"/>
    <w:rsid w:val="0068449A"/>
    <w:rsid w:val="00684925"/>
    <w:rsid w:val="006854D4"/>
    <w:rsid w:val="00685C01"/>
    <w:rsid w:val="0068617A"/>
    <w:rsid w:val="006864D7"/>
    <w:rsid w:val="00687151"/>
    <w:rsid w:val="0068775C"/>
    <w:rsid w:val="0068778F"/>
    <w:rsid w:val="00687933"/>
    <w:rsid w:val="006902DA"/>
    <w:rsid w:val="00690378"/>
    <w:rsid w:val="00690828"/>
    <w:rsid w:val="0069087F"/>
    <w:rsid w:val="006908A5"/>
    <w:rsid w:val="00690955"/>
    <w:rsid w:val="00690B0A"/>
    <w:rsid w:val="00691144"/>
    <w:rsid w:val="00691BCA"/>
    <w:rsid w:val="00691F70"/>
    <w:rsid w:val="00691FED"/>
    <w:rsid w:val="006924F6"/>
    <w:rsid w:val="006925BA"/>
    <w:rsid w:val="00692D70"/>
    <w:rsid w:val="006930DD"/>
    <w:rsid w:val="00693240"/>
    <w:rsid w:val="00693265"/>
    <w:rsid w:val="006933F6"/>
    <w:rsid w:val="00693985"/>
    <w:rsid w:val="00693BDC"/>
    <w:rsid w:val="00693DE2"/>
    <w:rsid w:val="00694238"/>
    <w:rsid w:val="00694BD4"/>
    <w:rsid w:val="00694D35"/>
    <w:rsid w:val="00694EBA"/>
    <w:rsid w:val="00695216"/>
    <w:rsid w:val="00695481"/>
    <w:rsid w:val="006954FB"/>
    <w:rsid w:val="00695E16"/>
    <w:rsid w:val="00695EFD"/>
    <w:rsid w:val="00695F1D"/>
    <w:rsid w:val="0069636C"/>
    <w:rsid w:val="0069637D"/>
    <w:rsid w:val="0069655E"/>
    <w:rsid w:val="0069686C"/>
    <w:rsid w:val="006968DC"/>
    <w:rsid w:val="00696FAA"/>
    <w:rsid w:val="00697687"/>
    <w:rsid w:val="006977ED"/>
    <w:rsid w:val="00697D15"/>
    <w:rsid w:val="006A0150"/>
    <w:rsid w:val="006A0948"/>
    <w:rsid w:val="006A1062"/>
    <w:rsid w:val="006A13E4"/>
    <w:rsid w:val="006A15A2"/>
    <w:rsid w:val="006A16C7"/>
    <w:rsid w:val="006A18E3"/>
    <w:rsid w:val="006A193F"/>
    <w:rsid w:val="006A1B06"/>
    <w:rsid w:val="006A1B18"/>
    <w:rsid w:val="006A1E3E"/>
    <w:rsid w:val="006A25A8"/>
    <w:rsid w:val="006A2897"/>
    <w:rsid w:val="006A29C0"/>
    <w:rsid w:val="006A2B58"/>
    <w:rsid w:val="006A32B6"/>
    <w:rsid w:val="006A3BF0"/>
    <w:rsid w:val="006A3D17"/>
    <w:rsid w:val="006A3F2D"/>
    <w:rsid w:val="006A3F77"/>
    <w:rsid w:val="006A4037"/>
    <w:rsid w:val="006A45FA"/>
    <w:rsid w:val="006A486D"/>
    <w:rsid w:val="006A511D"/>
    <w:rsid w:val="006A5311"/>
    <w:rsid w:val="006A5386"/>
    <w:rsid w:val="006A5DEF"/>
    <w:rsid w:val="006A6099"/>
    <w:rsid w:val="006A63F1"/>
    <w:rsid w:val="006A6402"/>
    <w:rsid w:val="006A682F"/>
    <w:rsid w:val="006A68CA"/>
    <w:rsid w:val="006A70A6"/>
    <w:rsid w:val="006A7CF0"/>
    <w:rsid w:val="006B0DA8"/>
    <w:rsid w:val="006B0E52"/>
    <w:rsid w:val="006B1567"/>
    <w:rsid w:val="006B1EDE"/>
    <w:rsid w:val="006B2290"/>
    <w:rsid w:val="006B2546"/>
    <w:rsid w:val="006B25EA"/>
    <w:rsid w:val="006B2647"/>
    <w:rsid w:val="006B2F5D"/>
    <w:rsid w:val="006B3209"/>
    <w:rsid w:val="006B3513"/>
    <w:rsid w:val="006B35B0"/>
    <w:rsid w:val="006B3AEE"/>
    <w:rsid w:val="006B4A71"/>
    <w:rsid w:val="006B4FF5"/>
    <w:rsid w:val="006B5C06"/>
    <w:rsid w:val="006B609D"/>
    <w:rsid w:val="006B6854"/>
    <w:rsid w:val="006B6CF7"/>
    <w:rsid w:val="006B6FF1"/>
    <w:rsid w:val="006B7147"/>
    <w:rsid w:val="006B7218"/>
    <w:rsid w:val="006B748E"/>
    <w:rsid w:val="006B75D6"/>
    <w:rsid w:val="006B793A"/>
    <w:rsid w:val="006C0120"/>
    <w:rsid w:val="006C02C3"/>
    <w:rsid w:val="006C0880"/>
    <w:rsid w:val="006C0B21"/>
    <w:rsid w:val="006C0B54"/>
    <w:rsid w:val="006C0D26"/>
    <w:rsid w:val="006C11FC"/>
    <w:rsid w:val="006C121A"/>
    <w:rsid w:val="006C17BA"/>
    <w:rsid w:val="006C18ED"/>
    <w:rsid w:val="006C1AE6"/>
    <w:rsid w:val="006C1F1D"/>
    <w:rsid w:val="006C1F8C"/>
    <w:rsid w:val="006C23B1"/>
    <w:rsid w:val="006C24B5"/>
    <w:rsid w:val="006C26D8"/>
    <w:rsid w:val="006C2807"/>
    <w:rsid w:val="006C3166"/>
    <w:rsid w:val="006C36C2"/>
    <w:rsid w:val="006C36E7"/>
    <w:rsid w:val="006C38D8"/>
    <w:rsid w:val="006C3A1A"/>
    <w:rsid w:val="006C3AEB"/>
    <w:rsid w:val="006C3DA3"/>
    <w:rsid w:val="006C41EB"/>
    <w:rsid w:val="006C448B"/>
    <w:rsid w:val="006C460A"/>
    <w:rsid w:val="006C4620"/>
    <w:rsid w:val="006C49F3"/>
    <w:rsid w:val="006C4A7B"/>
    <w:rsid w:val="006C4DE1"/>
    <w:rsid w:val="006C4E5B"/>
    <w:rsid w:val="006C56DA"/>
    <w:rsid w:val="006C5B9B"/>
    <w:rsid w:val="006C5BC5"/>
    <w:rsid w:val="006C5CB5"/>
    <w:rsid w:val="006C615D"/>
    <w:rsid w:val="006C63AC"/>
    <w:rsid w:val="006C67EB"/>
    <w:rsid w:val="006C689A"/>
    <w:rsid w:val="006C6ED3"/>
    <w:rsid w:val="006C6F8F"/>
    <w:rsid w:val="006C74B2"/>
    <w:rsid w:val="006C7D8A"/>
    <w:rsid w:val="006D079A"/>
    <w:rsid w:val="006D0AD7"/>
    <w:rsid w:val="006D113B"/>
    <w:rsid w:val="006D155D"/>
    <w:rsid w:val="006D18E3"/>
    <w:rsid w:val="006D1908"/>
    <w:rsid w:val="006D236C"/>
    <w:rsid w:val="006D2442"/>
    <w:rsid w:val="006D280D"/>
    <w:rsid w:val="006D2917"/>
    <w:rsid w:val="006D2E06"/>
    <w:rsid w:val="006D34B8"/>
    <w:rsid w:val="006D3F73"/>
    <w:rsid w:val="006D3FED"/>
    <w:rsid w:val="006D3FFA"/>
    <w:rsid w:val="006D40C0"/>
    <w:rsid w:val="006D48FA"/>
    <w:rsid w:val="006D4ACE"/>
    <w:rsid w:val="006D4E68"/>
    <w:rsid w:val="006D51A3"/>
    <w:rsid w:val="006D554F"/>
    <w:rsid w:val="006D56CE"/>
    <w:rsid w:val="006D5854"/>
    <w:rsid w:val="006D6C50"/>
    <w:rsid w:val="006D6FBA"/>
    <w:rsid w:val="006D7359"/>
    <w:rsid w:val="006E00EC"/>
    <w:rsid w:val="006E02A5"/>
    <w:rsid w:val="006E0465"/>
    <w:rsid w:val="006E0582"/>
    <w:rsid w:val="006E07C5"/>
    <w:rsid w:val="006E1750"/>
    <w:rsid w:val="006E1AA5"/>
    <w:rsid w:val="006E1AB4"/>
    <w:rsid w:val="006E1B63"/>
    <w:rsid w:val="006E1F08"/>
    <w:rsid w:val="006E23C3"/>
    <w:rsid w:val="006E31AE"/>
    <w:rsid w:val="006E3244"/>
    <w:rsid w:val="006E391D"/>
    <w:rsid w:val="006E3DB5"/>
    <w:rsid w:val="006E4A84"/>
    <w:rsid w:val="006E50CB"/>
    <w:rsid w:val="006E510B"/>
    <w:rsid w:val="006E5297"/>
    <w:rsid w:val="006E693A"/>
    <w:rsid w:val="006E6D14"/>
    <w:rsid w:val="006E6D7D"/>
    <w:rsid w:val="006E6D7F"/>
    <w:rsid w:val="006E6F37"/>
    <w:rsid w:val="006E7367"/>
    <w:rsid w:val="006E73D8"/>
    <w:rsid w:val="006F07D8"/>
    <w:rsid w:val="006F07E0"/>
    <w:rsid w:val="006F0F77"/>
    <w:rsid w:val="006F1102"/>
    <w:rsid w:val="006F22E1"/>
    <w:rsid w:val="006F23FD"/>
    <w:rsid w:val="006F25CE"/>
    <w:rsid w:val="006F2927"/>
    <w:rsid w:val="006F3467"/>
    <w:rsid w:val="006F420B"/>
    <w:rsid w:val="006F4620"/>
    <w:rsid w:val="006F47EE"/>
    <w:rsid w:val="006F4A6D"/>
    <w:rsid w:val="006F4BB2"/>
    <w:rsid w:val="006F504A"/>
    <w:rsid w:val="006F5277"/>
    <w:rsid w:val="006F540E"/>
    <w:rsid w:val="006F574F"/>
    <w:rsid w:val="006F5930"/>
    <w:rsid w:val="006F5F74"/>
    <w:rsid w:val="006F63B1"/>
    <w:rsid w:val="006F6E04"/>
    <w:rsid w:val="006F6F0F"/>
    <w:rsid w:val="006F746D"/>
    <w:rsid w:val="006F74FF"/>
    <w:rsid w:val="006F7687"/>
    <w:rsid w:val="006F768E"/>
    <w:rsid w:val="006F79C3"/>
    <w:rsid w:val="006F7A12"/>
    <w:rsid w:val="0070034D"/>
    <w:rsid w:val="007003C3"/>
    <w:rsid w:val="007004BF"/>
    <w:rsid w:val="00700513"/>
    <w:rsid w:val="00700857"/>
    <w:rsid w:val="00701299"/>
    <w:rsid w:val="00701457"/>
    <w:rsid w:val="007015AF"/>
    <w:rsid w:val="00701D30"/>
    <w:rsid w:val="00701DE9"/>
    <w:rsid w:val="00701E2D"/>
    <w:rsid w:val="0070216B"/>
    <w:rsid w:val="00702B99"/>
    <w:rsid w:val="00702C5E"/>
    <w:rsid w:val="00703049"/>
    <w:rsid w:val="00703087"/>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23F"/>
    <w:rsid w:val="00711415"/>
    <w:rsid w:val="00711AC4"/>
    <w:rsid w:val="00711AD3"/>
    <w:rsid w:val="00712507"/>
    <w:rsid w:val="0071258C"/>
    <w:rsid w:val="00712E99"/>
    <w:rsid w:val="007130F9"/>
    <w:rsid w:val="007133DE"/>
    <w:rsid w:val="00713876"/>
    <w:rsid w:val="00713D84"/>
    <w:rsid w:val="00713DD2"/>
    <w:rsid w:val="00713E2F"/>
    <w:rsid w:val="007142BD"/>
    <w:rsid w:val="0071470C"/>
    <w:rsid w:val="007147AF"/>
    <w:rsid w:val="00714B81"/>
    <w:rsid w:val="007155E3"/>
    <w:rsid w:val="007158CC"/>
    <w:rsid w:val="00715B3C"/>
    <w:rsid w:val="00715C06"/>
    <w:rsid w:val="00715D1B"/>
    <w:rsid w:val="00715E45"/>
    <w:rsid w:val="0071609A"/>
    <w:rsid w:val="00716130"/>
    <w:rsid w:val="007169EA"/>
    <w:rsid w:val="00716B96"/>
    <w:rsid w:val="00716CD9"/>
    <w:rsid w:val="00716E79"/>
    <w:rsid w:val="00716E95"/>
    <w:rsid w:val="00716EE5"/>
    <w:rsid w:val="00716FE9"/>
    <w:rsid w:val="007171A6"/>
    <w:rsid w:val="0071756B"/>
    <w:rsid w:val="007176BE"/>
    <w:rsid w:val="00717F9A"/>
    <w:rsid w:val="00720226"/>
    <w:rsid w:val="007209CF"/>
    <w:rsid w:val="007209E7"/>
    <w:rsid w:val="00720F1A"/>
    <w:rsid w:val="00721099"/>
    <w:rsid w:val="00721495"/>
    <w:rsid w:val="007214A0"/>
    <w:rsid w:val="007220B4"/>
    <w:rsid w:val="007223E2"/>
    <w:rsid w:val="00722414"/>
    <w:rsid w:val="00722A57"/>
    <w:rsid w:val="00723383"/>
    <w:rsid w:val="00723729"/>
    <w:rsid w:val="00723D67"/>
    <w:rsid w:val="00723E30"/>
    <w:rsid w:val="00723EDA"/>
    <w:rsid w:val="0072412D"/>
    <w:rsid w:val="007241E9"/>
    <w:rsid w:val="007242AA"/>
    <w:rsid w:val="00724399"/>
    <w:rsid w:val="0072464E"/>
    <w:rsid w:val="00724837"/>
    <w:rsid w:val="00724891"/>
    <w:rsid w:val="00724ADB"/>
    <w:rsid w:val="0072528D"/>
    <w:rsid w:val="00725D61"/>
    <w:rsid w:val="00726206"/>
    <w:rsid w:val="0072669C"/>
    <w:rsid w:val="00726758"/>
    <w:rsid w:val="0072696F"/>
    <w:rsid w:val="00726A64"/>
    <w:rsid w:val="00726C30"/>
    <w:rsid w:val="0072722A"/>
    <w:rsid w:val="00727955"/>
    <w:rsid w:val="00730A55"/>
    <w:rsid w:val="00730B84"/>
    <w:rsid w:val="00730E01"/>
    <w:rsid w:val="00731124"/>
    <w:rsid w:val="00731B27"/>
    <w:rsid w:val="00732539"/>
    <w:rsid w:val="00732A3C"/>
    <w:rsid w:val="00732B49"/>
    <w:rsid w:val="007334A8"/>
    <w:rsid w:val="00733A93"/>
    <w:rsid w:val="00733DF2"/>
    <w:rsid w:val="00734271"/>
    <w:rsid w:val="00734428"/>
    <w:rsid w:val="00734A8D"/>
    <w:rsid w:val="00734E3C"/>
    <w:rsid w:val="00734F11"/>
    <w:rsid w:val="0073514D"/>
    <w:rsid w:val="00735689"/>
    <w:rsid w:val="00735796"/>
    <w:rsid w:val="00735A62"/>
    <w:rsid w:val="00735BFC"/>
    <w:rsid w:val="00735C85"/>
    <w:rsid w:val="00735F18"/>
    <w:rsid w:val="00736885"/>
    <w:rsid w:val="00736AA7"/>
    <w:rsid w:val="00736E13"/>
    <w:rsid w:val="00736F2D"/>
    <w:rsid w:val="0073705B"/>
    <w:rsid w:val="0073758C"/>
    <w:rsid w:val="00737653"/>
    <w:rsid w:val="007377FC"/>
    <w:rsid w:val="00737B66"/>
    <w:rsid w:val="00740204"/>
    <w:rsid w:val="007405FC"/>
    <w:rsid w:val="0074074F"/>
    <w:rsid w:val="00740776"/>
    <w:rsid w:val="00740B57"/>
    <w:rsid w:val="007415F0"/>
    <w:rsid w:val="0074197C"/>
    <w:rsid w:val="00741B98"/>
    <w:rsid w:val="00741D65"/>
    <w:rsid w:val="00741D8F"/>
    <w:rsid w:val="00741FB1"/>
    <w:rsid w:val="007421C1"/>
    <w:rsid w:val="00742539"/>
    <w:rsid w:val="00742658"/>
    <w:rsid w:val="00743081"/>
    <w:rsid w:val="00743166"/>
    <w:rsid w:val="0074325E"/>
    <w:rsid w:val="007433C9"/>
    <w:rsid w:val="00743718"/>
    <w:rsid w:val="007437B1"/>
    <w:rsid w:val="00743B00"/>
    <w:rsid w:val="00743B25"/>
    <w:rsid w:val="00743B28"/>
    <w:rsid w:val="00744183"/>
    <w:rsid w:val="0074437B"/>
    <w:rsid w:val="00744606"/>
    <w:rsid w:val="007449A3"/>
    <w:rsid w:val="00744CE0"/>
    <w:rsid w:val="007451F4"/>
    <w:rsid w:val="00745758"/>
    <w:rsid w:val="007459CA"/>
    <w:rsid w:val="00745DB5"/>
    <w:rsid w:val="007463B0"/>
    <w:rsid w:val="007464E9"/>
    <w:rsid w:val="00746612"/>
    <w:rsid w:val="00746A45"/>
    <w:rsid w:val="00746CE3"/>
    <w:rsid w:val="00746CF2"/>
    <w:rsid w:val="00746E90"/>
    <w:rsid w:val="0074726A"/>
    <w:rsid w:val="00747827"/>
    <w:rsid w:val="00747B92"/>
    <w:rsid w:val="00747C1F"/>
    <w:rsid w:val="00747FE7"/>
    <w:rsid w:val="0075062D"/>
    <w:rsid w:val="00750DC4"/>
    <w:rsid w:val="00750F8C"/>
    <w:rsid w:val="007513BB"/>
    <w:rsid w:val="007513DE"/>
    <w:rsid w:val="00751429"/>
    <w:rsid w:val="0075184E"/>
    <w:rsid w:val="00751C4F"/>
    <w:rsid w:val="00751D8A"/>
    <w:rsid w:val="00752C3E"/>
    <w:rsid w:val="00753226"/>
    <w:rsid w:val="00753804"/>
    <w:rsid w:val="00753A41"/>
    <w:rsid w:val="00754473"/>
    <w:rsid w:val="00754AC7"/>
    <w:rsid w:val="00754F72"/>
    <w:rsid w:val="00755287"/>
    <w:rsid w:val="0075536B"/>
    <w:rsid w:val="00755384"/>
    <w:rsid w:val="007554F1"/>
    <w:rsid w:val="007559F6"/>
    <w:rsid w:val="00755BDE"/>
    <w:rsid w:val="00755C07"/>
    <w:rsid w:val="00755C74"/>
    <w:rsid w:val="00755D96"/>
    <w:rsid w:val="00756009"/>
    <w:rsid w:val="00756437"/>
    <w:rsid w:val="007566A5"/>
    <w:rsid w:val="0075675F"/>
    <w:rsid w:val="00756806"/>
    <w:rsid w:val="00756D2C"/>
    <w:rsid w:val="007572EC"/>
    <w:rsid w:val="00757677"/>
    <w:rsid w:val="007576B9"/>
    <w:rsid w:val="0075795D"/>
    <w:rsid w:val="00757B2C"/>
    <w:rsid w:val="00757C5B"/>
    <w:rsid w:val="0076008A"/>
    <w:rsid w:val="00760213"/>
    <w:rsid w:val="00760462"/>
    <w:rsid w:val="007605D7"/>
    <w:rsid w:val="0076068D"/>
    <w:rsid w:val="0076070A"/>
    <w:rsid w:val="007609B4"/>
    <w:rsid w:val="00760CD6"/>
    <w:rsid w:val="007612EE"/>
    <w:rsid w:val="00761351"/>
    <w:rsid w:val="0076137F"/>
    <w:rsid w:val="00761C5E"/>
    <w:rsid w:val="00761F66"/>
    <w:rsid w:val="00762217"/>
    <w:rsid w:val="0076289A"/>
    <w:rsid w:val="00762AB6"/>
    <w:rsid w:val="0076334F"/>
    <w:rsid w:val="00763880"/>
    <w:rsid w:val="00764769"/>
    <w:rsid w:val="007648F1"/>
    <w:rsid w:val="00764A1D"/>
    <w:rsid w:val="00764E2F"/>
    <w:rsid w:val="00764EB6"/>
    <w:rsid w:val="00766E4C"/>
    <w:rsid w:val="00766EC6"/>
    <w:rsid w:val="007670D3"/>
    <w:rsid w:val="00767289"/>
    <w:rsid w:val="007674F1"/>
    <w:rsid w:val="007674FC"/>
    <w:rsid w:val="00767BD5"/>
    <w:rsid w:val="00767BD9"/>
    <w:rsid w:val="00767DBE"/>
    <w:rsid w:val="007700EC"/>
    <w:rsid w:val="00770B2D"/>
    <w:rsid w:val="00770DE8"/>
    <w:rsid w:val="007710BC"/>
    <w:rsid w:val="00771307"/>
    <w:rsid w:val="0077155D"/>
    <w:rsid w:val="007717D1"/>
    <w:rsid w:val="00771C1E"/>
    <w:rsid w:val="007723D9"/>
    <w:rsid w:val="0077250D"/>
    <w:rsid w:val="0077287A"/>
    <w:rsid w:val="0077351B"/>
    <w:rsid w:val="00773874"/>
    <w:rsid w:val="00773E28"/>
    <w:rsid w:val="00773FC1"/>
    <w:rsid w:val="0077401F"/>
    <w:rsid w:val="007749CA"/>
    <w:rsid w:val="00774C80"/>
    <w:rsid w:val="00774CA9"/>
    <w:rsid w:val="00774EC1"/>
    <w:rsid w:val="00774EEB"/>
    <w:rsid w:val="00774FFD"/>
    <w:rsid w:val="00775123"/>
    <w:rsid w:val="007751CA"/>
    <w:rsid w:val="0077528C"/>
    <w:rsid w:val="0077543D"/>
    <w:rsid w:val="00775476"/>
    <w:rsid w:val="00775529"/>
    <w:rsid w:val="007756F5"/>
    <w:rsid w:val="00775E0B"/>
    <w:rsid w:val="00776008"/>
    <w:rsid w:val="00776E90"/>
    <w:rsid w:val="00777735"/>
    <w:rsid w:val="0077786E"/>
    <w:rsid w:val="00777B40"/>
    <w:rsid w:val="00777E52"/>
    <w:rsid w:val="00777EAF"/>
    <w:rsid w:val="007805D0"/>
    <w:rsid w:val="0078094C"/>
    <w:rsid w:val="00780E57"/>
    <w:rsid w:val="00781133"/>
    <w:rsid w:val="00781155"/>
    <w:rsid w:val="00781316"/>
    <w:rsid w:val="00782386"/>
    <w:rsid w:val="00782B4D"/>
    <w:rsid w:val="00782CA0"/>
    <w:rsid w:val="00782F36"/>
    <w:rsid w:val="007832CB"/>
    <w:rsid w:val="0078391B"/>
    <w:rsid w:val="00783CFC"/>
    <w:rsid w:val="00783DC9"/>
    <w:rsid w:val="00783FE7"/>
    <w:rsid w:val="007842B0"/>
    <w:rsid w:val="007843B1"/>
    <w:rsid w:val="00784818"/>
    <w:rsid w:val="00784994"/>
    <w:rsid w:val="00785721"/>
    <w:rsid w:val="00785EA2"/>
    <w:rsid w:val="0078607E"/>
    <w:rsid w:val="0078610E"/>
    <w:rsid w:val="007862BF"/>
    <w:rsid w:val="00786302"/>
    <w:rsid w:val="00786CDC"/>
    <w:rsid w:val="00786DBA"/>
    <w:rsid w:val="00786F86"/>
    <w:rsid w:val="00787EEF"/>
    <w:rsid w:val="0079033E"/>
    <w:rsid w:val="007910C2"/>
    <w:rsid w:val="00791F2A"/>
    <w:rsid w:val="007924F5"/>
    <w:rsid w:val="007926C1"/>
    <w:rsid w:val="00792B8A"/>
    <w:rsid w:val="00792EFB"/>
    <w:rsid w:val="00792F6E"/>
    <w:rsid w:val="00792FE3"/>
    <w:rsid w:val="00793312"/>
    <w:rsid w:val="00793F31"/>
    <w:rsid w:val="007947DD"/>
    <w:rsid w:val="007949D8"/>
    <w:rsid w:val="00795021"/>
    <w:rsid w:val="007952D8"/>
    <w:rsid w:val="007956D7"/>
    <w:rsid w:val="0079587D"/>
    <w:rsid w:val="00795935"/>
    <w:rsid w:val="00795A89"/>
    <w:rsid w:val="00795A91"/>
    <w:rsid w:val="00795FAF"/>
    <w:rsid w:val="007962C8"/>
    <w:rsid w:val="007968C1"/>
    <w:rsid w:val="00796A74"/>
    <w:rsid w:val="00796C2E"/>
    <w:rsid w:val="00796C4D"/>
    <w:rsid w:val="007971E0"/>
    <w:rsid w:val="0079737A"/>
    <w:rsid w:val="00797558"/>
    <w:rsid w:val="007A0350"/>
    <w:rsid w:val="007A04F1"/>
    <w:rsid w:val="007A0D7A"/>
    <w:rsid w:val="007A0F89"/>
    <w:rsid w:val="007A1138"/>
    <w:rsid w:val="007A11D4"/>
    <w:rsid w:val="007A1667"/>
    <w:rsid w:val="007A18A1"/>
    <w:rsid w:val="007A1F70"/>
    <w:rsid w:val="007A23D1"/>
    <w:rsid w:val="007A25BB"/>
    <w:rsid w:val="007A2BC5"/>
    <w:rsid w:val="007A31DB"/>
    <w:rsid w:val="007A351C"/>
    <w:rsid w:val="007A3844"/>
    <w:rsid w:val="007A38F3"/>
    <w:rsid w:val="007A4233"/>
    <w:rsid w:val="007A4786"/>
    <w:rsid w:val="007A4E67"/>
    <w:rsid w:val="007A558F"/>
    <w:rsid w:val="007A6186"/>
    <w:rsid w:val="007A62F0"/>
    <w:rsid w:val="007A6438"/>
    <w:rsid w:val="007A664A"/>
    <w:rsid w:val="007A69F3"/>
    <w:rsid w:val="007A700B"/>
    <w:rsid w:val="007A762C"/>
    <w:rsid w:val="007A790B"/>
    <w:rsid w:val="007A7B10"/>
    <w:rsid w:val="007B019F"/>
    <w:rsid w:val="007B022F"/>
    <w:rsid w:val="007B027A"/>
    <w:rsid w:val="007B03CF"/>
    <w:rsid w:val="007B11AA"/>
    <w:rsid w:val="007B1287"/>
    <w:rsid w:val="007B13C3"/>
    <w:rsid w:val="007B1845"/>
    <w:rsid w:val="007B1A90"/>
    <w:rsid w:val="007B1B06"/>
    <w:rsid w:val="007B1E6B"/>
    <w:rsid w:val="007B20BC"/>
    <w:rsid w:val="007B2D57"/>
    <w:rsid w:val="007B2E69"/>
    <w:rsid w:val="007B32EA"/>
    <w:rsid w:val="007B363B"/>
    <w:rsid w:val="007B3C9D"/>
    <w:rsid w:val="007B3D7C"/>
    <w:rsid w:val="007B3EA6"/>
    <w:rsid w:val="007B4290"/>
    <w:rsid w:val="007B42D1"/>
    <w:rsid w:val="007B464E"/>
    <w:rsid w:val="007B47BF"/>
    <w:rsid w:val="007B4A21"/>
    <w:rsid w:val="007B4D65"/>
    <w:rsid w:val="007B5A31"/>
    <w:rsid w:val="007B5C59"/>
    <w:rsid w:val="007B5EFC"/>
    <w:rsid w:val="007B60D3"/>
    <w:rsid w:val="007B6362"/>
    <w:rsid w:val="007B63A4"/>
    <w:rsid w:val="007B6922"/>
    <w:rsid w:val="007B6E08"/>
    <w:rsid w:val="007B707D"/>
    <w:rsid w:val="007B74F7"/>
    <w:rsid w:val="007B795B"/>
    <w:rsid w:val="007B7A19"/>
    <w:rsid w:val="007C0293"/>
    <w:rsid w:val="007C087D"/>
    <w:rsid w:val="007C11B4"/>
    <w:rsid w:val="007C127F"/>
    <w:rsid w:val="007C1B84"/>
    <w:rsid w:val="007C1E91"/>
    <w:rsid w:val="007C1F21"/>
    <w:rsid w:val="007C20CF"/>
    <w:rsid w:val="007C20F1"/>
    <w:rsid w:val="007C256B"/>
    <w:rsid w:val="007C26D4"/>
    <w:rsid w:val="007C27D2"/>
    <w:rsid w:val="007C2859"/>
    <w:rsid w:val="007C2C89"/>
    <w:rsid w:val="007C331D"/>
    <w:rsid w:val="007C3336"/>
    <w:rsid w:val="007C33B5"/>
    <w:rsid w:val="007C38B6"/>
    <w:rsid w:val="007C3B32"/>
    <w:rsid w:val="007C3D56"/>
    <w:rsid w:val="007C40D9"/>
    <w:rsid w:val="007C4680"/>
    <w:rsid w:val="007C4815"/>
    <w:rsid w:val="007C5530"/>
    <w:rsid w:val="007C5923"/>
    <w:rsid w:val="007C61D1"/>
    <w:rsid w:val="007C66AE"/>
    <w:rsid w:val="007C6E27"/>
    <w:rsid w:val="007C6F13"/>
    <w:rsid w:val="007C792A"/>
    <w:rsid w:val="007D02A9"/>
    <w:rsid w:val="007D0BA5"/>
    <w:rsid w:val="007D14A6"/>
    <w:rsid w:val="007D156D"/>
    <w:rsid w:val="007D19C2"/>
    <w:rsid w:val="007D283A"/>
    <w:rsid w:val="007D2A35"/>
    <w:rsid w:val="007D2B73"/>
    <w:rsid w:val="007D3002"/>
    <w:rsid w:val="007D30FA"/>
    <w:rsid w:val="007D3199"/>
    <w:rsid w:val="007D3F8D"/>
    <w:rsid w:val="007D48A4"/>
    <w:rsid w:val="007D4CCF"/>
    <w:rsid w:val="007D5388"/>
    <w:rsid w:val="007D53B9"/>
    <w:rsid w:val="007D5B03"/>
    <w:rsid w:val="007D5B23"/>
    <w:rsid w:val="007D6198"/>
    <w:rsid w:val="007D63B3"/>
    <w:rsid w:val="007D64DE"/>
    <w:rsid w:val="007D6979"/>
    <w:rsid w:val="007D6DF9"/>
    <w:rsid w:val="007D6E3C"/>
    <w:rsid w:val="007D6F5E"/>
    <w:rsid w:val="007D7431"/>
    <w:rsid w:val="007D77D0"/>
    <w:rsid w:val="007D78E6"/>
    <w:rsid w:val="007D7917"/>
    <w:rsid w:val="007D7B29"/>
    <w:rsid w:val="007D7C10"/>
    <w:rsid w:val="007D7E1F"/>
    <w:rsid w:val="007D7FCB"/>
    <w:rsid w:val="007E0047"/>
    <w:rsid w:val="007E0674"/>
    <w:rsid w:val="007E0E5B"/>
    <w:rsid w:val="007E1034"/>
    <w:rsid w:val="007E10B4"/>
    <w:rsid w:val="007E14A9"/>
    <w:rsid w:val="007E153D"/>
    <w:rsid w:val="007E1A74"/>
    <w:rsid w:val="007E1AB9"/>
    <w:rsid w:val="007E1C06"/>
    <w:rsid w:val="007E1C1E"/>
    <w:rsid w:val="007E1D42"/>
    <w:rsid w:val="007E2375"/>
    <w:rsid w:val="007E272A"/>
    <w:rsid w:val="007E2B75"/>
    <w:rsid w:val="007E2D46"/>
    <w:rsid w:val="007E2D4D"/>
    <w:rsid w:val="007E308D"/>
    <w:rsid w:val="007E3611"/>
    <w:rsid w:val="007E41C1"/>
    <w:rsid w:val="007E4490"/>
    <w:rsid w:val="007E4608"/>
    <w:rsid w:val="007E47A9"/>
    <w:rsid w:val="007E4ADD"/>
    <w:rsid w:val="007E4B00"/>
    <w:rsid w:val="007E4D0A"/>
    <w:rsid w:val="007E4E05"/>
    <w:rsid w:val="007E59A3"/>
    <w:rsid w:val="007E5BB0"/>
    <w:rsid w:val="007E5D80"/>
    <w:rsid w:val="007E63B1"/>
    <w:rsid w:val="007E63C3"/>
    <w:rsid w:val="007E659D"/>
    <w:rsid w:val="007E6A5C"/>
    <w:rsid w:val="007E6A89"/>
    <w:rsid w:val="007E6DB3"/>
    <w:rsid w:val="007E7936"/>
    <w:rsid w:val="007E7E66"/>
    <w:rsid w:val="007F0003"/>
    <w:rsid w:val="007F0024"/>
    <w:rsid w:val="007F0120"/>
    <w:rsid w:val="007F0251"/>
    <w:rsid w:val="007F0905"/>
    <w:rsid w:val="007F0A2F"/>
    <w:rsid w:val="007F0C47"/>
    <w:rsid w:val="007F0ED0"/>
    <w:rsid w:val="007F1172"/>
    <w:rsid w:val="007F1247"/>
    <w:rsid w:val="007F165E"/>
    <w:rsid w:val="007F1DDF"/>
    <w:rsid w:val="007F1F8D"/>
    <w:rsid w:val="007F24F6"/>
    <w:rsid w:val="007F2B24"/>
    <w:rsid w:val="007F2DD7"/>
    <w:rsid w:val="007F30FE"/>
    <w:rsid w:val="007F3516"/>
    <w:rsid w:val="007F3636"/>
    <w:rsid w:val="007F3A6E"/>
    <w:rsid w:val="007F3CC9"/>
    <w:rsid w:val="007F427B"/>
    <w:rsid w:val="007F44A7"/>
    <w:rsid w:val="007F458B"/>
    <w:rsid w:val="007F4A8B"/>
    <w:rsid w:val="007F5598"/>
    <w:rsid w:val="007F620D"/>
    <w:rsid w:val="007F695A"/>
    <w:rsid w:val="007F69BF"/>
    <w:rsid w:val="007F6E91"/>
    <w:rsid w:val="007F7454"/>
    <w:rsid w:val="007F7685"/>
    <w:rsid w:val="007F77A4"/>
    <w:rsid w:val="007F7CDA"/>
    <w:rsid w:val="007F7F5F"/>
    <w:rsid w:val="00800050"/>
    <w:rsid w:val="0080038A"/>
    <w:rsid w:val="0080077F"/>
    <w:rsid w:val="008007D2"/>
    <w:rsid w:val="00800978"/>
    <w:rsid w:val="00800F82"/>
    <w:rsid w:val="00801006"/>
    <w:rsid w:val="008011E6"/>
    <w:rsid w:val="008017C5"/>
    <w:rsid w:val="008018E0"/>
    <w:rsid w:val="008019C7"/>
    <w:rsid w:val="00801CB3"/>
    <w:rsid w:val="008020A1"/>
    <w:rsid w:val="00802159"/>
    <w:rsid w:val="008022A1"/>
    <w:rsid w:val="008026C6"/>
    <w:rsid w:val="008027A5"/>
    <w:rsid w:val="00802BEB"/>
    <w:rsid w:val="00802D1F"/>
    <w:rsid w:val="00802DD7"/>
    <w:rsid w:val="008031D2"/>
    <w:rsid w:val="00803386"/>
    <w:rsid w:val="00803B87"/>
    <w:rsid w:val="00803DE4"/>
    <w:rsid w:val="00803F41"/>
    <w:rsid w:val="00804677"/>
    <w:rsid w:val="00804970"/>
    <w:rsid w:val="0080526D"/>
    <w:rsid w:val="008057EC"/>
    <w:rsid w:val="0080580C"/>
    <w:rsid w:val="00805AAC"/>
    <w:rsid w:val="00805C1E"/>
    <w:rsid w:val="008062DB"/>
    <w:rsid w:val="00807337"/>
    <w:rsid w:val="0080753E"/>
    <w:rsid w:val="008077E1"/>
    <w:rsid w:val="00807D6C"/>
    <w:rsid w:val="00807D8E"/>
    <w:rsid w:val="00810086"/>
    <w:rsid w:val="00810336"/>
    <w:rsid w:val="008106D2"/>
    <w:rsid w:val="00810785"/>
    <w:rsid w:val="00810C08"/>
    <w:rsid w:val="00812091"/>
    <w:rsid w:val="008120BC"/>
    <w:rsid w:val="0081224A"/>
    <w:rsid w:val="00812396"/>
    <w:rsid w:val="00812529"/>
    <w:rsid w:val="0081260D"/>
    <w:rsid w:val="00812695"/>
    <w:rsid w:val="0081279B"/>
    <w:rsid w:val="0081282E"/>
    <w:rsid w:val="00812CAA"/>
    <w:rsid w:val="0081310A"/>
    <w:rsid w:val="008131BD"/>
    <w:rsid w:val="00813702"/>
    <w:rsid w:val="0081384E"/>
    <w:rsid w:val="00813B54"/>
    <w:rsid w:val="00813D74"/>
    <w:rsid w:val="0081435A"/>
    <w:rsid w:val="008148C8"/>
    <w:rsid w:val="00815143"/>
    <w:rsid w:val="00815C18"/>
    <w:rsid w:val="00815C9D"/>
    <w:rsid w:val="00816A90"/>
    <w:rsid w:val="008170EB"/>
    <w:rsid w:val="008171D2"/>
    <w:rsid w:val="0081741E"/>
    <w:rsid w:val="008175F9"/>
    <w:rsid w:val="00817B4B"/>
    <w:rsid w:val="00817CCF"/>
    <w:rsid w:val="008207EA"/>
    <w:rsid w:val="008214EF"/>
    <w:rsid w:val="008221AD"/>
    <w:rsid w:val="00822D95"/>
    <w:rsid w:val="00822ED8"/>
    <w:rsid w:val="008232C6"/>
    <w:rsid w:val="008234A9"/>
    <w:rsid w:val="008236C2"/>
    <w:rsid w:val="00823A72"/>
    <w:rsid w:val="00823B80"/>
    <w:rsid w:val="00823D49"/>
    <w:rsid w:val="008243C8"/>
    <w:rsid w:val="008250E1"/>
    <w:rsid w:val="008251E4"/>
    <w:rsid w:val="0082585D"/>
    <w:rsid w:val="00825C7E"/>
    <w:rsid w:val="008269EA"/>
    <w:rsid w:val="00826C62"/>
    <w:rsid w:val="00826D3A"/>
    <w:rsid w:val="00826E36"/>
    <w:rsid w:val="008271D8"/>
    <w:rsid w:val="008273E0"/>
    <w:rsid w:val="00827435"/>
    <w:rsid w:val="008274A2"/>
    <w:rsid w:val="00827C37"/>
    <w:rsid w:val="00827F1F"/>
    <w:rsid w:val="00830496"/>
    <w:rsid w:val="00830A8A"/>
    <w:rsid w:val="008313E4"/>
    <w:rsid w:val="008315EC"/>
    <w:rsid w:val="00831881"/>
    <w:rsid w:val="00831D1B"/>
    <w:rsid w:val="00831FFC"/>
    <w:rsid w:val="008322F6"/>
    <w:rsid w:val="008324AD"/>
    <w:rsid w:val="008325E6"/>
    <w:rsid w:val="008326E0"/>
    <w:rsid w:val="0083300A"/>
    <w:rsid w:val="008332D7"/>
    <w:rsid w:val="008339AB"/>
    <w:rsid w:val="00833A7E"/>
    <w:rsid w:val="00834120"/>
    <w:rsid w:val="00834289"/>
    <w:rsid w:val="008343DC"/>
    <w:rsid w:val="0083445F"/>
    <w:rsid w:val="00834659"/>
    <w:rsid w:val="00834737"/>
    <w:rsid w:val="00834DD6"/>
    <w:rsid w:val="008355A1"/>
    <w:rsid w:val="00835612"/>
    <w:rsid w:val="0083583F"/>
    <w:rsid w:val="008358A2"/>
    <w:rsid w:val="00836183"/>
    <w:rsid w:val="008364DF"/>
    <w:rsid w:val="008367BD"/>
    <w:rsid w:val="00836B9A"/>
    <w:rsid w:val="00836DD6"/>
    <w:rsid w:val="00837535"/>
    <w:rsid w:val="008375AB"/>
    <w:rsid w:val="008376B2"/>
    <w:rsid w:val="00840235"/>
    <w:rsid w:val="00840655"/>
    <w:rsid w:val="0084075F"/>
    <w:rsid w:val="008407D7"/>
    <w:rsid w:val="008407FD"/>
    <w:rsid w:val="00840C95"/>
    <w:rsid w:val="00840FA6"/>
    <w:rsid w:val="008412F4"/>
    <w:rsid w:val="008413D3"/>
    <w:rsid w:val="008414C2"/>
    <w:rsid w:val="008418EA"/>
    <w:rsid w:val="00841A39"/>
    <w:rsid w:val="00841E4E"/>
    <w:rsid w:val="00841E99"/>
    <w:rsid w:val="008420EC"/>
    <w:rsid w:val="0084274A"/>
    <w:rsid w:val="00842DC4"/>
    <w:rsid w:val="00843329"/>
    <w:rsid w:val="008437C2"/>
    <w:rsid w:val="00843B27"/>
    <w:rsid w:val="00843DC2"/>
    <w:rsid w:val="00843DED"/>
    <w:rsid w:val="00843E74"/>
    <w:rsid w:val="00843EA5"/>
    <w:rsid w:val="00843F7C"/>
    <w:rsid w:val="008441B5"/>
    <w:rsid w:val="008446A7"/>
    <w:rsid w:val="0084475B"/>
    <w:rsid w:val="00844892"/>
    <w:rsid w:val="0084494E"/>
    <w:rsid w:val="00844B07"/>
    <w:rsid w:val="00844E57"/>
    <w:rsid w:val="00844F74"/>
    <w:rsid w:val="008454B8"/>
    <w:rsid w:val="008454FD"/>
    <w:rsid w:val="008455DC"/>
    <w:rsid w:val="0084573A"/>
    <w:rsid w:val="008459DD"/>
    <w:rsid w:val="0084635F"/>
    <w:rsid w:val="00846626"/>
    <w:rsid w:val="00846890"/>
    <w:rsid w:val="00846925"/>
    <w:rsid w:val="0084692F"/>
    <w:rsid w:val="00846DE7"/>
    <w:rsid w:val="00847BEB"/>
    <w:rsid w:val="00847C26"/>
    <w:rsid w:val="00847E1D"/>
    <w:rsid w:val="008500C5"/>
    <w:rsid w:val="00850D1C"/>
    <w:rsid w:val="00850E33"/>
    <w:rsid w:val="008510E1"/>
    <w:rsid w:val="00851475"/>
    <w:rsid w:val="00851649"/>
    <w:rsid w:val="008520C5"/>
    <w:rsid w:val="0085231C"/>
    <w:rsid w:val="008523C1"/>
    <w:rsid w:val="008524F3"/>
    <w:rsid w:val="00852832"/>
    <w:rsid w:val="008528E9"/>
    <w:rsid w:val="008534AC"/>
    <w:rsid w:val="0085386A"/>
    <w:rsid w:val="0085394F"/>
    <w:rsid w:val="00853A82"/>
    <w:rsid w:val="00854119"/>
    <w:rsid w:val="00854278"/>
    <w:rsid w:val="008543AC"/>
    <w:rsid w:val="0085453F"/>
    <w:rsid w:val="00854933"/>
    <w:rsid w:val="00854982"/>
    <w:rsid w:val="00854B98"/>
    <w:rsid w:val="00854C10"/>
    <w:rsid w:val="008557F2"/>
    <w:rsid w:val="00855845"/>
    <w:rsid w:val="00855919"/>
    <w:rsid w:val="008559EA"/>
    <w:rsid w:val="00855B8A"/>
    <w:rsid w:val="00855E67"/>
    <w:rsid w:val="00856221"/>
    <w:rsid w:val="008576E5"/>
    <w:rsid w:val="00860959"/>
    <w:rsid w:val="00861114"/>
    <w:rsid w:val="0086111F"/>
    <w:rsid w:val="008611F8"/>
    <w:rsid w:val="00861268"/>
    <w:rsid w:val="00861585"/>
    <w:rsid w:val="008617C4"/>
    <w:rsid w:val="00861813"/>
    <w:rsid w:val="00861909"/>
    <w:rsid w:val="00861B8D"/>
    <w:rsid w:val="00862251"/>
    <w:rsid w:val="00862321"/>
    <w:rsid w:val="00862402"/>
    <w:rsid w:val="00862ECB"/>
    <w:rsid w:val="008634C0"/>
    <w:rsid w:val="0086381F"/>
    <w:rsid w:val="00863E7F"/>
    <w:rsid w:val="00863EAA"/>
    <w:rsid w:val="00864838"/>
    <w:rsid w:val="00864B08"/>
    <w:rsid w:val="00864D00"/>
    <w:rsid w:val="00864D2D"/>
    <w:rsid w:val="00865B96"/>
    <w:rsid w:val="00865C18"/>
    <w:rsid w:val="00865D85"/>
    <w:rsid w:val="00865E10"/>
    <w:rsid w:val="00866023"/>
    <w:rsid w:val="008665F9"/>
    <w:rsid w:val="00866BF2"/>
    <w:rsid w:val="00867469"/>
    <w:rsid w:val="008675ED"/>
    <w:rsid w:val="00867A85"/>
    <w:rsid w:val="00867FCB"/>
    <w:rsid w:val="0087122C"/>
    <w:rsid w:val="0087173A"/>
    <w:rsid w:val="00871998"/>
    <w:rsid w:val="00872055"/>
    <w:rsid w:val="008720F6"/>
    <w:rsid w:val="008721B7"/>
    <w:rsid w:val="00872443"/>
    <w:rsid w:val="008725FE"/>
    <w:rsid w:val="008728A4"/>
    <w:rsid w:val="00872ADA"/>
    <w:rsid w:val="00872B9A"/>
    <w:rsid w:val="00872C12"/>
    <w:rsid w:val="008730BB"/>
    <w:rsid w:val="0087317D"/>
    <w:rsid w:val="008738BD"/>
    <w:rsid w:val="00873D07"/>
    <w:rsid w:val="0087472F"/>
    <w:rsid w:val="008747A3"/>
    <w:rsid w:val="00874E1E"/>
    <w:rsid w:val="0087503B"/>
    <w:rsid w:val="0087546A"/>
    <w:rsid w:val="00875CAA"/>
    <w:rsid w:val="008765AD"/>
    <w:rsid w:val="00877017"/>
    <w:rsid w:val="00877189"/>
    <w:rsid w:val="00877692"/>
    <w:rsid w:val="00880418"/>
    <w:rsid w:val="00880544"/>
    <w:rsid w:val="00880DFD"/>
    <w:rsid w:val="00881CD6"/>
    <w:rsid w:val="00882233"/>
    <w:rsid w:val="0088244B"/>
    <w:rsid w:val="008824E5"/>
    <w:rsid w:val="00882900"/>
    <w:rsid w:val="00882B77"/>
    <w:rsid w:val="00882C55"/>
    <w:rsid w:val="00883016"/>
    <w:rsid w:val="008834DC"/>
    <w:rsid w:val="0088354C"/>
    <w:rsid w:val="00883C2B"/>
    <w:rsid w:val="00883F5F"/>
    <w:rsid w:val="00884216"/>
    <w:rsid w:val="008845D1"/>
    <w:rsid w:val="008845D7"/>
    <w:rsid w:val="00884EC9"/>
    <w:rsid w:val="0088508E"/>
    <w:rsid w:val="008850C1"/>
    <w:rsid w:val="00885147"/>
    <w:rsid w:val="00885CF1"/>
    <w:rsid w:val="00885ECC"/>
    <w:rsid w:val="008868CE"/>
    <w:rsid w:val="00886DAF"/>
    <w:rsid w:val="00887186"/>
    <w:rsid w:val="008871EF"/>
    <w:rsid w:val="008901DB"/>
    <w:rsid w:val="00890526"/>
    <w:rsid w:val="008906DF"/>
    <w:rsid w:val="00890ADF"/>
    <w:rsid w:val="00890F3A"/>
    <w:rsid w:val="00891221"/>
    <w:rsid w:val="008912DB"/>
    <w:rsid w:val="00891310"/>
    <w:rsid w:val="0089145C"/>
    <w:rsid w:val="00891F6E"/>
    <w:rsid w:val="00891F78"/>
    <w:rsid w:val="00892098"/>
    <w:rsid w:val="008920A7"/>
    <w:rsid w:val="00892297"/>
    <w:rsid w:val="008923D9"/>
    <w:rsid w:val="00892789"/>
    <w:rsid w:val="00892B1C"/>
    <w:rsid w:val="00893169"/>
    <w:rsid w:val="00893389"/>
    <w:rsid w:val="00893C9B"/>
    <w:rsid w:val="0089404F"/>
    <w:rsid w:val="00894119"/>
    <w:rsid w:val="00894C0E"/>
    <w:rsid w:val="00894E8F"/>
    <w:rsid w:val="008957F7"/>
    <w:rsid w:val="00895AEC"/>
    <w:rsid w:val="00895C49"/>
    <w:rsid w:val="00896284"/>
    <w:rsid w:val="0089664D"/>
    <w:rsid w:val="0089690D"/>
    <w:rsid w:val="00896D52"/>
    <w:rsid w:val="008975CE"/>
    <w:rsid w:val="0089763C"/>
    <w:rsid w:val="008977C6"/>
    <w:rsid w:val="008979F5"/>
    <w:rsid w:val="00897CFC"/>
    <w:rsid w:val="00897D1E"/>
    <w:rsid w:val="00897E66"/>
    <w:rsid w:val="00897FDA"/>
    <w:rsid w:val="008A0315"/>
    <w:rsid w:val="008A041D"/>
    <w:rsid w:val="008A0548"/>
    <w:rsid w:val="008A06BA"/>
    <w:rsid w:val="008A0C35"/>
    <w:rsid w:val="008A0E85"/>
    <w:rsid w:val="008A0FF2"/>
    <w:rsid w:val="008A121C"/>
    <w:rsid w:val="008A14D0"/>
    <w:rsid w:val="008A1EC4"/>
    <w:rsid w:val="008A27F8"/>
    <w:rsid w:val="008A27FE"/>
    <w:rsid w:val="008A2BFF"/>
    <w:rsid w:val="008A2F3B"/>
    <w:rsid w:val="008A3526"/>
    <w:rsid w:val="008A3C38"/>
    <w:rsid w:val="008A3E09"/>
    <w:rsid w:val="008A3E89"/>
    <w:rsid w:val="008A3F08"/>
    <w:rsid w:val="008A44BC"/>
    <w:rsid w:val="008A5685"/>
    <w:rsid w:val="008A57FC"/>
    <w:rsid w:val="008A5867"/>
    <w:rsid w:val="008A5A89"/>
    <w:rsid w:val="008A5CAB"/>
    <w:rsid w:val="008A626B"/>
    <w:rsid w:val="008A62E3"/>
    <w:rsid w:val="008A6E02"/>
    <w:rsid w:val="008A750F"/>
    <w:rsid w:val="008A753D"/>
    <w:rsid w:val="008B005F"/>
    <w:rsid w:val="008B0384"/>
    <w:rsid w:val="008B0522"/>
    <w:rsid w:val="008B0AB7"/>
    <w:rsid w:val="008B0EDA"/>
    <w:rsid w:val="008B13B3"/>
    <w:rsid w:val="008B2026"/>
    <w:rsid w:val="008B26D6"/>
    <w:rsid w:val="008B2F56"/>
    <w:rsid w:val="008B32BD"/>
    <w:rsid w:val="008B3748"/>
    <w:rsid w:val="008B3855"/>
    <w:rsid w:val="008B3CF7"/>
    <w:rsid w:val="008B4077"/>
    <w:rsid w:val="008B49C1"/>
    <w:rsid w:val="008B49E2"/>
    <w:rsid w:val="008B4A9B"/>
    <w:rsid w:val="008B4FE6"/>
    <w:rsid w:val="008B6443"/>
    <w:rsid w:val="008B65D6"/>
    <w:rsid w:val="008B68B3"/>
    <w:rsid w:val="008B6CDE"/>
    <w:rsid w:val="008B7243"/>
    <w:rsid w:val="008B77F3"/>
    <w:rsid w:val="008B7948"/>
    <w:rsid w:val="008C0193"/>
    <w:rsid w:val="008C086E"/>
    <w:rsid w:val="008C09C4"/>
    <w:rsid w:val="008C0D64"/>
    <w:rsid w:val="008C1299"/>
    <w:rsid w:val="008C1460"/>
    <w:rsid w:val="008C14D9"/>
    <w:rsid w:val="008C1D30"/>
    <w:rsid w:val="008C2346"/>
    <w:rsid w:val="008C2644"/>
    <w:rsid w:val="008C2861"/>
    <w:rsid w:val="008C3321"/>
    <w:rsid w:val="008C33E4"/>
    <w:rsid w:val="008C3D4B"/>
    <w:rsid w:val="008C4418"/>
    <w:rsid w:val="008C44C1"/>
    <w:rsid w:val="008C4962"/>
    <w:rsid w:val="008C4B02"/>
    <w:rsid w:val="008C4B03"/>
    <w:rsid w:val="008C4CF7"/>
    <w:rsid w:val="008C514B"/>
    <w:rsid w:val="008C6867"/>
    <w:rsid w:val="008C68D1"/>
    <w:rsid w:val="008C6CC6"/>
    <w:rsid w:val="008C72D1"/>
    <w:rsid w:val="008C7489"/>
    <w:rsid w:val="008C7A1A"/>
    <w:rsid w:val="008C7AD1"/>
    <w:rsid w:val="008C7CE2"/>
    <w:rsid w:val="008D01B4"/>
    <w:rsid w:val="008D0C92"/>
    <w:rsid w:val="008D1140"/>
    <w:rsid w:val="008D11E1"/>
    <w:rsid w:val="008D1A45"/>
    <w:rsid w:val="008D1AC4"/>
    <w:rsid w:val="008D2506"/>
    <w:rsid w:val="008D25C9"/>
    <w:rsid w:val="008D2859"/>
    <w:rsid w:val="008D2E55"/>
    <w:rsid w:val="008D3341"/>
    <w:rsid w:val="008D371E"/>
    <w:rsid w:val="008D3809"/>
    <w:rsid w:val="008D3E67"/>
    <w:rsid w:val="008D3FBE"/>
    <w:rsid w:val="008D41CE"/>
    <w:rsid w:val="008D465D"/>
    <w:rsid w:val="008D4834"/>
    <w:rsid w:val="008D4DAE"/>
    <w:rsid w:val="008D557F"/>
    <w:rsid w:val="008D578A"/>
    <w:rsid w:val="008D5BDA"/>
    <w:rsid w:val="008D5CE5"/>
    <w:rsid w:val="008D6414"/>
    <w:rsid w:val="008D6447"/>
    <w:rsid w:val="008D6471"/>
    <w:rsid w:val="008D6476"/>
    <w:rsid w:val="008D74DE"/>
    <w:rsid w:val="008D76A6"/>
    <w:rsid w:val="008D7830"/>
    <w:rsid w:val="008D78AB"/>
    <w:rsid w:val="008D7A97"/>
    <w:rsid w:val="008D7C19"/>
    <w:rsid w:val="008E0B25"/>
    <w:rsid w:val="008E0F6C"/>
    <w:rsid w:val="008E1034"/>
    <w:rsid w:val="008E1511"/>
    <w:rsid w:val="008E16DE"/>
    <w:rsid w:val="008E17F3"/>
    <w:rsid w:val="008E20F2"/>
    <w:rsid w:val="008E21F2"/>
    <w:rsid w:val="008E2507"/>
    <w:rsid w:val="008E2CE2"/>
    <w:rsid w:val="008E3D6C"/>
    <w:rsid w:val="008E462E"/>
    <w:rsid w:val="008E466D"/>
    <w:rsid w:val="008E4CD4"/>
    <w:rsid w:val="008E4D2B"/>
    <w:rsid w:val="008E4F3E"/>
    <w:rsid w:val="008E519F"/>
    <w:rsid w:val="008E5623"/>
    <w:rsid w:val="008E5B49"/>
    <w:rsid w:val="008E5D0F"/>
    <w:rsid w:val="008E5F48"/>
    <w:rsid w:val="008E5FB3"/>
    <w:rsid w:val="008E69F6"/>
    <w:rsid w:val="008E6C02"/>
    <w:rsid w:val="008E7110"/>
    <w:rsid w:val="008E7224"/>
    <w:rsid w:val="008E755E"/>
    <w:rsid w:val="008E7D09"/>
    <w:rsid w:val="008E7D0A"/>
    <w:rsid w:val="008F032D"/>
    <w:rsid w:val="008F04D0"/>
    <w:rsid w:val="008F065C"/>
    <w:rsid w:val="008F09D7"/>
    <w:rsid w:val="008F0AED"/>
    <w:rsid w:val="008F0B95"/>
    <w:rsid w:val="008F2235"/>
    <w:rsid w:val="008F2317"/>
    <w:rsid w:val="008F2318"/>
    <w:rsid w:val="008F2EF7"/>
    <w:rsid w:val="008F32CF"/>
    <w:rsid w:val="008F37C1"/>
    <w:rsid w:val="008F3A95"/>
    <w:rsid w:val="008F3E77"/>
    <w:rsid w:val="008F42AE"/>
    <w:rsid w:val="008F4418"/>
    <w:rsid w:val="008F4772"/>
    <w:rsid w:val="008F48FB"/>
    <w:rsid w:val="008F4A8F"/>
    <w:rsid w:val="008F5059"/>
    <w:rsid w:val="008F5255"/>
    <w:rsid w:val="008F53F2"/>
    <w:rsid w:val="008F56EA"/>
    <w:rsid w:val="008F574D"/>
    <w:rsid w:val="008F59F7"/>
    <w:rsid w:val="008F5C60"/>
    <w:rsid w:val="008F6209"/>
    <w:rsid w:val="008F6729"/>
    <w:rsid w:val="008F69C9"/>
    <w:rsid w:val="008F6A0C"/>
    <w:rsid w:val="008F6DD0"/>
    <w:rsid w:val="008F6FE2"/>
    <w:rsid w:val="008F70F0"/>
    <w:rsid w:val="008F7290"/>
    <w:rsid w:val="008F7979"/>
    <w:rsid w:val="008F7F57"/>
    <w:rsid w:val="00900179"/>
    <w:rsid w:val="009005A3"/>
    <w:rsid w:val="009005D7"/>
    <w:rsid w:val="00900668"/>
    <w:rsid w:val="00900866"/>
    <w:rsid w:val="00900C43"/>
    <w:rsid w:val="00900CB5"/>
    <w:rsid w:val="00901127"/>
    <w:rsid w:val="0090183D"/>
    <w:rsid w:val="00901BB2"/>
    <w:rsid w:val="00901C9B"/>
    <w:rsid w:val="00902248"/>
    <w:rsid w:val="00902A6A"/>
    <w:rsid w:val="00902DBD"/>
    <w:rsid w:val="0090369C"/>
    <w:rsid w:val="009037BE"/>
    <w:rsid w:val="00903A97"/>
    <w:rsid w:val="00903D39"/>
    <w:rsid w:val="0090402D"/>
    <w:rsid w:val="00904447"/>
    <w:rsid w:val="00904C34"/>
    <w:rsid w:val="00905010"/>
    <w:rsid w:val="00905566"/>
    <w:rsid w:val="00905948"/>
    <w:rsid w:val="0090666A"/>
    <w:rsid w:val="009066C9"/>
    <w:rsid w:val="00906750"/>
    <w:rsid w:val="00906885"/>
    <w:rsid w:val="00906A59"/>
    <w:rsid w:val="00906AFE"/>
    <w:rsid w:val="00906BCD"/>
    <w:rsid w:val="00907331"/>
    <w:rsid w:val="00907B21"/>
    <w:rsid w:val="00910131"/>
    <w:rsid w:val="00910781"/>
    <w:rsid w:val="00910799"/>
    <w:rsid w:val="009109F0"/>
    <w:rsid w:val="00911067"/>
    <w:rsid w:val="009111B5"/>
    <w:rsid w:val="0091140D"/>
    <w:rsid w:val="0091160F"/>
    <w:rsid w:val="0091169E"/>
    <w:rsid w:val="00911CD7"/>
    <w:rsid w:val="009120AB"/>
    <w:rsid w:val="00912470"/>
    <w:rsid w:val="009124A0"/>
    <w:rsid w:val="009124C6"/>
    <w:rsid w:val="00912A40"/>
    <w:rsid w:val="00912AD5"/>
    <w:rsid w:val="00912C2A"/>
    <w:rsid w:val="00912FAC"/>
    <w:rsid w:val="00913B0E"/>
    <w:rsid w:val="00913EDF"/>
    <w:rsid w:val="00914B20"/>
    <w:rsid w:val="00914C2E"/>
    <w:rsid w:val="00914D23"/>
    <w:rsid w:val="00914D5D"/>
    <w:rsid w:val="00914ECE"/>
    <w:rsid w:val="009153DB"/>
    <w:rsid w:val="00915786"/>
    <w:rsid w:val="00915B32"/>
    <w:rsid w:val="00916345"/>
    <w:rsid w:val="00916562"/>
    <w:rsid w:val="00916AC2"/>
    <w:rsid w:val="00916B47"/>
    <w:rsid w:val="00917142"/>
    <w:rsid w:val="0091763D"/>
    <w:rsid w:val="00917E72"/>
    <w:rsid w:val="00917E75"/>
    <w:rsid w:val="00920209"/>
    <w:rsid w:val="00920236"/>
    <w:rsid w:val="0092086D"/>
    <w:rsid w:val="0092091F"/>
    <w:rsid w:val="00920985"/>
    <w:rsid w:val="009209CE"/>
    <w:rsid w:val="00920B43"/>
    <w:rsid w:val="00920DB0"/>
    <w:rsid w:val="00921117"/>
    <w:rsid w:val="00922159"/>
    <w:rsid w:val="00922300"/>
    <w:rsid w:val="00922375"/>
    <w:rsid w:val="00922391"/>
    <w:rsid w:val="009225EF"/>
    <w:rsid w:val="0092260D"/>
    <w:rsid w:val="00922656"/>
    <w:rsid w:val="00922670"/>
    <w:rsid w:val="00923563"/>
    <w:rsid w:val="00923D23"/>
    <w:rsid w:val="00924046"/>
    <w:rsid w:val="009245F9"/>
    <w:rsid w:val="0092498D"/>
    <w:rsid w:val="00924F99"/>
    <w:rsid w:val="009250EE"/>
    <w:rsid w:val="009252F4"/>
    <w:rsid w:val="00925723"/>
    <w:rsid w:val="009258DF"/>
    <w:rsid w:val="00925FF5"/>
    <w:rsid w:val="009260C6"/>
    <w:rsid w:val="009264C0"/>
    <w:rsid w:val="009265AB"/>
    <w:rsid w:val="00926664"/>
    <w:rsid w:val="00927190"/>
    <w:rsid w:val="0092751C"/>
    <w:rsid w:val="00927557"/>
    <w:rsid w:val="0092760C"/>
    <w:rsid w:val="00927C48"/>
    <w:rsid w:val="00927FAC"/>
    <w:rsid w:val="00930FD5"/>
    <w:rsid w:val="00931539"/>
    <w:rsid w:val="00931A11"/>
    <w:rsid w:val="00931C79"/>
    <w:rsid w:val="00932026"/>
    <w:rsid w:val="009320B4"/>
    <w:rsid w:val="009321EE"/>
    <w:rsid w:val="009323DA"/>
    <w:rsid w:val="00932770"/>
    <w:rsid w:val="00932B9B"/>
    <w:rsid w:val="009331F3"/>
    <w:rsid w:val="009336E5"/>
    <w:rsid w:val="00933A79"/>
    <w:rsid w:val="00934558"/>
    <w:rsid w:val="009349AD"/>
    <w:rsid w:val="00934C3C"/>
    <w:rsid w:val="00934CE6"/>
    <w:rsid w:val="00935046"/>
    <w:rsid w:val="0093508D"/>
    <w:rsid w:val="00935A11"/>
    <w:rsid w:val="00935B44"/>
    <w:rsid w:val="00935D4E"/>
    <w:rsid w:val="0093638C"/>
    <w:rsid w:val="00936BBC"/>
    <w:rsid w:val="00936C23"/>
    <w:rsid w:val="00936D69"/>
    <w:rsid w:val="0093795D"/>
    <w:rsid w:val="00937E4C"/>
    <w:rsid w:val="00940105"/>
    <w:rsid w:val="00940335"/>
    <w:rsid w:val="009405DC"/>
    <w:rsid w:val="009406F2"/>
    <w:rsid w:val="00940DA4"/>
    <w:rsid w:val="009419BE"/>
    <w:rsid w:val="00942B06"/>
    <w:rsid w:val="00942D9D"/>
    <w:rsid w:val="00942F9E"/>
    <w:rsid w:val="009436D0"/>
    <w:rsid w:val="00943A7A"/>
    <w:rsid w:val="00943FFF"/>
    <w:rsid w:val="00944775"/>
    <w:rsid w:val="00944789"/>
    <w:rsid w:val="00944CAF"/>
    <w:rsid w:val="009450C4"/>
    <w:rsid w:val="0094514F"/>
    <w:rsid w:val="00945564"/>
    <w:rsid w:val="00945BE3"/>
    <w:rsid w:val="00946302"/>
    <w:rsid w:val="009465B9"/>
    <w:rsid w:val="009469CA"/>
    <w:rsid w:val="00946A2E"/>
    <w:rsid w:val="00946CC8"/>
    <w:rsid w:val="00946F23"/>
    <w:rsid w:val="009471B1"/>
    <w:rsid w:val="009472F8"/>
    <w:rsid w:val="00947BC2"/>
    <w:rsid w:val="00950087"/>
    <w:rsid w:val="00950981"/>
    <w:rsid w:val="00950B11"/>
    <w:rsid w:val="00951198"/>
    <w:rsid w:val="009514A3"/>
    <w:rsid w:val="0095154F"/>
    <w:rsid w:val="009516E3"/>
    <w:rsid w:val="00951861"/>
    <w:rsid w:val="00951A93"/>
    <w:rsid w:val="00951AD4"/>
    <w:rsid w:val="00951AF1"/>
    <w:rsid w:val="00951AFC"/>
    <w:rsid w:val="00951E06"/>
    <w:rsid w:val="00951F6F"/>
    <w:rsid w:val="00952084"/>
    <w:rsid w:val="00952414"/>
    <w:rsid w:val="00952587"/>
    <w:rsid w:val="009542A4"/>
    <w:rsid w:val="0095454D"/>
    <w:rsid w:val="009545F2"/>
    <w:rsid w:val="00954A64"/>
    <w:rsid w:val="00954CFB"/>
    <w:rsid w:val="00954E1F"/>
    <w:rsid w:val="009552A2"/>
    <w:rsid w:val="00955549"/>
    <w:rsid w:val="00955C10"/>
    <w:rsid w:val="00955D7D"/>
    <w:rsid w:val="0095606D"/>
    <w:rsid w:val="00956256"/>
    <w:rsid w:val="00956B06"/>
    <w:rsid w:val="00956BB9"/>
    <w:rsid w:val="00957910"/>
    <w:rsid w:val="00957F33"/>
    <w:rsid w:val="009601B3"/>
    <w:rsid w:val="00960857"/>
    <w:rsid w:val="00960962"/>
    <w:rsid w:val="00960C3E"/>
    <w:rsid w:val="009612AC"/>
    <w:rsid w:val="00961665"/>
    <w:rsid w:val="0096170E"/>
    <w:rsid w:val="00961868"/>
    <w:rsid w:val="009618E7"/>
    <w:rsid w:val="009619DC"/>
    <w:rsid w:val="00961C84"/>
    <w:rsid w:val="00962CCC"/>
    <w:rsid w:val="00962E8C"/>
    <w:rsid w:val="00962EE5"/>
    <w:rsid w:val="0096317C"/>
    <w:rsid w:val="009633A1"/>
    <w:rsid w:val="009637BD"/>
    <w:rsid w:val="00963B9F"/>
    <w:rsid w:val="00963DFF"/>
    <w:rsid w:val="00963F0F"/>
    <w:rsid w:val="00963F77"/>
    <w:rsid w:val="00964549"/>
    <w:rsid w:val="00964806"/>
    <w:rsid w:val="00964D6A"/>
    <w:rsid w:val="00964EE0"/>
    <w:rsid w:val="00965274"/>
    <w:rsid w:val="009653AB"/>
    <w:rsid w:val="009658EC"/>
    <w:rsid w:val="00965B79"/>
    <w:rsid w:val="00965CAA"/>
    <w:rsid w:val="0096622D"/>
    <w:rsid w:val="00966988"/>
    <w:rsid w:val="009669C1"/>
    <w:rsid w:val="00966AF1"/>
    <w:rsid w:val="00966C12"/>
    <w:rsid w:val="00967B34"/>
    <w:rsid w:val="00970008"/>
    <w:rsid w:val="009702DD"/>
    <w:rsid w:val="0097072C"/>
    <w:rsid w:val="00970C3A"/>
    <w:rsid w:val="00970FA7"/>
    <w:rsid w:val="0097130E"/>
    <w:rsid w:val="009714AF"/>
    <w:rsid w:val="009717EE"/>
    <w:rsid w:val="00971918"/>
    <w:rsid w:val="00971AE9"/>
    <w:rsid w:val="009723BC"/>
    <w:rsid w:val="009724DF"/>
    <w:rsid w:val="009726D6"/>
    <w:rsid w:val="0097319C"/>
    <w:rsid w:val="0097334C"/>
    <w:rsid w:val="00973980"/>
    <w:rsid w:val="00973E5B"/>
    <w:rsid w:val="0097415E"/>
    <w:rsid w:val="00974A56"/>
    <w:rsid w:val="00974D45"/>
    <w:rsid w:val="0097515D"/>
    <w:rsid w:val="009758AF"/>
    <w:rsid w:val="00975C43"/>
    <w:rsid w:val="00976339"/>
    <w:rsid w:val="0097662B"/>
    <w:rsid w:val="00976845"/>
    <w:rsid w:val="00976A78"/>
    <w:rsid w:val="009771B6"/>
    <w:rsid w:val="0097762E"/>
    <w:rsid w:val="009779D3"/>
    <w:rsid w:val="009800F9"/>
    <w:rsid w:val="00980118"/>
    <w:rsid w:val="009803F6"/>
    <w:rsid w:val="0098058F"/>
    <w:rsid w:val="00980884"/>
    <w:rsid w:val="009812A5"/>
    <w:rsid w:val="00981689"/>
    <w:rsid w:val="009818E4"/>
    <w:rsid w:val="009819A0"/>
    <w:rsid w:val="00981B0B"/>
    <w:rsid w:val="00981F4F"/>
    <w:rsid w:val="009826FC"/>
    <w:rsid w:val="00982A07"/>
    <w:rsid w:val="00982F7E"/>
    <w:rsid w:val="00983AD5"/>
    <w:rsid w:val="00983B8C"/>
    <w:rsid w:val="009846B3"/>
    <w:rsid w:val="009847D1"/>
    <w:rsid w:val="00984A98"/>
    <w:rsid w:val="00984B67"/>
    <w:rsid w:val="00984D31"/>
    <w:rsid w:val="00984E45"/>
    <w:rsid w:val="00984F25"/>
    <w:rsid w:val="0098525C"/>
    <w:rsid w:val="00985821"/>
    <w:rsid w:val="00985BE3"/>
    <w:rsid w:val="00985C11"/>
    <w:rsid w:val="00985DFA"/>
    <w:rsid w:val="00985F9E"/>
    <w:rsid w:val="009861CF"/>
    <w:rsid w:val="0098630A"/>
    <w:rsid w:val="00986BA9"/>
    <w:rsid w:val="0098712A"/>
    <w:rsid w:val="00987504"/>
    <w:rsid w:val="00987740"/>
    <w:rsid w:val="00987ECC"/>
    <w:rsid w:val="00990115"/>
    <w:rsid w:val="009901D3"/>
    <w:rsid w:val="009903A1"/>
    <w:rsid w:val="00990509"/>
    <w:rsid w:val="00990761"/>
    <w:rsid w:val="00990AB3"/>
    <w:rsid w:val="00990D96"/>
    <w:rsid w:val="009910A0"/>
    <w:rsid w:val="00991F3E"/>
    <w:rsid w:val="009920A1"/>
    <w:rsid w:val="00992215"/>
    <w:rsid w:val="0099253D"/>
    <w:rsid w:val="00992CB7"/>
    <w:rsid w:val="00992EDD"/>
    <w:rsid w:val="00992F06"/>
    <w:rsid w:val="00992F52"/>
    <w:rsid w:val="00992FA9"/>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06D6"/>
    <w:rsid w:val="009A1051"/>
    <w:rsid w:val="009A117D"/>
    <w:rsid w:val="009A1422"/>
    <w:rsid w:val="009A23AB"/>
    <w:rsid w:val="009A2452"/>
    <w:rsid w:val="009A248B"/>
    <w:rsid w:val="009A30C9"/>
    <w:rsid w:val="009A3A8B"/>
    <w:rsid w:val="009A3C1B"/>
    <w:rsid w:val="009A3D26"/>
    <w:rsid w:val="009A43CE"/>
    <w:rsid w:val="009A44F4"/>
    <w:rsid w:val="009A4A58"/>
    <w:rsid w:val="009A4C19"/>
    <w:rsid w:val="009A4D73"/>
    <w:rsid w:val="009A4F2D"/>
    <w:rsid w:val="009A551D"/>
    <w:rsid w:val="009A5CA5"/>
    <w:rsid w:val="009A67F7"/>
    <w:rsid w:val="009A6A34"/>
    <w:rsid w:val="009A6C68"/>
    <w:rsid w:val="009A7031"/>
    <w:rsid w:val="009A79F3"/>
    <w:rsid w:val="009B015F"/>
    <w:rsid w:val="009B0B72"/>
    <w:rsid w:val="009B0CC6"/>
    <w:rsid w:val="009B105D"/>
    <w:rsid w:val="009B1333"/>
    <w:rsid w:val="009B16D9"/>
    <w:rsid w:val="009B1C6A"/>
    <w:rsid w:val="009B1E90"/>
    <w:rsid w:val="009B23E0"/>
    <w:rsid w:val="009B2531"/>
    <w:rsid w:val="009B28E5"/>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2D"/>
    <w:rsid w:val="009B46E4"/>
    <w:rsid w:val="009B477B"/>
    <w:rsid w:val="009B483C"/>
    <w:rsid w:val="009B48F1"/>
    <w:rsid w:val="009B4E11"/>
    <w:rsid w:val="009B4EA5"/>
    <w:rsid w:val="009B4F83"/>
    <w:rsid w:val="009B52E9"/>
    <w:rsid w:val="009B552D"/>
    <w:rsid w:val="009B5568"/>
    <w:rsid w:val="009B56EE"/>
    <w:rsid w:val="009B5A91"/>
    <w:rsid w:val="009B5DA7"/>
    <w:rsid w:val="009B5EDA"/>
    <w:rsid w:val="009B5F68"/>
    <w:rsid w:val="009B6763"/>
    <w:rsid w:val="009B6D65"/>
    <w:rsid w:val="009B6E69"/>
    <w:rsid w:val="009B7706"/>
    <w:rsid w:val="009B7C09"/>
    <w:rsid w:val="009B7D4F"/>
    <w:rsid w:val="009C0052"/>
    <w:rsid w:val="009C02A0"/>
    <w:rsid w:val="009C0CE7"/>
    <w:rsid w:val="009C0D29"/>
    <w:rsid w:val="009C0E62"/>
    <w:rsid w:val="009C122D"/>
    <w:rsid w:val="009C14DF"/>
    <w:rsid w:val="009C1545"/>
    <w:rsid w:val="009C1688"/>
    <w:rsid w:val="009C21B3"/>
    <w:rsid w:val="009C288F"/>
    <w:rsid w:val="009C2D2F"/>
    <w:rsid w:val="009C324A"/>
    <w:rsid w:val="009C3498"/>
    <w:rsid w:val="009C3C95"/>
    <w:rsid w:val="009C4204"/>
    <w:rsid w:val="009C42B0"/>
    <w:rsid w:val="009C42B7"/>
    <w:rsid w:val="009C4717"/>
    <w:rsid w:val="009C491D"/>
    <w:rsid w:val="009C4F2D"/>
    <w:rsid w:val="009C5679"/>
    <w:rsid w:val="009C58AC"/>
    <w:rsid w:val="009C5BED"/>
    <w:rsid w:val="009C5E64"/>
    <w:rsid w:val="009C6598"/>
    <w:rsid w:val="009C6622"/>
    <w:rsid w:val="009C669B"/>
    <w:rsid w:val="009C69D6"/>
    <w:rsid w:val="009C6CDA"/>
    <w:rsid w:val="009C6DD7"/>
    <w:rsid w:val="009C73D6"/>
    <w:rsid w:val="009C74FC"/>
    <w:rsid w:val="009C776C"/>
    <w:rsid w:val="009C78A8"/>
    <w:rsid w:val="009C78AB"/>
    <w:rsid w:val="009C7BB6"/>
    <w:rsid w:val="009C7F11"/>
    <w:rsid w:val="009D03DF"/>
    <w:rsid w:val="009D04C7"/>
    <w:rsid w:val="009D1256"/>
    <w:rsid w:val="009D16E5"/>
    <w:rsid w:val="009D1BBD"/>
    <w:rsid w:val="009D1C88"/>
    <w:rsid w:val="009D2306"/>
    <w:rsid w:val="009D23ED"/>
    <w:rsid w:val="009D25A8"/>
    <w:rsid w:val="009D284E"/>
    <w:rsid w:val="009D2C7B"/>
    <w:rsid w:val="009D2E35"/>
    <w:rsid w:val="009D2F35"/>
    <w:rsid w:val="009D31F8"/>
    <w:rsid w:val="009D3739"/>
    <w:rsid w:val="009D3834"/>
    <w:rsid w:val="009D3856"/>
    <w:rsid w:val="009D3D22"/>
    <w:rsid w:val="009D47EE"/>
    <w:rsid w:val="009D47F6"/>
    <w:rsid w:val="009D4F80"/>
    <w:rsid w:val="009D50AC"/>
    <w:rsid w:val="009D542C"/>
    <w:rsid w:val="009D5BB4"/>
    <w:rsid w:val="009D5BFD"/>
    <w:rsid w:val="009D6215"/>
    <w:rsid w:val="009D64FF"/>
    <w:rsid w:val="009D65B3"/>
    <w:rsid w:val="009D663D"/>
    <w:rsid w:val="009D6D65"/>
    <w:rsid w:val="009D6ECA"/>
    <w:rsid w:val="009D78AF"/>
    <w:rsid w:val="009D7B88"/>
    <w:rsid w:val="009D7DC3"/>
    <w:rsid w:val="009E030E"/>
    <w:rsid w:val="009E14CE"/>
    <w:rsid w:val="009E15A2"/>
    <w:rsid w:val="009E16B6"/>
    <w:rsid w:val="009E1996"/>
    <w:rsid w:val="009E1DD8"/>
    <w:rsid w:val="009E1DE2"/>
    <w:rsid w:val="009E1F60"/>
    <w:rsid w:val="009E20A9"/>
    <w:rsid w:val="009E228E"/>
    <w:rsid w:val="009E2383"/>
    <w:rsid w:val="009E2424"/>
    <w:rsid w:val="009E27D8"/>
    <w:rsid w:val="009E2972"/>
    <w:rsid w:val="009E2B2B"/>
    <w:rsid w:val="009E300C"/>
    <w:rsid w:val="009E332D"/>
    <w:rsid w:val="009E33FA"/>
    <w:rsid w:val="009E36A3"/>
    <w:rsid w:val="009E3CA2"/>
    <w:rsid w:val="009E3D09"/>
    <w:rsid w:val="009E467C"/>
    <w:rsid w:val="009E49D8"/>
    <w:rsid w:val="009E50CE"/>
    <w:rsid w:val="009E5311"/>
    <w:rsid w:val="009E5423"/>
    <w:rsid w:val="009E56FB"/>
    <w:rsid w:val="009E5974"/>
    <w:rsid w:val="009E5D37"/>
    <w:rsid w:val="009E6036"/>
    <w:rsid w:val="009E65D5"/>
    <w:rsid w:val="009E76A0"/>
    <w:rsid w:val="009E7960"/>
    <w:rsid w:val="009E7C00"/>
    <w:rsid w:val="009E7FD2"/>
    <w:rsid w:val="009F0BAD"/>
    <w:rsid w:val="009F0C7F"/>
    <w:rsid w:val="009F11DD"/>
    <w:rsid w:val="009F1790"/>
    <w:rsid w:val="009F1C08"/>
    <w:rsid w:val="009F2689"/>
    <w:rsid w:val="009F2F7A"/>
    <w:rsid w:val="009F3422"/>
    <w:rsid w:val="009F38B9"/>
    <w:rsid w:val="009F39DE"/>
    <w:rsid w:val="009F3CDE"/>
    <w:rsid w:val="009F41B2"/>
    <w:rsid w:val="009F55A6"/>
    <w:rsid w:val="009F5721"/>
    <w:rsid w:val="009F5BEC"/>
    <w:rsid w:val="009F5CC6"/>
    <w:rsid w:val="009F5ECC"/>
    <w:rsid w:val="009F65FD"/>
    <w:rsid w:val="009F6738"/>
    <w:rsid w:val="009F6E16"/>
    <w:rsid w:val="009F6ED5"/>
    <w:rsid w:val="009F746C"/>
    <w:rsid w:val="009F7528"/>
    <w:rsid w:val="009F78D7"/>
    <w:rsid w:val="009F7C55"/>
    <w:rsid w:val="00A00309"/>
    <w:rsid w:val="00A00B95"/>
    <w:rsid w:val="00A01856"/>
    <w:rsid w:val="00A01E0D"/>
    <w:rsid w:val="00A01F4C"/>
    <w:rsid w:val="00A02074"/>
    <w:rsid w:val="00A02395"/>
    <w:rsid w:val="00A02787"/>
    <w:rsid w:val="00A029BD"/>
    <w:rsid w:val="00A02CA8"/>
    <w:rsid w:val="00A03385"/>
    <w:rsid w:val="00A03AF9"/>
    <w:rsid w:val="00A0404C"/>
    <w:rsid w:val="00A0460D"/>
    <w:rsid w:val="00A047E5"/>
    <w:rsid w:val="00A05BAD"/>
    <w:rsid w:val="00A06550"/>
    <w:rsid w:val="00A06AC7"/>
    <w:rsid w:val="00A06F79"/>
    <w:rsid w:val="00A07336"/>
    <w:rsid w:val="00A07419"/>
    <w:rsid w:val="00A07622"/>
    <w:rsid w:val="00A07635"/>
    <w:rsid w:val="00A07E61"/>
    <w:rsid w:val="00A07E67"/>
    <w:rsid w:val="00A07F2C"/>
    <w:rsid w:val="00A1066E"/>
    <w:rsid w:val="00A10B20"/>
    <w:rsid w:val="00A1153B"/>
    <w:rsid w:val="00A11841"/>
    <w:rsid w:val="00A11D95"/>
    <w:rsid w:val="00A11FD7"/>
    <w:rsid w:val="00A1261C"/>
    <w:rsid w:val="00A13857"/>
    <w:rsid w:val="00A13D46"/>
    <w:rsid w:val="00A140A1"/>
    <w:rsid w:val="00A14B70"/>
    <w:rsid w:val="00A14F5E"/>
    <w:rsid w:val="00A152A5"/>
    <w:rsid w:val="00A15438"/>
    <w:rsid w:val="00A156FC"/>
    <w:rsid w:val="00A15879"/>
    <w:rsid w:val="00A1604A"/>
    <w:rsid w:val="00A16436"/>
    <w:rsid w:val="00A16ACA"/>
    <w:rsid w:val="00A16F58"/>
    <w:rsid w:val="00A16F9E"/>
    <w:rsid w:val="00A1700F"/>
    <w:rsid w:val="00A17983"/>
    <w:rsid w:val="00A17C33"/>
    <w:rsid w:val="00A17C66"/>
    <w:rsid w:val="00A17F93"/>
    <w:rsid w:val="00A20524"/>
    <w:rsid w:val="00A20980"/>
    <w:rsid w:val="00A20A06"/>
    <w:rsid w:val="00A20B6D"/>
    <w:rsid w:val="00A20B84"/>
    <w:rsid w:val="00A20C93"/>
    <w:rsid w:val="00A214DE"/>
    <w:rsid w:val="00A21972"/>
    <w:rsid w:val="00A22DAC"/>
    <w:rsid w:val="00A22DE7"/>
    <w:rsid w:val="00A22FA2"/>
    <w:rsid w:val="00A23923"/>
    <w:rsid w:val="00A23D8E"/>
    <w:rsid w:val="00A23E47"/>
    <w:rsid w:val="00A24055"/>
    <w:rsid w:val="00A2419A"/>
    <w:rsid w:val="00A24633"/>
    <w:rsid w:val="00A2483C"/>
    <w:rsid w:val="00A24C85"/>
    <w:rsid w:val="00A24E16"/>
    <w:rsid w:val="00A2502F"/>
    <w:rsid w:val="00A250BA"/>
    <w:rsid w:val="00A2538C"/>
    <w:rsid w:val="00A254C7"/>
    <w:rsid w:val="00A257BB"/>
    <w:rsid w:val="00A25A32"/>
    <w:rsid w:val="00A26012"/>
    <w:rsid w:val="00A2620B"/>
    <w:rsid w:val="00A267AD"/>
    <w:rsid w:val="00A26AD2"/>
    <w:rsid w:val="00A26CA2"/>
    <w:rsid w:val="00A26E1C"/>
    <w:rsid w:val="00A26E74"/>
    <w:rsid w:val="00A2715B"/>
    <w:rsid w:val="00A271ED"/>
    <w:rsid w:val="00A27204"/>
    <w:rsid w:val="00A27D9B"/>
    <w:rsid w:val="00A2F5D8"/>
    <w:rsid w:val="00A301DE"/>
    <w:rsid w:val="00A302F5"/>
    <w:rsid w:val="00A30554"/>
    <w:rsid w:val="00A3060C"/>
    <w:rsid w:val="00A30BA9"/>
    <w:rsid w:val="00A30E12"/>
    <w:rsid w:val="00A30E8F"/>
    <w:rsid w:val="00A313B0"/>
    <w:rsid w:val="00A313DB"/>
    <w:rsid w:val="00A31766"/>
    <w:rsid w:val="00A31E8B"/>
    <w:rsid w:val="00A320B8"/>
    <w:rsid w:val="00A327FC"/>
    <w:rsid w:val="00A32A3B"/>
    <w:rsid w:val="00A33341"/>
    <w:rsid w:val="00A33F0A"/>
    <w:rsid w:val="00A342B2"/>
    <w:rsid w:val="00A34354"/>
    <w:rsid w:val="00A34928"/>
    <w:rsid w:val="00A34A74"/>
    <w:rsid w:val="00A34E14"/>
    <w:rsid w:val="00A352A8"/>
    <w:rsid w:val="00A35852"/>
    <w:rsid w:val="00A35A89"/>
    <w:rsid w:val="00A369C4"/>
    <w:rsid w:val="00A373DD"/>
    <w:rsid w:val="00A37428"/>
    <w:rsid w:val="00A37AA9"/>
    <w:rsid w:val="00A37AB7"/>
    <w:rsid w:val="00A37FA2"/>
    <w:rsid w:val="00A4023F"/>
    <w:rsid w:val="00A40683"/>
    <w:rsid w:val="00A40736"/>
    <w:rsid w:val="00A407FC"/>
    <w:rsid w:val="00A40C92"/>
    <w:rsid w:val="00A41096"/>
    <w:rsid w:val="00A41223"/>
    <w:rsid w:val="00A41632"/>
    <w:rsid w:val="00A41B2E"/>
    <w:rsid w:val="00A41D42"/>
    <w:rsid w:val="00A42103"/>
    <w:rsid w:val="00A42813"/>
    <w:rsid w:val="00A42831"/>
    <w:rsid w:val="00A42B9B"/>
    <w:rsid w:val="00A42E85"/>
    <w:rsid w:val="00A43075"/>
    <w:rsid w:val="00A4385E"/>
    <w:rsid w:val="00A44228"/>
    <w:rsid w:val="00A442BB"/>
    <w:rsid w:val="00A4434D"/>
    <w:rsid w:val="00A445FA"/>
    <w:rsid w:val="00A447B5"/>
    <w:rsid w:val="00A44CB7"/>
    <w:rsid w:val="00A44D4C"/>
    <w:rsid w:val="00A45329"/>
    <w:rsid w:val="00A45798"/>
    <w:rsid w:val="00A458C5"/>
    <w:rsid w:val="00A45F6C"/>
    <w:rsid w:val="00A46094"/>
    <w:rsid w:val="00A460F3"/>
    <w:rsid w:val="00A461EF"/>
    <w:rsid w:val="00A464BE"/>
    <w:rsid w:val="00A46506"/>
    <w:rsid w:val="00A46A05"/>
    <w:rsid w:val="00A471C1"/>
    <w:rsid w:val="00A477E9"/>
    <w:rsid w:val="00A47E04"/>
    <w:rsid w:val="00A500C3"/>
    <w:rsid w:val="00A500DE"/>
    <w:rsid w:val="00A50212"/>
    <w:rsid w:val="00A507D8"/>
    <w:rsid w:val="00A50F0F"/>
    <w:rsid w:val="00A51696"/>
    <w:rsid w:val="00A51721"/>
    <w:rsid w:val="00A51801"/>
    <w:rsid w:val="00A51B7C"/>
    <w:rsid w:val="00A521C8"/>
    <w:rsid w:val="00A522C3"/>
    <w:rsid w:val="00A524BD"/>
    <w:rsid w:val="00A5305D"/>
    <w:rsid w:val="00A53857"/>
    <w:rsid w:val="00A5401A"/>
    <w:rsid w:val="00A545C8"/>
    <w:rsid w:val="00A547A0"/>
    <w:rsid w:val="00A5485A"/>
    <w:rsid w:val="00A548C5"/>
    <w:rsid w:val="00A55810"/>
    <w:rsid w:val="00A559A4"/>
    <w:rsid w:val="00A55DE9"/>
    <w:rsid w:val="00A55F05"/>
    <w:rsid w:val="00A563BD"/>
    <w:rsid w:val="00A56780"/>
    <w:rsid w:val="00A56C29"/>
    <w:rsid w:val="00A56EC5"/>
    <w:rsid w:val="00A5721B"/>
    <w:rsid w:val="00A574FE"/>
    <w:rsid w:val="00A57CFB"/>
    <w:rsid w:val="00A57D9F"/>
    <w:rsid w:val="00A603A7"/>
    <w:rsid w:val="00A603D1"/>
    <w:rsid w:val="00A606B0"/>
    <w:rsid w:val="00A60ABD"/>
    <w:rsid w:val="00A60AC1"/>
    <w:rsid w:val="00A60C66"/>
    <w:rsid w:val="00A617EC"/>
    <w:rsid w:val="00A618B8"/>
    <w:rsid w:val="00A61DD5"/>
    <w:rsid w:val="00A61E42"/>
    <w:rsid w:val="00A61EFA"/>
    <w:rsid w:val="00A61FF5"/>
    <w:rsid w:val="00A6212E"/>
    <w:rsid w:val="00A62326"/>
    <w:rsid w:val="00A623FE"/>
    <w:rsid w:val="00A629A4"/>
    <w:rsid w:val="00A62CAD"/>
    <w:rsid w:val="00A62F7D"/>
    <w:rsid w:val="00A63591"/>
    <w:rsid w:val="00A638AC"/>
    <w:rsid w:val="00A63DD3"/>
    <w:rsid w:val="00A64044"/>
    <w:rsid w:val="00A64184"/>
    <w:rsid w:val="00A643EF"/>
    <w:rsid w:val="00A64579"/>
    <w:rsid w:val="00A64853"/>
    <w:rsid w:val="00A64893"/>
    <w:rsid w:val="00A652DC"/>
    <w:rsid w:val="00A653F2"/>
    <w:rsid w:val="00A65778"/>
    <w:rsid w:val="00A65A31"/>
    <w:rsid w:val="00A67EF4"/>
    <w:rsid w:val="00A67F21"/>
    <w:rsid w:val="00A70186"/>
    <w:rsid w:val="00A701BE"/>
    <w:rsid w:val="00A7049A"/>
    <w:rsid w:val="00A709D8"/>
    <w:rsid w:val="00A71153"/>
    <w:rsid w:val="00A711D7"/>
    <w:rsid w:val="00A71278"/>
    <w:rsid w:val="00A712EC"/>
    <w:rsid w:val="00A715A4"/>
    <w:rsid w:val="00A71C72"/>
    <w:rsid w:val="00A71DF9"/>
    <w:rsid w:val="00A71F14"/>
    <w:rsid w:val="00A720AD"/>
    <w:rsid w:val="00A72452"/>
    <w:rsid w:val="00A726A2"/>
    <w:rsid w:val="00A72807"/>
    <w:rsid w:val="00A729F4"/>
    <w:rsid w:val="00A72ED0"/>
    <w:rsid w:val="00A7320F"/>
    <w:rsid w:val="00A734EB"/>
    <w:rsid w:val="00A73B4B"/>
    <w:rsid w:val="00A73D20"/>
    <w:rsid w:val="00A73D34"/>
    <w:rsid w:val="00A74670"/>
    <w:rsid w:val="00A7479A"/>
    <w:rsid w:val="00A75245"/>
    <w:rsid w:val="00A75509"/>
    <w:rsid w:val="00A7558A"/>
    <w:rsid w:val="00A75CD4"/>
    <w:rsid w:val="00A75D63"/>
    <w:rsid w:val="00A7609A"/>
    <w:rsid w:val="00A76210"/>
    <w:rsid w:val="00A7646E"/>
    <w:rsid w:val="00A764F9"/>
    <w:rsid w:val="00A76B5B"/>
    <w:rsid w:val="00A76CF0"/>
    <w:rsid w:val="00A773DC"/>
    <w:rsid w:val="00A7788D"/>
    <w:rsid w:val="00A778CD"/>
    <w:rsid w:val="00A77C16"/>
    <w:rsid w:val="00A806FC"/>
    <w:rsid w:val="00A80861"/>
    <w:rsid w:val="00A80A4A"/>
    <w:rsid w:val="00A80BCD"/>
    <w:rsid w:val="00A80EAE"/>
    <w:rsid w:val="00A81CEE"/>
    <w:rsid w:val="00A81E3D"/>
    <w:rsid w:val="00A82436"/>
    <w:rsid w:val="00A83027"/>
    <w:rsid w:val="00A8330B"/>
    <w:rsid w:val="00A83357"/>
    <w:rsid w:val="00A8408D"/>
    <w:rsid w:val="00A84283"/>
    <w:rsid w:val="00A843A5"/>
    <w:rsid w:val="00A843F5"/>
    <w:rsid w:val="00A8447B"/>
    <w:rsid w:val="00A844B8"/>
    <w:rsid w:val="00A84832"/>
    <w:rsid w:val="00A84CED"/>
    <w:rsid w:val="00A84E0F"/>
    <w:rsid w:val="00A85420"/>
    <w:rsid w:val="00A8556A"/>
    <w:rsid w:val="00A85A4B"/>
    <w:rsid w:val="00A85D69"/>
    <w:rsid w:val="00A8605A"/>
    <w:rsid w:val="00A86411"/>
    <w:rsid w:val="00A864D2"/>
    <w:rsid w:val="00A86744"/>
    <w:rsid w:val="00A8677E"/>
    <w:rsid w:val="00A867CF"/>
    <w:rsid w:val="00A86FC8"/>
    <w:rsid w:val="00A871BE"/>
    <w:rsid w:val="00A87714"/>
    <w:rsid w:val="00A879E2"/>
    <w:rsid w:val="00A87F97"/>
    <w:rsid w:val="00A902E4"/>
    <w:rsid w:val="00A9090D"/>
    <w:rsid w:val="00A90AEB"/>
    <w:rsid w:val="00A90B7B"/>
    <w:rsid w:val="00A90BB4"/>
    <w:rsid w:val="00A91829"/>
    <w:rsid w:val="00A91849"/>
    <w:rsid w:val="00A9197E"/>
    <w:rsid w:val="00A91AF5"/>
    <w:rsid w:val="00A91F88"/>
    <w:rsid w:val="00A91FB4"/>
    <w:rsid w:val="00A91FF0"/>
    <w:rsid w:val="00A92613"/>
    <w:rsid w:val="00A936B0"/>
    <w:rsid w:val="00A93723"/>
    <w:rsid w:val="00A93D8C"/>
    <w:rsid w:val="00A93E50"/>
    <w:rsid w:val="00A94F0D"/>
    <w:rsid w:val="00A95607"/>
    <w:rsid w:val="00A95815"/>
    <w:rsid w:val="00A95A4C"/>
    <w:rsid w:val="00A95DB4"/>
    <w:rsid w:val="00A95F2D"/>
    <w:rsid w:val="00A9602C"/>
    <w:rsid w:val="00A96821"/>
    <w:rsid w:val="00A974E7"/>
    <w:rsid w:val="00AA0F5B"/>
    <w:rsid w:val="00AA1BB2"/>
    <w:rsid w:val="00AA2244"/>
    <w:rsid w:val="00AA27B7"/>
    <w:rsid w:val="00AA27D2"/>
    <w:rsid w:val="00AA2B1E"/>
    <w:rsid w:val="00AA2F94"/>
    <w:rsid w:val="00AA323B"/>
    <w:rsid w:val="00AA32A7"/>
    <w:rsid w:val="00AA33DC"/>
    <w:rsid w:val="00AA36F7"/>
    <w:rsid w:val="00AA3B9F"/>
    <w:rsid w:val="00AA464C"/>
    <w:rsid w:val="00AA4B5E"/>
    <w:rsid w:val="00AA4CBA"/>
    <w:rsid w:val="00AA4D7F"/>
    <w:rsid w:val="00AA529B"/>
    <w:rsid w:val="00AA5A70"/>
    <w:rsid w:val="00AA5FDD"/>
    <w:rsid w:val="00AA6246"/>
    <w:rsid w:val="00AA630A"/>
    <w:rsid w:val="00AA6A7A"/>
    <w:rsid w:val="00AA6D15"/>
    <w:rsid w:val="00AA72AD"/>
    <w:rsid w:val="00AA798A"/>
    <w:rsid w:val="00AA7FD6"/>
    <w:rsid w:val="00AB008D"/>
    <w:rsid w:val="00AB0332"/>
    <w:rsid w:val="00AB0B72"/>
    <w:rsid w:val="00AB11CB"/>
    <w:rsid w:val="00AB131D"/>
    <w:rsid w:val="00AB15AD"/>
    <w:rsid w:val="00AB1C07"/>
    <w:rsid w:val="00AB25B6"/>
    <w:rsid w:val="00AB2B3B"/>
    <w:rsid w:val="00AB2BEB"/>
    <w:rsid w:val="00AB2D28"/>
    <w:rsid w:val="00AB322F"/>
    <w:rsid w:val="00AB325A"/>
    <w:rsid w:val="00AB365D"/>
    <w:rsid w:val="00AB38E3"/>
    <w:rsid w:val="00AB3D11"/>
    <w:rsid w:val="00AB3DCD"/>
    <w:rsid w:val="00AB3F07"/>
    <w:rsid w:val="00AB4573"/>
    <w:rsid w:val="00AB4596"/>
    <w:rsid w:val="00AB4A1C"/>
    <w:rsid w:val="00AB53D8"/>
    <w:rsid w:val="00AB57CA"/>
    <w:rsid w:val="00AB5CD3"/>
    <w:rsid w:val="00AB6F46"/>
    <w:rsid w:val="00AB708E"/>
    <w:rsid w:val="00AB7283"/>
    <w:rsid w:val="00AB73AE"/>
    <w:rsid w:val="00AB785E"/>
    <w:rsid w:val="00AB7B69"/>
    <w:rsid w:val="00AB7EFE"/>
    <w:rsid w:val="00AC01AF"/>
    <w:rsid w:val="00AC0947"/>
    <w:rsid w:val="00AC0998"/>
    <w:rsid w:val="00AC0A37"/>
    <w:rsid w:val="00AC0AA4"/>
    <w:rsid w:val="00AC0B0B"/>
    <w:rsid w:val="00AC0CC8"/>
    <w:rsid w:val="00AC103B"/>
    <w:rsid w:val="00AC109A"/>
    <w:rsid w:val="00AC1112"/>
    <w:rsid w:val="00AC130D"/>
    <w:rsid w:val="00AC2053"/>
    <w:rsid w:val="00AC22F7"/>
    <w:rsid w:val="00AC2579"/>
    <w:rsid w:val="00AC281A"/>
    <w:rsid w:val="00AC2A07"/>
    <w:rsid w:val="00AC30CB"/>
    <w:rsid w:val="00AC345F"/>
    <w:rsid w:val="00AC37D5"/>
    <w:rsid w:val="00AC3E1C"/>
    <w:rsid w:val="00AC44BF"/>
    <w:rsid w:val="00AC450E"/>
    <w:rsid w:val="00AC4616"/>
    <w:rsid w:val="00AC461A"/>
    <w:rsid w:val="00AC4A63"/>
    <w:rsid w:val="00AC4B33"/>
    <w:rsid w:val="00AC4D5A"/>
    <w:rsid w:val="00AC5167"/>
    <w:rsid w:val="00AC517E"/>
    <w:rsid w:val="00AC568A"/>
    <w:rsid w:val="00AC590C"/>
    <w:rsid w:val="00AC59F0"/>
    <w:rsid w:val="00AC5BEA"/>
    <w:rsid w:val="00AC5E2A"/>
    <w:rsid w:val="00AC5FA9"/>
    <w:rsid w:val="00AC60AE"/>
    <w:rsid w:val="00AC616F"/>
    <w:rsid w:val="00AC620B"/>
    <w:rsid w:val="00AC6B4C"/>
    <w:rsid w:val="00AC6C87"/>
    <w:rsid w:val="00AC6DCC"/>
    <w:rsid w:val="00AC6FED"/>
    <w:rsid w:val="00AC700D"/>
    <w:rsid w:val="00AC71E1"/>
    <w:rsid w:val="00AC7494"/>
    <w:rsid w:val="00AC7570"/>
    <w:rsid w:val="00AC7A49"/>
    <w:rsid w:val="00AC7DE2"/>
    <w:rsid w:val="00AD031E"/>
    <w:rsid w:val="00AD0459"/>
    <w:rsid w:val="00AD05CF"/>
    <w:rsid w:val="00AD0816"/>
    <w:rsid w:val="00AD0A7D"/>
    <w:rsid w:val="00AD1A3D"/>
    <w:rsid w:val="00AD26CA"/>
    <w:rsid w:val="00AD2A81"/>
    <w:rsid w:val="00AD3077"/>
    <w:rsid w:val="00AD31C0"/>
    <w:rsid w:val="00AD3267"/>
    <w:rsid w:val="00AD32EE"/>
    <w:rsid w:val="00AD332E"/>
    <w:rsid w:val="00AD341D"/>
    <w:rsid w:val="00AD35E0"/>
    <w:rsid w:val="00AD38B3"/>
    <w:rsid w:val="00AD4140"/>
    <w:rsid w:val="00AD4EA2"/>
    <w:rsid w:val="00AD4F9A"/>
    <w:rsid w:val="00AD5C2D"/>
    <w:rsid w:val="00AD6A7A"/>
    <w:rsid w:val="00AD6D23"/>
    <w:rsid w:val="00AD7040"/>
    <w:rsid w:val="00AD7A67"/>
    <w:rsid w:val="00AD7B54"/>
    <w:rsid w:val="00AD7CB2"/>
    <w:rsid w:val="00AE00C7"/>
    <w:rsid w:val="00AE00E0"/>
    <w:rsid w:val="00AE02D8"/>
    <w:rsid w:val="00AE058D"/>
    <w:rsid w:val="00AE066A"/>
    <w:rsid w:val="00AE06B6"/>
    <w:rsid w:val="00AE06F9"/>
    <w:rsid w:val="00AE1312"/>
    <w:rsid w:val="00AE1336"/>
    <w:rsid w:val="00AE153D"/>
    <w:rsid w:val="00AE16C5"/>
    <w:rsid w:val="00AE1973"/>
    <w:rsid w:val="00AE1A49"/>
    <w:rsid w:val="00AE1EED"/>
    <w:rsid w:val="00AE2EC4"/>
    <w:rsid w:val="00AE2FB6"/>
    <w:rsid w:val="00AE341D"/>
    <w:rsid w:val="00AE3550"/>
    <w:rsid w:val="00AE3699"/>
    <w:rsid w:val="00AE3813"/>
    <w:rsid w:val="00AE3F5E"/>
    <w:rsid w:val="00AE42FD"/>
    <w:rsid w:val="00AE485A"/>
    <w:rsid w:val="00AE486F"/>
    <w:rsid w:val="00AE4F2C"/>
    <w:rsid w:val="00AE52C0"/>
    <w:rsid w:val="00AE60ED"/>
    <w:rsid w:val="00AE64D6"/>
    <w:rsid w:val="00AE68EF"/>
    <w:rsid w:val="00AE6A07"/>
    <w:rsid w:val="00AE742B"/>
    <w:rsid w:val="00AE7E85"/>
    <w:rsid w:val="00AF025B"/>
    <w:rsid w:val="00AF03B2"/>
    <w:rsid w:val="00AF0772"/>
    <w:rsid w:val="00AF0E0E"/>
    <w:rsid w:val="00AF12FE"/>
    <w:rsid w:val="00AF1599"/>
    <w:rsid w:val="00AF1820"/>
    <w:rsid w:val="00AF19DB"/>
    <w:rsid w:val="00AF1DB5"/>
    <w:rsid w:val="00AF1FE8"/>
    <w:rsid w:val="00AF2287"/>
    <w:rsid w:val="00AF29D7"/>
    <w:rsid w:val="00AF2DDC"/>
    <w:rsid w:val="00AF312F"/>
    <w:rsid w:val="00AF34FB"/>
    <w:rsid w:val="00AF36AD"/>
    <w:rsid w:val="00AF37FF"/>
    <w:rsid w:val="00AF39F6"/>
    <w:rsid w:val="00AF3C97"/>
    <w:rsid w:val="00AF3DFB"/>
    <w:rsid w:val="00AF4203"/>
    <w:rsid w:val="00AF4537"/>
    <w:rsid w:val="00AF48BE"/>
    <w:rsid w:val="00AF4960"/>
    <w:rsid w:val="00AF4CAD"/>
    <w:rsid w:val="00AF51ED"/>
    <w:rsid w:val="00AF5650"/>
    <w:rsid w:val="00AF5D20"/>
    <w:rsid w:val="00AF6594"/>
    <w:rsid w:val="00AF6830"/>
    <w:rsid w:val="00AF6833"/>
    <w:rsid w:val="00AF780B"/>
    <w:rsid w:val="00AF7939"/>
    <w:rsid w:val="00AF794A"/>
    <w:rsid w:val="00AF7AC9"/>
    <w:rsid w:val="00B007F5"/>
    <w:rsid w:val="00B008F0"/>
    <w:rsid w:val="00B01572"/>
    <w:rsid w:val="00B017DB"/>
    <w:rsid w:val="00B0192D"/>
    <w:rsid w:val="00B01B09"/>
    <w:rsid w:val="00B01C57"/>
    <w:rsid w:val="00B01D20"/>
    <w:rsid w:val="00B01ED7"/>
    <w:rsid w:val="00B02182"/>
    <w:rsid w:val="00B027B4"/>
    <w:rsid w:val="00B027DC"/>
    <w:rsid w:val="00B028D3"/>
    <w:rsid w:val="00B02A5F"/>
    <w:rsid w:val="00B02C83"/>
    <w:rsid w:val="00B02F88"/>
    <w:rsid w:val="00B03506"/>
    <w:rsid w:val="00B035A0"/>
    <w:rsid w:val="00B039AA"/>
    <w:rsid w:val="00B039F4"/>
    <w:rsid w:val="00B03A59"/>
    <w:rsid w:val="00B03AA6"/>
    <w:rsid w:val="00B048AB"/>
    <w:rsid w:val="00B053ED"/>
    <w:rsid w:val="00B0554B"/>
    <w:rsid w:val="00B0663C"/>
    <w:rsid w:val="00B066DF"/>
    <w:rsid w:val="00B06F0A"/>
    <w:rsid w:val="00B073E5"/>
    <w:rsid w:val="00B07AFF"/>
    <w:rsid w:val="00B1001D"/>
    <w:rsid w:val="00B10451"/>
    <w:rsid w:val="00B109EF"/>
    <w:rsid w:val="00B10E55"/>
    <w:rsid w:val="00B10EE4"/>
    <w:rsid w:val="00B11587"/>
    <w:rsid w:val="00B1183A"/>
    <w:rsid w:val="00B11ADA"/>
    <w:rsid w:val="00B12008"/>
    <w:rsid w:val="00B12601"/>
    <w:rsid w:val="00B12910"/>
    <w:rsid w:val="00B12C75"/>
    <w:rsid w:val="00B1339A"/>
    <w:rsid w:val="00B13555"/>
    <w:rsid w:val="00B13741"/>
    <w:rsid w:val="00B13AE9"/>
    <w:rsid w:val="00B13C69"/>
    <w:rsid w:val="00B13F71"/>
    <w:rsid w:val="00B14243"/>
    <w:rsid w:val="00B14AB7"/>
    <w:rsid w:val="00B14C13"/>
    <w:rsid w:val="00B14CB3"/>
    <w:rsid w:val="00B15498"/>
    <w:rsid w:val="00B15A6B"/>
    <w:rsid w:val="00B15B2B"/>
    <w:rsid w:val="00B15D8C"/>
    <w:rsid w:val="00B15F0D"/>
    <w:rsid w:val="00B16FA0"/>
    <w:rsid w:val="00B17339"/>
    <w:rsid w:val="00B1745E"/>
    <w:rsid w:val="00B1759E"/>
    <w:rsid w:val="00B177B2"/>
    <w:rsid w:val="00B17907"/>
    <w:rsid w:val="00B179B9"/>
    <w:rsid w:val="00B17A4D"/>
    <w:rsid w:val="00B17E84"/>
    <w:rsid w:val="00B2020F"/>
    <w:rsid w:val="00B20356"/>
    <w:rsid w:val="00B2041B"/>
    <w:rsid w:val="00B20581"/>
    <w:rsid w:val="00B2058A"/>
    <w:rsid w:val="00B206FE"/>
    <w:rsid w:val="00B215DF"/>
    <w:rsid w:val="00B21730"/>
    <w:rsid w:val="00B21997"/>
    <w:rsid w:val="00B21C34"/>
    <w:rsid w:val="00B21FDE"/>
    <w:rsid w:val="00B22305"/>
    <w:rsid w:val="00B225A4"/>
    <w:rsid w:val="00B22690"/>
    <w:rsid w:val="00B22BCB"/>
    <w:rsid w:val="00B23042"/>
    <w:rsid w:val="00B23703"/>
    <w:rsid w:val="00B23743"/>
    <w:rsid w:val="00B23950"/>
    <w:rsid w:val="00B23994"/>
    <w:rsid w:val="00B23A0F"/>
    <w:rsid w:val="00B24417"/>
    <w:rsid w:val="00B24CC5"/>
    <w:rsid w:val="00B254D8"/>
    <w:rsid w:val="00B26694"/>
    <w:rsid w:val="00B26929"/>
    <w:rsid w:val="00B26968"/>
    <w:rsid w:val="00B26D7E"/>
    <w:rsid w:val="00B27249"/>
    <w:rsid w:val="00B27532"/>
    <w:rsid w:val="00B27C27"/>
    <w:rsid w:val="00B27E25"/>
    <w:rsid w:val="00B3008A"/>
    <w:rsid w:val="00B304EB"/>
    <w:rsid w:val="00B30550"/>
    <w:rsid w:val="00B30BC1"/>
    <w:rsid w:val="00B31527"/>
    <w:rsid w:val="00B31C89"/>
    <w:rsid w:val="00B32284"/>
    <w:rsid w:val="00B325B9"/>
    <w:rsid w:val="00B32C2D"/>
    <w:rsid w:val="00B32C7D"/>
    <w:rsid w:val="00B32CCC"/>
    <w:rsid w:val="00B32DAE"/>
    <w:rsid w:val="00B337CB"/>
    <w:rsid w:val="00B33C4B"/>
    <w:rsid w:val="00B3417A"/>
    <w:rsid w:val="00B34681"/>
    <w:rsid w:val="00B34924"/>
    <w:rsid w:val="00B3513F"/>
    <w:rsid w:val="00B3515C"/>
    <w:rsid w:val="00B35410"/>
    <w:rsid w:val="00B354B5"/>
    <w:rsid w:val="00B35C96"/>
    <w:rsid w:val="00B363D6"/>
    <w:rsid w:val="00B3644B"/>
    <w:rsid w:val="00B3654D"/>
    <w:rsid w:val="00B37117"/>
    <w:rsid w:val="00B372E2"/>
    <w:rsid w:val="00B37451"/>
    <w:rsid w:val="00B376BB"/>
    <w:rsid w:val="00B377C8"/>
    <w:rsid w:val="00B37A66"/>
    <w:rsid w:val="00B37BD1"/>
    <w:rsid w:val="00B37EC8"/>
    <w:rsid w:val="00B4017B"/>
    <w:rsid w:val="00B40C4A"/>
    <w:rsid w:val="00B410CB"/>
    <w:rsid w:val="00B4110E"/>
    <w:rsid w:val="00B41158"/>
    <w:rsid w:val="00B411CF"/>
    <w:rsid w:val="00B41B25"/>
    <w:rsid w:val="00B41CBC"/>
    <w:rsid w:val="00B4240C"/>
    <w:rsid w:val="00B42918"/>
    <w:rsid w:val="00B42C04"/>
    <w:rsid w:val="00B43557"/>
    <w:rsid w:val="00B43C6B"/>
    <w:rsid w:val="00B43CC7"/>
    <w:rsid w:val="00B43CE7"/>
    <w:rsid w:val="00B43DF3"/>
    <w:rsid w:val="00B4467C"/>
    <w:rsid w:val="00B446D5"/>
    <w:rsid w:val="00B4529E"/>
    <w:rsid w:val="00B456F6"/>
    <w:rsid w:val="00B45B17"/>
    <w:rsid w:val="00B46665"/>
    <w:rsid w:val="00B46877"/>
    <w:rsid w:val="00B46A8B"/>
    <w:rsid w:val="00B472E6"/>
    <w:rsid w:val="00B47A4C"/>
    <w:rsid w:val="00B47B0E"/>
    <w:rsid w:val="00B500E5"/>
    <w:rsid w:val="00B5027E"/>
    <w:rsid w:val="00B5181C"/>
    <w:rsid w:val="00B51AF3"/>
    <w:rsid w:val="00B52270"/>
    <w:rsid w:val="00B52B1F"/>
    <w:rsid w:val="00B533CA"/>
    <w:rsid w:val="00B53572"/>
    <w:rsid w:val="00B53712"/>
    <w:rsid w:val="00B53E0E"/>
    <w:rsid w:val="00B54051"/>
    <w:rsid w:val="00B54335"/>
    <w:rsid w:val="00B5464F"/>
    <w:rsid w:val="00B5535B"/>
    <w:rsid w:val="00B557FA"/>
    <w:rsid w:val="00B55A26"/>
    <w:rsid w:val="00B55A59"/>
    <w:rsid w:val="00B55ABF"/>
    <w:rsid w:val="00B55CCC"/>
    <w:rsid w:val="00B560ED"/>
    <w:rsid w:val="00B56265"/>
    <w:rsid w:val="00B5644B"/>
    <w:rsid w:val="00B56949"/>
    <w:rsid w:val="00B56BC4"/>
    <w:rsid w:val="00B57229"/>
    <w:rsid w:val="00B57A7F"/>
    <w:rsid w:val="00B57CF8"/>
    <w:rsid w:val="00B57D13"/>
    <w:rsid w:val="00B600FA"/>
    <w:rsid w:val="00B605A2"/>
    <w:rsid w:val="00B60D43"/>
    <w:rsid w:val="00B60F41"/>
    <w:rsid w:val="00B60FE0"/>
    <w:rsid w:val="00B61AB7"/>
    <w:rsid w:val="00B61DD7"/>
    <w:rsid w:val="00B61F62"/>
    <w:rsid w:val="00B6283F"/>
    <w:rsid w:val="00B63380"/>
    <w:rsid w:val="00B6397B"/>
    <w:rsid w:val="00B63B77"/>
    <w:rsid w:val="00B6432F"/>
    <w:rsid w:val="00B643E5"/>
    <w:rsid w:val="00B64B6D"/>
    <w:rsid w:val="00B64BE3"/>
    <w:rsid w:val="00B64D0D"/>
    <w:rsid w:val="00B650E3"/>
    <w:rsid w:val="00B65583"/>
    <w:rsid w:val="00B6686B"/>
    <w:rsid w:val="00B66C03"/>
    <w:rsid w:val="00B67067"/>
    <w:rsid w:val="00B671DD"/>
    <w:rsid w:val="00B671EA"/>
    <w:rsid w:val="00B672CC"/>
    <w:rsid w:val="00B677D4"/>
    <w:rsid w:val="00B678FE"/>
    <w:rsid w:val="00B67C8F"/>
    <w:rsid w:val="00B706C7"/>
    <w:rsid w:val="00B70742"/>
    <w:rsid w:val="00B70B7A"/>
    <w:rsid w:val="00B70C25"/>
    <w:rsid w:val="00B70DCC"/>
    <w:rsid w:val="00B70DD0"/>
    <w:rsid w:val="00B70F9A"/>
    <w:rsid w:val="00B714F5"/>
    <w:rsid w:val="00B719D8"/>
    <w:rsid w:val="00B71B14"/>
    <w:rsid w:val="00B71CE7"/>
    <w:rsid w:val="00B71D18"/>
    <w:rsid w:val="00B71F71"/>
    <w:rsid w:val="00B72939"/>
    <w:rsid w:val="00B72B54"/>
    <w:rsid w:val="00B72F6A"/>
    <w:rsid w:val="00B72FD9"/>
    <w:rsid w:val="00B73082"/>
    <w:rsid w:val="00B73172"/>
    <w:rsid w:val="00B73D51"/>
    <w:rsid w:val="00B74709"/>
    <w:rsid w:val="00B751AC"/>
    <w:rsid w:val="00B762D5"/>
    <w:rsid w:val="00B76E3A"/>
    <w:rsid w:val="00B77309"/>
    <w:rsid w:val="00B775F8"/>
    <w:rsid w:val="00B7794E"/>
    <w:rsid w:val="00B77C8A"/>
    <w:rsid w:val="00B77DC5"/>
    <w:rsid w:val="00B80145"/>
    <w:rsid w:val="00B809ED"/>
    <w:rsid w:val="00B8108D"/>
    <w:rsid w:val="00B81124"/>
    <w:rsid w:val="00B81294"/>
    <w:rsid w:val="00B81325"/>
    <w:rsid w:val="00B81D3C"/>
    <w:rsid w:val="00B81E18"/>
    <w:rsid w:val="00B81F72"/>
    <w:rsid w:val="00B81FF0"/>
    <w:rsid w:val="00B82252"/>
    <w:rsid w:val="00B8262B"/>
    <w:rsid w:val="00B8264E"/>
    <w:rsid w:val="00B828C9"/>
    <w:rsid w:val="00B82B28"/>
    <w:rsid w:val="00B82E11"/>
    <w:rsid w:val="00B82FAB"/>
    <w:rsid w:val="00B82FB1"/>
    <w:rsid w:val="00B83389"/>
    <w:rsid w:val="00B834D8"/>
    <w:rsid w:val="00B8419B"/>
    <w:rsid w:val="00B84225"/>
    <w:rsid w:val="00B849C3"/>
    <w:rsid w:val="00B84EB0"/>
    <w:rsid w:val="00B851F5"/>
    <w:rsid w:val="00B85300"/>
    <w:rsid w:val="00B85542"/>
    <w:rsid w:val="00B8583F"/>
    <w:rsid w:val="00B85BFF"/>
    <w:rsid w:val="00B85DA8"/>
    <w:rsid w:val="00B86135"/>
    <w:rsid w:val="00B86B93"/>
    <w:rsid w:val="00B87846"/>
    <w:rsid w:val="00B87848"/>
    <w:rsid w:val="00B87AB7"/>
    <w:rsid w:val="00B87B4A"/>
    <w:rsid w:val="00B87ECB"/>
    <w:rsid w:val="00B9000B"/>
    <w:rsid w:val="00B900A9"/>
    <w:rsid w:val="00B906B7"/>
    <w:rsid w:val="00B90A15"/>
    <w:rsid w:val="00B90CD2"/>
    <w:rsid w:val="00B91196"/>
    <w:rsid w:val="00B91441"/>
    <w:rsid w:val="00B914AF"/>
    <w:rsid w:val="00B919E3"/>
    <w:rsid w:val="00B91A5B"/>
    <w:rsid w:val="00B91F33"/>
    <w:rsid w:val="00B926AA"/>
    <w:rsid w:val="00B9298D"/>
    <w:rsid w:val="00B92996"/>
    <w:rsid w:val="00B92A56"/>
    <w:rsid w:val="00B930FE"/>
    <w:rsid w:val="00B9319F"/>
    <w:rsid w:val="00B932CE"/>
    <w:rsid w:val="00B93383"/>
    <w:rsid w:val="00B933E1"/>
    <w:rsid w:val="00B936AD"/>
    <w:rsid w:val="00B936C6"/>
    <w:rsid w:val="00B936F1"/>
    <w:rsid w:val="00B93A90"/>
    <w:rsid w:val="00B9448D"/>
    <w:rsid w:val="00B947CD"/>
    <w:rsid w:val="00B94C9B"/>
    <w:rsid w:val="00B94E2D"/>
    <w:rsid w:val="00B95F1D"/>
    <w:rsid w:val="00B96070"/>
    <w:rsid w:val="00B9645E"/>
    <w:rsid w:val="00B965B8"/>
    <w:rsid w:val="00B968F6"/>
    <w:rsid w:val="00B96E1F"/>
    <w:rsid w:val="00B96E79"/>
    <w:rsid w:val="00B97467"/>
    <w:rsid w:val="00B97CA3"/>
    <w:rsid w:val="00BA0AF5"/>
    <w:rsid w:val="00BA160F"/>
    <w:rsid w:val="00BA17E1"/>
    <w:rsid w:val="00BA1868"/>
    <w:rsid w:val="00BA1F2F"/>
    <w:rsid w:val="00BA2852"/>
    <w:rsid w:val="00BA2DE1"/>
    <w:rsid w:val="00BA3308"/>
    <w:rsid w:val="00BA3901"/>
    <w:rsid w:val="00BA3C74"/>
    <w:rsid w:val="00BA3D90"/>
    <w:rsid w:val="00BA3F45"/>
    <w:rsid w:val="00BA48A8"/>
    <w:rsid w:val="00BA4D38"/>
    <w:rsid w:val="00BA4EC7"/>
    <w:rsid w:val="00BA4F0F"/>
    <w:rsid w:val="00BA54CD"/>
    <w:rsid w:val="00BA5BFE"/>
    <w:rsid w:val="00BA65A9"/>
    <w:rsid w:val="00BA69EA"/>
    <w:rsid w:val="00BA6F17"/>
    <w:rsid w:val="00BA7242"/>
    <w:rsid w:val="00BA7638"/>
    <w:rsid w:val="00BA799F"/>
    <w:rsid w:val="00BA7F36"/>
    <w:rsid w:val="00BB0050"/>
    <w:rsid w:val="00BB0112"/>
    <w:rsid w:val="00BB027F"/>
    <w:rsid w:val="00BB02AA"/>
    <w:rsid w:val="00BB0999"/>
    <w:rsid w:val="00BB0E11"/>
    <w:rsid w:val="00BB114D"/>
    <w:rsid w:val="00BB1BD3"/>
    <w:rsid w:val="00BB1C7E"/>
    <w:rsid w:val="00BB1C85"/>
    <w:rsid w:val="00BB2474"/>
    <w:rsid w:val="00BB28ED"/>
    <w:rsid w:val="00BB28F4"/>
    <w:rsid w:val="00BB29D5"/>
    <w:rsid w:val="00BB2DB5"/>
    <w:rsid w:val="00BB33C7"/>
    <w:rsid w:val="00BB44AA"/>
    <w:rsid w:val="00BB4780"/>
    <w:rsid w:val="00BB4B35"/>
    <w:rsid w:val="00BB5785"/>
    <w:rsid w:val="00BB5D1E"/>
    <w:rsid w:val="00BB6286"/>
    <w:rsid w:val="00BB67F8"/>
    <w:rsid w:val="00BB680D"/>
    <w:rsid w:val="00BB6896"/>
    <w:rsid w:val="00BB68C9"/>
    <w:rsid w:val="00BB6B6E"/>
    <w:rsid w:val="00BC0182"/>
    <w:rsid w:val="00BC093F"/>
    <w:rsid w:val="00BC0A2F"/>
    <w:rsid w:val="00BC0AD5"/>
    <w:rsid w:val="00BC0D39"/>
    <w:rsid w:val="00BC0FC2"/>
    <w:rsid w:val="00BC15E3"/>
    <w:rsid w:val="00BC16D7"/>
    <w:rsid w:val="00BC1A4A"/>
    <w:rsid w:val="00BC1B8A"/>
    <w:rsid w:val="00BC2105"/>
    <w:rsid w:val="00BC28DC"/>
    <w:rsid w:val="00BC31F3"/>
    <w:rsid w:val="00BC460A"/>
    <w:rsid w:val="00BC46A8"/>
    <w:rsid w:val="00BC578D"/>
    <w:rsid w:val="00BC58DE"/>
    <w:rsid w:val="00BC5B41"/>
    <w:rsid w:val="00BC5BCC"/>
    <w:rsid w:val="00BC5E1D"/>
    <w:rsid w:val="00BC6272"/>
    <w:rsid w:val="00BC64B0"/>
    <w:rsid w:val="00BC6703"/>
    <w:rsid w:val="00BC6B01"/>
    <w:rsid w:val="00BC76D4"/>
    <w:rsid w:val="00BC7B41"/>
    <w:rsid w:val="00BC7F01"/>
    <w:rsid w:val="00BC7F1C"/>
    <w:rsid w:val="00BD0279"/>
    <w:rsid w:val="00BD06A4"/>
    <w:rsid w:val="00BD0B17"/>
    <w:rsid w:val="00BD1049"/>
    <w:rsid w:val="00BD1461"/>
    <w:rsid w:val="00BD180D"/>
    <w:rsid w:val="00BD1C9C"/>
    <w:rsid w:val="00BD1DBE"/>
    <w:rsid w:val="00BD1F05"/>
    <w:rsid w:val="00BD282A"/>
    <w:rsid w:val="00BD29E1"/>
    <w:rsid w:val="00BD2B69"/>
    <w:rsid w:val="00BD35FB"/>
    <w:rsid w:val="00BD36D7"/>
    <w:rsid w:val="00BD44E9"/>
    <w:rsid w:val="00BD4875"/>
    <w:rsid w:val="00BD49CF"/>
    <w:rsid w:val="00BD4D14"/>
    <w:rsid w:val="00BD4F7A"/>
    <w:rsid w:val="00BD50A0"/>
    <w:rsid w:val="00BD52A9"/>
    <w:rsid w:val="00BD53BD"/>
    <w:rsid w:val="00BD56FA"/>
    <w:rsid w:val="00BD5DA7"/>
    <w:rsid w:val="00BD669A"/>
    <w:rsid w:val="00BD6701"/>
    <w:rsid w:val="00BD7268"/>
    <w:rsid w:val="00BD74BD"/>
    <w:rsid w:val="00BD74E0"/>
    <w:rsid w:val="00BD786A"/>
    <w:rsid w:val="00BE076E"/>
    <w:rsid w:val="00BE0B40"/>
    <w:rsid w:val="00BE0D58"/>
    <w:rsid w:val="00BE11EA"/>
    <w:rsid w:val="00BE1973"/>
    <w:rsid w:val="00BE208F"/>
    <w:rsid w:val="00BE20FA"/>
    <w:rsid w:val="00BE216C"/>
    <w:rsid w:val="00BE235E"/>
    <w:rsid w:val="00BE298D"/>
    <w:rsid w:val="00BE29DF"/>
    <w:rsid w:val="00BE3652"/>
    <w:rsid w:val="00BE3722"/>
    <w:rsid w:val="00BE3749"/>
    <w:rsid w:val="00BE3E0D"/>
    <w:rsid w:val="00BE4154"/>
    <w:rsid w:val="00BE52DE"/>
    <w:rsid w:val="00BE57D4"/>
    <w:rsid w:val="00BE5D94"/>
    <w:rsid w:val="00BE6763"/>
    <w:rsid w:val="00BE69B6"/>
    <w:rsid w:val="00BE6CC6"/>
    <w:rsid w:val="00BE6E92"/>
    <w:rsid w:val="00BE6FF1"/>
    <w:rsid w:val="00BE7230"/>
    <w:rsid w:val="00BE7234"/>
    <w:rsid w:val="00BE7FC9"/>
    <w:rsid w:val="00BF0F63"/>
    <w:rsid w:val="00BF13ED"/>
    <w:rsid w:val="00BF18A4"/>
    <w:rsid w:val="00BF1A8E"/>
    <w:rsid w:val="00BF20EC"/>
    <w:rsid w:val="00BF21B8"/>
    <w:rsid w:val="00BF252C"/>
    <w:rsid w:val="00BF2BBF"/>
    <w:rsid w:val="00BF2BF9"/>
    <w:rsid w:val="00BF2CFA"/>
    <w:rsid w:val="00BF2F5C"/>
    <w:rsid w:val="00BF31E0"/>
    <w:rsid w:val="00BF32FB"/>
    <w:rsid w:val="00BF3D2F"/>
    <w:rsid w:val="00BF3F1D"/>
    <w:rsid w:val="00BF4251"/>
    <w:rsid w:val="00BF4275"/>
    <w:rsid w:val="00BF4BD8"/>
    <w:rsid w:val="00BF4D18"/>
    <w:rsid w:val="00BF5084"/>
    <w:rsid w:val="00BF5AEA"/>
    <w:rsid w:val="00BF5C4D"/>
    <w:rsid w:val="00BF5DE3"/>
    <w:rsid w:val="00BF60E9"/>
    <w:rsid w:val="00BF61EF"/>
    <w:rsid w:val="00BF63FD"/>
    <w:rsid w:val="00BF6BAE"/>
    <w:rsid w:val="00BF6DD1"/>
    <w:rsid w:val="00BF6F21"/>
    <w:rsid w:val="00BF75EA"/>
    <w:rsid w:val="00BF7B6D"/>
    <w:rsid w:val="00C001B5"/>
    <w:rsid w:val="00C00315"/>
    <w:rsid w:val="00C00402"/>
    <w:rsid w:val="00C0047A"/>
    <w:rsid w:val="00C0089D"/>
    <w:rsid w:val="00C01374"/>
    <w:rsid w:val="00C01790"/>
    <w:rsid w:val="00C018E3"/>
    <w:rsid w:val="00C01CF6"/>
    <w:rsid w:val="00C02443"/>
    <w:rsid w:val="00C027D2"/>
    <w:rsid w:val="00C032D2"/>
    <w:rsid w:val="00C0335F"/>
    <w:rsid w:val="00C039A0"/>
    <w:rsid w:val="00C043FC"/>
    <w:rsid w:val="00C04625"/>
    <w:rsid w:val="00C04AF7"/>
    <w:rsid w:val="00C04C09"/>
    <w:rsid w:val="00C05D01"/>
    <w:rsid w:val="00C05F87"/>
    <w:rsid w:val="00C060CF"/>
    <w:rsid w:val="00C06CE6"/>
    <w:rsid w:val="00C06CF9"/>
    <w:rsid w:val="00C06E07"/>
    <w:rsid w:val="00C07479"/>
    <w:rsid w:val="00C07A2D"/>
    <w:rsid w:val="00C07CD0"/>
    <w:rsid w:val="00C07DEB"/>
    <w:rsid w:val="00C10156"/>
    <w:rsid w:val="00C10431"/>
    <w:rsid w:val="00C1057F"/>
    <w:rsid w:val="00C106A5"/>
    <w:rsid w:val="00C1095D"/>
    <w:rsid w:val="00C109E1"/>
    <w:rsid w:val="00C10B40"/>
    <w:rsid w:val="00C110F3"/>
    <w:rsid w:val="00C11FCC"/>
    <w:rsid w:val="00C12644"/>
    <w:rsid w:val="00C12689"/>
    <w:rsid w:val="00C1286A"/>
    <w:rsid w:val="00C13093"/>
    <w:rsid w:val="00C1346F"/>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D5F"/>
    <w:rsid w:val="00C15E97"/>
    <w:rsid w:val="00C163D0"/>
    <w:rsid w:val="00C16673"/>
    <w:rsid w:val="00C16C43"/>
    <w:rsid w:val="00C16E74"/>
    <w:rsid w:val="00C16E8E"/>
    <w:rsid w:val="00C16E94"/>
    <w:rsid w:val="00C1738E"/>
    <w:rsid w:val="00C17477"/>
    <w:rsid w:val="00C17E3C"/>
    <w:rsid w:val="00C2058F"/>
    <w:rsid w:val="00C20660"/>
    <w:rsid w:val="00C208C9"/>
    <w:rsid w:val="00C20A40"/>
    <w:rsid w:val="00C217B1"/>
    <w:rsid w:val="00C21FC4"/>
    <w:rsid w:val="00C224C5"/>
    <w:rsid w:val="00C227B7"/>
    <w:rsid w:val="00C23341"/>
    <w:rsid w:val="00C23DD2"/>
    <w:rsid w:val="00C2427A"/>
    <w:rsid w:val="00C2464E"/>
    <w:rsid w:val="00C24AF8"/>
    <w:rsid w:val="00C24E07"/>
    <w:rsid w:val="00C25000"/>
    <w:rsid w:val="00C2512D"/>
    <w:rsid w:val="00C258E3"/>
    <w:rsid w:val="00C25950"/>
    <w:rsid w:val="00C25E88"/>
    <w:rsid w:val="00C26B3C"/>
    <w:rsid w:val="00C26C1C"/>
    <w:rsid w:val="00C26EA8"/>
    <w:rsid w:val="00C270D9"/>
    <w:rsid w:val="00C273C5"/>
    <w:rsid w:val="00C276C7"/>
    <w:rsid w:val="00C27FCA"/>
    <w:rsid w:val="00C306DF"/>
    <w:rsid w:val="00C3088E"/>
    <w:rsid w:val="00C30ECC"/>
    <w:rsid w:val="00C31B27"/>
    <w:rsid w:val="00C31E12"/>
    <w:rsid w:val="00C32254"/>
    <w:rsid w:val="00C323F5"/>
    <w:rsid w:val="00C324C2"/>
    <w:rsid w:val="00C32920"/>
    <w:rsid w:val="00C32A2D"/>
    <w:rsid w:val="00C32A6F"/>
    <w:rsid w:val="00C32C08"/>
    <w:rsid w:val="00C3358F"/>
    <w:rsid w:val="00C337A5"/>
    <w:rsid w:val="00C348EB"/>
    <w:rsid w:val="00C34C22"/>
    <w:rsid w:val="00C358F7"/>
    <w:rsid w:val="00C3592C"/>
    <w:rsid w:val="00C35B49"/>
    <w:rsid w:val="00C35E97"/>
    <w:rsid w:val="00C3610D"/>
    <w:rsid w:val="00C36BFB"/>
    <w:rsid w:val="00C36C14"/>
    <w:rsid w:val="00C37302"/>
    <w:rsid w:val="00C375F9"/>
    <w:rsid w:val="00C377F1"/>
    <w:rsid w:val="00C379D4"/>
    <w:rsid w:val="00C37B96"/>
    <w:rsid w:val="00C37DFC"/>
    <w:rsid w:val="00C37FD3"/>
    <w:rsid w:val="00C40840"/>
    <w:rsid w:val="00C40884"/>
    <w:rsid w:val="00C408B8"/>
    <w:rsid w:val="00C40930"/>
    <w:rsid w:val="00C4095C"/>
    <w:rsid w:val="00C41056"/>
    <w:rsid w:val="00C41308"/>
    <w:rsid w:val="00C4209F"/>
    <w:rsid w:val="00C421C2"/>
    <w:rsid w:val="00C4223A"/>
    <w:rsid w:val="00C428EF"/>
    <w:rsid w:val="00C43792"/>
    <w:rsid w:val="00C43BA5"/>
    <w:rsid w:val="00C43BD2"/>
    <w:rsid w:val="00C43C3E"/>
    <w:rsid w:val="00C43CD7"/>
    <w:rsid w:val="00C43FAD"/>
    <w:rsid w:val="00C4410E"/>
    <w:rsid w:val="00C44202"/>
    <w:rsid w:val="00C443EE"/>
    <w:rsid w:val="00C4461C"/>
    <w:rsid w:val="00C44CC4"/>
    <w:rsid w:val="00C45B06"/>
    <w:rsid w:val="00C46462"/>
    <w:rsid w:val="00C46486"/>
    <w:rsid w:val="00C46883"/>
    <w:rsid w:val="00C46BD1"/>
    <w:rsid w:val="00C47315"/>
    <w:rsid w:val="00C473CA"/>
    <w:rsid w:val="00C4767B"/>
    <w:rsid w:val="00C47746"/>
    <w:rsid w:val="00C47B9B"/>
    <w:rsid w:val="00C47BD2"/>
    <w:rsid w:val="00C47FF4"/>
    <w:rsid w:val="00C50A61"/>
    <w:rsid w:val="00C50B43"/>
    <w:rsid w:val="00C50CA5"/>
    <w:rsid w:val="00C510D4"/>
    <w:rsid w:val="00C5141A"/>
    <w:rsid w:val="00C514BD"/>
    <w:rsid w:val="00C51570"/>
    <w:rsid w:val="00C5157B"/>
    <w:rsid w:val="00C5186A"/>
    <w:rsid w:val="00C5188A"/>
    <w:rsid w:val="00C51B8B"/>
    <w:rsid w:val="00C51D25"/>
    <w:rsid w:val="00C52EBF"/>
    <w:rsid w:val="00C53176"/>
    <w:rsid w:val="00C5356C"/>
    <w:rsid w:val="00C535A0"/>
    <w:rsid w:val="00C53722"/>
    <w:rsid w:val="00C538C9"/>
    <w:rsid w:val="00C549DC"/>
    <w:rsid w:val="00C552CA"/>
    <w:rsid w:val="00C55322"/>
    <w:rsid w:val="00C555E4"/>
    <w:rsid w:val="00C55B78"/>
    <w:rsid w:val="00C5757B"/>
    <w:rsid w:val="00C575D4"/>
    <w:rsid w:val="00C57C2F"/>
    <w:rsid w:val="00C600D8"/>
    <w:rsid w:val="00C6015B"/>
    <w:rsid w:val="00C603C2"/>
    <w:rsid w:val="00C6061B"/>
    <w:rsid w:val="00C6125E"/>
    <w:rsid w:val="00C6128D"/>
    <w:rsid w:val="00C614C6"/>
    <w:rsid w:val="00C615AB"/>
    <w:rsid w:val="00C61F9B"/>
    <w:rsid w:val="00C62067"/>
    <w:rsid w:val="00C6223B"/>
    <w:rsid w:val="00C622C7"/>
    <w:rsid w:val="00C62359"/>
    <w:rsid w:val="00C6254D"/>
    <w:rsid w:val="00C6286B"/>
    <w:rsid w:val="00C62897"/>
    <w:rsid w:val="00C62CD8"/>
    <w:rsid w:val="00C62F3F"/>
    <w:rsid w:val="00C63286"/>
    <w:rsid w:val="00C63561"/>
    <w:rsid w:val="00C637E5"/>
    <w:rsid w:val="00C6381F"/>
    <w:rsid w:val="00C64570"/>
    <w:rsid w:val="00C649E3"/>
    <w:rsid w:val="00C650F4"/>
    <w:rsid w:val="00C655AF"/>
    <w:rsid w:val="00C65778"/>
    <w:rsid w:val="00C65D49"/>
    <w:rsid w:val="00C661A7"/>
    <w:rsid w:val="00C664F6"/>
    <w:rsid w:val="00C667FA"/>
    <w:rsid w:val="00C6680C"/>
    <w:rsid w:val="00C66962"/>
    <w:rsid w:val="00C66B45"/>
    <w:rsid w:val="00C66F0B"/>
    <w:rsid w:val="00C6771C"/>
    <w:rsid w:val="00C67F81"/>
    <w:rsid w:val="00C703E9"/>
    <w:rsid w:val="00C704E2"/>
    <w:rsid w:val="00C7050C"/>
    <w:rsid w:val="00C705D7"/>
    <w:rsid w:val="00C7083B"/>
    <w:rsid w:val="00C70BBB"/>
    <w:rsid w:val="00C70D17"/>
    <w:rsid w:val="00C70E2F"/>
    <w:rsid w:val="00C71140"/>
    <w:rsid w:val="00C714A4"/>
    <w:rsid w:val="00C71873"/>
    <w:rsid w:val="00C71EAA"/>
    <w:rsid w:val="00C72574"/>
    <w:rsid w:val="00C729CD"/>
    <w:rsid w:val="00C72A69"/>
    <w:rsid w:val="00C72C45"/>
    <w:rsid w:val="00C72CDC"/>
    <w:rsid w:val="00C72EA1"/>
    <w:rsid w:val="00C72EE9"/>
    <w:rsid w:val="00C73294"/>
    <w:rsid w:val="00C7338B"/>
    <w:rsid w:val="00C73422"/>
    <w:rsid w:val="00C73AFD"/>
    <w:rsid w:val="00C73DED"/>
    <w:rsid w:val="00C73E30"/>
    <w:rsid w:val="00C75150"/>
    <w:rsid w:val="00C75154"/>
    <w:rsid w:val="00C7536B"/>
    <w:rsid w:val="00C753A0"/>
    <w:rsid w:val="00C757F0"/>
    <w:rsid w:val="00C75B0D"/>
    <w:rsid w:val="00C75C81"/>
    <w:rsid w:val="00C7613D"/>
    <w:rsid w:val="00C76560"/>
    <w:rsid w:val="00C76A1B"/>
    <w:rsid w:val="00C76ECB"/>
    <w:rsid w:val="00C7701B"/>
    <w:rsid w:val="00C7765C"/>
    <w:rsid w:val="00C77811"/>
    <w:rsid w:val="00C802C4"/>
    <w:rsid w:val="00C8074F"/>
    <w:rsid w:val="00C80EB3"/>
    <w:rsid w:val="00C80FA0"/>
    <w:rsid w:val="00C8125F"/>
    <w:rsid w:val="00C820A1"/>
    <w:rsid w:val="00C8222C"/>
    <w:rsid w:val="00C82EA4"/>
    <w:rsid w:val="00C833CE"/>
    <w:rsid w:val="00C83A9C"/>
    <w:rsid w:val="00C83DB3"/>
    <w:rsid w:val="00C841EA"/>
    <w:rsid w:val="00C842E7"/>
    <w:rsid w:val="00C8515E"/>
    <w:rsid w:val="00C856C2"/>
    <w:rsid w:val="00C8584B"/>
    <w:rsid w:val="00C85924"/>
    <w:rsid w:val="00C85A42"/>
    <w:rsid w:val="00C85C5E"/>
    <w:rsid w:val="00C85D2E"/>
    <w:rsid w:val="00C86C74"/>
    <w:rsid w:val="00C86D88"/>
    <w:rsid w:val="00C8727F"/>
    <w:rsid w:val="00C8748D"/>
    <w:rsid w:val="00C87AF9"/>
    <w:rsid w:val="00C900B4"/>
    <w:rsid w:val="00C9028F"/>
    <w:rsid w:val="00C90772"/>
    <w:rsid w:val="00C90917"/>
    <w:rsid w:val="00C91148"/>
    <w:rsid w:val="00C91B68"/>
    <w:rsid w:val="00C9236A"/>
    <w:rsid w:val="00C92820"/>
    <w:rsid w:val="00C92BD7"/>
    <w:rsid w:val="00C93A2E"/>
    <w:rsid w:val="00C93B75"/>
    <w:rsid w:val="00C93D76"/>
    <w:rsid w:val="00C945ED"/>
    <w:rsid w:val="00C94750"/>
    <w:rsid w:val="00C948AE"/>
    <w:rsid w:val="00C94C15"/>
    <w:rsid w:val="00C94CB3"/>
    <w:rsid w:val="00C95309"/>
    <w:rsid w:val="00C957D9"/>
    <w:rsid w:val="00C95B8C"/>
    <w:rsid w:val="00C95DF7"/>
    <w:rsid w:val="00C9611A"/>
    <w:rsid w:val="00C963B7"/>
    <w:rsid w:val="00C968BA"/>
    <w:rsid w:val="00C96D25"/>
    <w:rsid w:val="00C97D89"/>
    <w:rsid w:val="00CA0470"/>
    <w:rsid w:val="00CA063D"/>
    <w:rsid w:val="00CA0BDE"/>
    <w:rsid w:val="00CA0C4A"/>
    <w:rsid w:val="00CA0D24"/>
    <w:rsid w:val="00CA0F60"/>
    <w:rsid w:val="00CA1959"/>
    <w:rsid w:val="00CA2345"/>
    <w:rsid w:val="00CA29AF"/>
    <w:rsid w:val="00CA2EF8"/>
    <w:rsid w:val="00CA3293"/>
    <w:rsid w:val="00CA3471"/>
    <w:rsid w:val="00CA3947"/>
    <w:rsid w:val="00CA3B3D"/>
    <w:rsid w:val="00CA4974"/>
    <w:rsid w:val="00CA49D0"/>
    <w:rsid w:val="00CA4BF6"/>
    <w:rsid w:val="00CA57EE"/>
    <w:rsid w:val="00CA5D48"/>
    <w:rsid w:val="00CA6234"/>
    <w:rsid w:val="00CA6483"/>
    <w:rsid w:val="00CA6B85"/>
    <w:rsid w:val="00CA6BA1"/>
    <w:rsid w:val="00CA76EA"/>
    <w:rsid w:val="00CA799F"/>
    <w:rsid w:val="00CB0224"/>
    <w:rsid w:val="00CB02A1"/>
    <w:rsid w:val="00CB07CF"/>
    <w:rsid w:val="00CB086C"/>
    <w:rsid w:val="00CB08A9"/>
    <w:rsid w:val="00CB098E"/>
    <w:rsid w:val="00CB0B9D"/>
    <w:rsid w:val="00CB0C04"/>
    <w:rsid w:val="00CB1748"/>
    <w:rsid w:val="00CB20B3"/>
    <w:rsid w:val="00CB252F"/>
    <w:rsid w:val="00CB2A3B"/>
    <w:rsid w:val="00CB37AF"/>
    <w:rsid w:val="00CB3F31"/>
    <w:rsid w:val="00CB42D6"/>
    <w:rsid w:val="00CB4660"/>
    <w:rsid w:val="00CB4942"/>
    <w:rsid w:val="00CB4FBC"/>
    <w:rsid w:val="00CB5247"/>
    <w:rsid w:val="00CB52F7"/>
    <w:rsid w:val="00CB551C"/>
    <w:rsid w:val="00CB6329"/>
    <w:rsid w:val="00CB6A76"/>
    <w:rsid w:val="00CB74F3"/>
    <w:rsid w:val="00CB75AC"/>
    <w:rsid w:val="00CB78E1"/>
    <w:rsid w:val="00CB7E4F"/>
    <w:rsid w:val="00CB7F7C"/>
    <w:rsid w:val="00CC011C"/>
    <w:rsid w:val="00CC0F89"/>
    <w:rsid w:val="00CC1770"/>
    <w:rsid w:val="00CC1EEB"/>
    <w:rsid w:val="00CC20F2"/>
    <w:rsid w:val="00CC2156"/>
    <w:rsid w:val="00CC2AEB"/>
    <w:rsid w:val="00CC3332"/>
    <w:rsid w:val="00CC338A"/>
    <w:rsid w:val="00CC3560"/>
    <w:rsid w:val="00CC3C01"/>
    <w:rsid w:val="00CC3F22"/>
    <w:rsid w:val="00CC4326"/>
    <w:rsid w:val="00CC43A9"/>
    <w:rsid w:val="00CC453E"/>
    <w:rsid w:val="00CC47CA"/>
    <w:rsid w:val="00CC497D"/>
    <w:rsid w:val="00CC4FF2"/>
    <w:rsid w:val="00CC501D"/>
    <w:rsid w:val="00CC5164"/>
    <w:rsid w:val="00CC5170"/>
    <w:rsid w:val="00CC51DF"/>
    <w:rsid w:val="00CC52E3"/>
    <w:rsid w:val="00CC569E"/>
    <w:rsid w:val="00CC5A08"/>
    <w:rsid w:val="00CC6073"/>
    <w:rsid w:val="00CC6168"/>
    <w:rsid w:val="00CC686A"/>
    <w:rsid w:val="00CC6CAF"/>
    <w:rsid w:val="00CC72B4"/>
    <w:rsid w:val="00CC784F"/>
    <w:rsid w:val="00CC78A3"/>
    <w:rsid w:val="00CC7AF4"/>
    <w:rsid w:val="00CD0737"/>
    <w:rsid w:val="00CD0C03"/>
    <w:rsid w:val="00CD0D00"/>
    <w:rsid w:val="00CD1199"/>
    <w:rsid w:val="00CD121F"/>
    <w:rsid w:val="00CD12E3"/>
    <w:rsid w:val="00CD13E4"/>
    <w:rsid w:val="00CD1427"/>
    <w:rsid w:val="00CD1ECD"/>
    <w:rsid w:val="00CD1FC0"/>
    <w:rsid w:val="00CD28B0"/>
    <w:rsid w:val="00CD3993"/>
    <w:rsid w:val="00CD3AC5"/>
    <w:rsid w:val="00CD41E3"/>
    <w:rsid w:val="00CD440B"/>
    <w:rsid w:val="00CD458E"/>
    <w:rsid w:val="00CD5091"/>
    <w:rsid w:val="00CD52B9"/>
    <w:rsid w:val="00CD5ADA"/>
    <w:rsid w:val="00CD5D11"/>
    <w:rsid w:val="00CD5EE9"/>
    <w:rsid w:val="00CD6F0E"/>
    <w:rsid w:val="00CD7065"/>
    <w:rsid w:val="00CD78E7"/>
    <w:rsid w:val="00CD7929"/>
    <w:rsid w:val="00CD7A21"/>
    <w:rsid w:val="00CD7C2B"/>
    <w:rsid w:val="00CE067D"/>
    <w:rsid w:val="00CE10AE"/>
    <w:rsid w:val="00CE10DA"/>
    <w:rsid w:val="00CE14B0"/>
    <w:rsid w:val="00CE1985"/>
    <w:rsid w:val="00CE2ABE"/>
    <w:rsid w:val="00CE32AB"/>
    <w:rsid w:val="00CE48B9"/>
    <w:rsid w:val="00CE4E53"/>
    <w:rsid w:val="00CE4F70"/>
    <w:rsid w:val="00CE547C"/>
    <w:rsid w:val="00CE5691"/>
    <w:rsid w:val="00CE5A8C"/>
    <w:rsid w:val="00CE5B6F"/>
    <w:rsid w:val="00CE5B7A"/>
    <w:rsid w:val="00CE6036"/>
    <w:rsid w:val="00CE674E"/>
    <w:rsid w:val="00CE67CF"/>
    <w:rsid w:val="00CE69BD"/>
    <w:rsid w:val="00CE6D81"/>
    <w:rsid w:val="00CE7241"/>
    <w:rsid w:val="00CE72EF"/>
    <w:rsid w:val="00CE77B6"/>
    <w:rsid w:val="00CE78A4"/>
    <w:rsid w:val="00CE7991"/>
    <w:rsid w:val="00CE7BD2"/>
    <w:rsid w:val="00CF03CF"/>
    <w:rsid w:val="00CF0578"/>
    <w:rsid w:val="00CF095F"/>
    <w:rsid w:val="00CF0B68"/>
    <w:rsid w:val="00CF1149"/>
    <w:rsid w:val="00CF1369"/>
    <w:rsid w:val="00CF18A2"/>
    <w:rsid w:val="00CF21AB"/>
    <w:rsid w:val="00CF232F"/>
    <w:rsid w:val="00CF2826"/>
    <w:rsid w:val="00CF2A25"/>
    <w:rsid w:val="00CF2E21"/>
    <w:rsid w:val="00CF2E95"/>
    <w:rsid w:val="00CF2FF4"/>
    <w:rsid w:val="00CF3243"/>
    <w:rsid w:val="00CF331D"/>
    <w:rsid w:val="00CF3442"/>
    <w:rsid w:val="00CF3589"/>
    <w:rsid w:val="00CF3869"/>
    <w:rsid w:val="00CF3B2A"/>
    <w:rsid w:val="00CF3BCC"/>
    <w:rsid w:val="00CF3CD5"/>
    <w:rsid w:val="00CF4011"/>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2FA"/>
    <w:rsid w:val="00D0057E"/>
    <w:rsid w:val="00D007FF"/>
    <w:rsid w:val="00D00B04"/>
    <w:rsid w:val="00D00B18"/>
    <w:rsid w:val="00D011A2"/>
    <w:rsid w:val="00D01212"/>
    <w:rsid w:val="00D01339"/>
    <w:rsid w:val="00D0162E"/>
    <w:rsid w:val="00D01A18"/>
    <w:rsid w:val="00D01E2E"/>
    <w:rsid w:val="00D02042"/>
    <w:rsid w:val="00D028E3"/>
    <w:rsid w:val="00D0297B"/>
    <w:rsid w:val="00D02B7C"/>
    <w:rsid w:val="00D035A3"/>
    <w:rsid w:val="00D0389C"/>
    <w:rsid w:val="00D03BAB"/>
    <w:rsid w:val="00D03D75"/>
    <w:rsid w:val="00D03F69"/>
    <w:rsid w:val="00D03FA4"/>
    <w:rsid w:val="00D040FB"/>
    <w:rsid w:val="00D047E5"/>
    <w:rsid w:val="00D04864"/>
    <w:rsid w:val="00D0492C"/>
    <w:rsid w:val="00D04E09"/>
    <w:rsid w:val="00D05979"/>
    <w:rsid w:val="00D05B2E"/>
    <w:rsid w:val="00D05B47"/>
    <w:rsid w:val="00D05E52"/>
    <w:rsid w:val="00D0630B"/>
    <w:rsid w:val="00D066E9"/>
    <w:rsid w:val="00D06B1F"/>
    <w:rsid w:val="00D071ED"/>
    <w:rsid w:val="00D072A0"/>
    <w:rsid w:val="00D07425"/>
    <w:rsid w:val="00D07865"/>
    <w:rsid w:val="00D07E99"/>
    <w:rsid w:val="00D1074F"/>
    <w:rsid w:val="00D1098F"/>
    <w:rsid w:val="00D10B69"/>
    <w:rsid w:val="00D10DD0"/>
    <w:rsid w:val="00D11F31"/>
    <w:rsid w:val="00D11FFA"/>
    <w:rsid w:val="00D12A0D"/>
    <w:rsid w:val="00D12AA4"/>
    <w:rsid w:val="00D12C1D"/>
    <w:rsid w:val="00D1307B"/>
    <w:rsid w:val="00D13448"/>
    <w:rsid w:val="00D1355A"/>
    <w:rsid w:val="00D13B9F"/>
    <w:rsid w:val="00D13DA0"/>
    <w:rsid w:val="00D13E31"/>
    <w:rsid w:val="00D13F21"/>
    <w:rsid w:val="00D1404B"/>
    <w:rsid w:val="00D142CB"/>
    <w:rsid w:val="00D146D1"/>
    <w:rsid w:val="00D14719"/>
    <w:rsid w:val="00D149ED"/>
    <w:rsid w:val="00D14AA7"/>
    <w:rsid w:val="00D14B69"/>
    <w:rsid w:val="00D14E75"/>
    <w:rsid w:val="00D15037"/>
    <w:rsid w:val="00D151C7"/>
    <w:rsid w:val="00D15581"/>
    <w:rsid w:val="00D15671"/>
    <w:rsid w:val="00D1576E"/>
    <w:rsid w:val="00D15A57"/>
    <w:rsid w:val="00D15D1D"/>
    <w:rsid w:val="00D16038"/>
    <w:rsid w:val="00D160A7"/>
    <w:rsid w:val="00D16926"/>
    <w:rsid w:val="00D16C55"/>
    <w:rsid w:val="00D16E69"/>
    <w:rsid w:val="00D16FCE"/>
    <w:rsid w:val="00D16FFF"/>
    <w:rsid w:val="00D17B8F"/>
    <w:rsid w:val="00D2004B"/>
    <w:rsid w:val="00D204FE"/>
    <w:rsid w:val="00D20781"/>
    <w:rsid w:val="00D20995"/>
    <w:rsid w:val="00D213E6"/>
    <w:rsid w:val="00D21593"/>
    <w:rsid w:val="00D21D80"/>
    <w:rsid w:val="00D2214C"/>
    <w:rsid w:val="00D223B8"/>
    <w:rsid w:val="00D22622"/>
    <w:rsid w:val="00D228F6"/>
    <w:rsid w:val="00D22D7E"/>
    <w:rsid w:val="00D22EFF"/>
    <w:rsid w:val="00D23062"/>
    <w:rsid w:val="00D232D7"/>
    <w:rsid w:val="00D238FA"/>
    <w:rsid w:val="00D23D84"/>
    <w:rsid w:val="00D24201"/>
    <w:rsid w:val="00D24D8E"/>
    <w:rsid w:val="00D2516A"/>
    <w:rsid w:val="00D252FB"/>
    <w:rsid w:val="00D25ABE"/>
    <w:rsid w:val="00D2602B"/>
    <w:rsid w:val="00D260EB"/>
    <w:rsid w:val="00D26135"/>
    <w:rsid w:val="00D26432"/>
    <w:rsid w:val="00D26733"/>
    <w:rsid w:val="00D26D22"/>
    <w:rsid w:val="00D2710E"/>
    <w:rsid w:val="00D2766D"/>
    <w:rsid w:val="00D276DC"/>
    <w:rsid w:val="00D27A90"/>
    <w:rsid w:val="00D30255"/>
    <w:rsid w:val="00D30BAD"/>
    <w:rsid w:val="00D310A9"/>
    <w:rsid w:val="00D31511"/>
    <w:rsid w:val="00D3156F"/>
    <w:rsid w:val="00D31D75"/>
    <w:rsid w:val="00D32007"/>
    <w:rsid w:val="00D3206A"/>
    <w:rsid w:val="00D32357"/>
    <w:rsid w:val="00D324AA"/>
    <w:rsid w:val="00D32A3B"/>
    <w:rsid w:val="00D32B10"/>
    <w:rsid w:val="00D33BE6"/>
    <w:rsid w:val="00D33BF6"/>
    <w:rsid w:val="00D33D93"/>
    <w:rsid w:val="00D340DC"/>
    <w:rsid w:val="00D341E7"/>
    <w:rsid w:val="00D34288"/>
    <w:rsid w:val="00D342DD"/>
    <w:rsid w:val="00D343FF"/>
    <w:rsid w:val="00D34580"/>
    <w:rsid w:val="00D3620A"/>
    <w:rsid w:val="00D363D4"/>
    <w:rsid w:val="00D363F2"/>
    <w:rsid w:val="00D3665B"/>
    <w:rsid w:val="00D36757"/>
    <w:rsid w:val="00D368BE"/>
    <w:rsid w:val="00D36AD8"/>
    <w:rsid w:val="00D3756E"/>
    <w:rsid w:val="00D379AD"/>
    <w:rsid w:val="00D37A9D"/>
    <w:rsid w:val="00D37FA3"/>
    <w:rsid w:val="00D408DC"/>
    <w:rsid w:val="00D41C3F"/>
    <w:rsid w:val="00D41DAC"/>
    <w:rsid w:val="00D41DBC"/>
    <w:rsid w:val="00D42013"/>
    <w:rsid w:val="00D4241A"/>
    <w:rsid w:val="00D42741"/>
    <w:rsid w:val="00D4288F"/>
    <w:rsid w:val="00D43154"/>
    <w:rsid w:val="00D4358E"/>
    <w:rsid w:val="00D43948"/>
    <w:rsid w:val="00D43A33"/>
    <w:rsid w:val="00D4403B"/>
    <w:rsid w:val="00D441A0"/>
    <w:rsid w:val="00D44863"/>
    <w:rsid w:val="00D44D9F"/>
    <w:rsid w:val="00D456E2"/>
    <w:rsid w:val="00D45D02"/>
    <w:rsid w:val="00D45D47"/>
    <w:rsid w:val="00D46289"/>
    <w:rsid w:val="00D462B4"/>
    <w:rsid w:val="00D46778"/>
    <w:rsid w:val="00D47646"/>
    <w:rsid w:val="00D476A4"/>
    <w:rsid w:val="00D47DB0"/>
    <w:rsid w:val="00D47E02"/>
    <w:rsid w:val="00D47F0F"/>
    <w:rsid w:val="00D5000E"/>
    <w:rsid w:val="00D500B9"/>
    <w:rsid w:val="00D50293"/>
    <w:rsid w:val="00D50413"/>
    <w:rsid w:val="00D5048F"/>
    <w:rsid w:val="00D50D0C"/>
    <w:rsid w:val="00D50D36"/>
    <w:rsid w:val="00D51C9D"/>
    <w:rsid w:val="00D523C1"/>
    <w:rsid w:val="00D52440"/>
    <w:rsid w:val="00D525C2"/>
    <w:rsid w:val="00D52658"/>
    <w:rsid w:val="00D527EB"/>
    <w:rsid w:val="00D528AB"/>
    <w:rsid w:val="00D52CD0"/>
    <w:rsid w:val="00D52F36"/>
    <w:rsid w:val="00D52FC4"/>
    <w:rsid w:val="00D53AAA"/>
    <w:rsid w:val="00D53E09"/>
    <w:rsid w:val="00D54185"/>
    <w:rsid w:val="00D543F7"/>
    <w:rsid w:val="00D551EC"/>
    <w:rsid w:val="00D55949"/>
    <w:rsid w:val="00D55F0E"/>
    <w:rsid w:val="00D56BF8"/>
    <w:rsid w:val="00D56C3D"/>
    <w:rsid w:val="00D570AE"/>
    <w:rsid w:val="00D5718F"/>
    <w:rsid w:val="00D574DA"/>
    <w:rsid w:val="00D57B71"/>
    <w:rsid w:val="00D604AF"/>
    <w:rsid w:val="00D60524"/>
    <w:rsid w:val="00D60734"/>
    <w:rsid w:val="00D60AC4"/>
    <w:rsid w:val="00D60E68"/>
    <w:rsid w:val="00D61264"/>
    <w:rsid w:val="00D6134B"/>
    <w:rsid w:val="00D61631"/>
    <w:rsid w:val="00D61C8E"/>
    <w:rsid w:val="00D61EE7"/>
    <w:rsid w:val="00D6234C"/>
    <w:rsid w:val="00D624F9"/>
    <w:rsid w:val="00D62769"/>
    <w:rsid w:val="00D62B7F"/>
    <w:rsid w:val="00D62B82"/>
    <w:rsid w:val="00D62D79"/>
    <w:rsid w:val="00D630E2"/>
    <w:rsid w:val="00D63258"/>
    <w:rsid w:val="00D634C9"/>
    <w:rsid w:val="00D635C1"/>
    <w:rsid w:val="00D637EC"/>
    <w:rsid w:val="00D63A56"/>
    <w:rsid w:val="00D63A93"/>
    <w:rsid w:val="00D63C87"/>
    <w:rsid w:val="00D64391"/>
    <w:rsid w:val="00D64455"/>
    <w:rsid w:val="00D65137"/>
    <w:rsid w:val="00D65927"/>
    <w:rsid w:val="00D6661F"/>
    <w:rsid w:val="00D66AE1"/>
    <w:rsid w:val="00D672A5"/>
    <w:rsid w:val="00D7013B"/>
    <w:rsid w:val="00D703CF"/>
    <w:rsid w:val="00D706CC"/>
    <w:rsid w:val="00D70905"/>
    <w:rsid w:val="00D70C2F"/>
    <w:rsid w:val="00D70CD8"/>
    <w:rsid w:val="00D70FC9"/>
    <w:rsid w:val="00D71497"/>
    <w:rsid w:val="00D715CB"/>
    <w:rsid w:val="00D71A56"/>
    <w:rsid w:val="00D71C1B"/>
    <w:rsid w:val="00D71F66"/>
    <w:rsid w:val="00D7261D"/>
    <w:rsid w:val="00D732F3"/>
    <w:rsid w:val="00D73430"/>
    <w:rsid w:val="00D73821"/>
    <w:rsid w:val="00D73879"/>
    <w:rsid w:val="00D739FC"/>
    <w:rsid w:val="00D73D99"/>
    <w:rsid w:val="00D73EF5"/>
    <w:rsid w:val="00D7431B"/>
    <w:rsid w:val="00D744F9"/>
    <w:rsid w:val="00D747D7"/>
    <w:rsid w:val="00D75106"/>
    <w:rsid w:val="00D75464"/>
    <w:rsid w:val="00D75661"/>
    <w:rsid w:val="00D75755"/>
    <w:rsid w:val="00D757DA"/>
    <w:rsid w:val="00D760F6"/>
    <w:rsid w:val="00D765EA"/>
    <w:rsid w:val="00D76A57"/>
    <w:rsid w:val="00D76BA9"/>
    <w:rsid w:val="00D76E73"/>
    <w:rsid w:val="00D77499"/>
    <w:rsid w:val="00D775B2"/>
    <w:rsid w:val="00D77C6E"/>
    <w:rsid w:val="00D77D76"/>
    <w:rsid w:val="00D77EF6"/>
    <w:rsid w:val="00D77FE6"/>
    <w:rsid w:val="00D80343"/>
    <w:rsid w:val="00D803CD"/>
    <w:rsid w:val="00D807BF"/>
    <w:rsid w:val="00D808C3"/>
    <w:rsid w:val="00D81062"/>
    <w:rsid w:val="00D8121D"/>
    <w:rsid w:val="00D8145C"/>
    <w:rsid w:val="00D81600"/>
    <w:rsid w:val="00D8197E"/>
    <w:rsid w:val="00D81AF1"/>
    <w:rsid w:val="00D8259B"/>
    <w:rsid w:val="00D830E9"/>
    <w:rsid w:val="00D843F8"/>
    <w:rsid w:val="00D84452"/>
    <w:rsid w:val="00D849C9"/>
    <w:rsid w:val="00D84C5C"/>
    <w:rsid w:val="00D84D8B"/>
    <w:rsid w:val="00D855AF"/>
    <w:rsid w:val="00D8566E"/>
    <w:rsid w:val="00D85679"/>
    <w:rsid w:val="00D856FD"/>
    <w:rsid w:val="00D859D1"/>
    <w:rsid w:val="00D85C0B"/>
    <w:rsid w:val="00D85EC3"/>
    <w:rsid w:val="00D86081"/>
    <w:rsid w:val="00D867ED"/>
    <w:rsid w:val="00D86901"/>
    <w:rsid w:val="00D86922"/>
    <w:rsid w:val="00D869C3"/>
    <w:rsid w:val="00D86B80"/>
    <w:rsid w:val="00D86BC1"/>
    <w:rsid w:val="00D86CEE"/>
    <w:rsid w:val="00D86D30"/>
    <w:rsid w:val="00D86E30"/>
    <w:rsid w:val="00D873DC"/>
    <w:rsid w:val="00D874CE"/>
    <w:rsid w:val="00D87653"/>
    <w:rsid w:val="00D876C2"/>
    <w:rsid w:val="00D87932"/>
    <w:rsid w:val="00D90A53"/>
    <w:rsid w:val="00D90B05"/>
    <w:rsid w:val="00D91042"/>
    <w:rsid w:val="00D916AA"/>
    <w:rsid w:val="00D917C1"/>
    <w:rsid w:val="00D9181B"/>
    <w:rsid w:val="00D92753"/>
    <w:rsid w:val="00D929DD"/>
    <w:rsid w:val="00D92C48"/>
    <w:rsid w:val="00D935AC"/>
    <w:rsid w:val="00D938E6"/>
    <w:rsid w:val="00D93A5F"/>
    <w:rsid w:val="00D93B7C"/>
    <w:rsid w:val="00D93BED"/>
    <w:rsid w:val="00D93FF4"/>
    <w:rsid w:val="00D941D5"/>
    <w:rsid w:val="00D94B67"/>
    <w:rsid w:val="00D94C52"/>
    <w:rsid w:val="00D954ED"/>
    <w:rsid w:val="00D955FF"/>
    <w:rsid w:val="00D962DE"/>
    <w:rsid w:val="00D96CC2"/>
    <w:rsid w:val="00D97071"/>
    <w:rsid w:val="00D972FF"/>
    <w:rsid w:val="00D97638"/>
    <w:rsid w:val="00D97761"/>
    <w:rsid w:val="00D97B9B"/>
    <w:rsid w:val="00DA059D"/>
    <w:rsid w:val="00DA07D2"/>
    <w:rsid w:val="00DA0B9A"/>
    <w:rsid w:val="00DA0F55"/>
    <w:rsid w:val="00DA1056"/>
    <w:rsid w:val="00DA10BF"/>
    <w:rsid w:val="00DA13FB"/>
    <w:rsid w:val="00DA1425"/>
    <w:rsid w:val="00DA2883"/>
    <w:rsid w:val="00DA2B55"/>
    <w:rsid w:val="00DA2C17"/>
    <w:rsid w:val="00DA2C28"/>
    <w:rsid w:val="00DA2DD4"/>
    <w:rsid w:val="00DA30DD"/>
    <w:rsid w:val="00DA3154"/>
    <w:rsid w:val="00DA31A6"/>
    <w:rsid w:val="00DA3B37"/>
    <w:rsid w:val="00DA450A"/>
    <w:rsid w:val="00DA4511"/>
    <w:rsid w:val="00DA4C25"/>
    <w:rsid w:val="00DA5225"/>
    <w:rsid w:val="00DA57B5"/>
    <w:rsid w:val="00DA5D68"/>
    <w:rsid w:val="00DA602C"/>
    <w:rsid w:val="00DA67BD"/>
    <w:rsid w:val="00DA6942"/>
    <w:rsid w:val="00DA69FD"/>
    <w:rsid w:val="00DA6A86"/>
    <w:rsid w:val="00DA6ADA"/>
    <w:rsid w:val="00DA7426"/>
    <w:rsid w:val="00DA782F"/>
    <w:rsid w:val="00DA783D"/>
    <w:rsid w:val="00DA789D"/>
    <w:rsid w:val="00DA790E"/>
    <w:rsid w:val="00DA79CC"/>
    <w:rsid w:val="00DB0AEE"/>
    <w:rsid w:val="00DB1011"/>
    <w:rsid w:val="00DB10C3"/>
    <w:rsid w:val="00DB14B9"/>
    <w:rsid w:val="00DB190B"/>
    <w:rsid w:val="00DB1A3A"/>
    <w:rsid w:val="00DB1DE2"/>
    <w:rsid w:val="00DB2016"/>
    <w:rsid w:val="00DB205A"/>
    <w:rsid w:val="00DB26C0"/>
    <w:rsid w:val="00DB29FB"/>
    <w:rsid w:val="00DB2B6B"/>
    <w:rsid w:val="00DB3657"/>
    <w:rsid w:val="00DB36B9"/>
    <w:rsid w:val="00DB36BF"/>
    <w:rsid w:val="00DB3836"/>
    <w:rsid w:val="00DB3DE8"/>
    <w:rsid w:val="00DB450B"/>
    <w:rsid w:val="00DB494A"/>
    <w:rsid w:val="00DB4E40"/>
    <w:rsid w:val="00DB51DA"/>
    <w:rsid w:val="00DB58AE"/>
    <w:rsid w:val="00DB5AA4"/>
    <w:rsid w:val="00DB5FA8"/>
    <w:rsid w:val="00DB6774"/>
    <w:rsid w:val="00DB69C5"/>
    <w:rsid w:val="00DB6B53"/>
    <w:rsid w:val="00DB6B7C"/>
    <w:rsid w:val="00DB6D16"/>
    <w:rsid w:val="00DB799B"/>
    <w:rsid w:val="00DB7F97"/>
    <w:rsid w:val="00DB7FA6"/>
    <w:rsid w:val="00DC00E6"/>
    <w:rsid w:val="00DC109B"/>
    <w:rsid w:val="00DC11AF"/>
    <w:rsid w:val="00DC1446"/>
    <w:rsid w:val="00DC1866"/>
    <w:rsid w:val="00DC1AD5"/>
    <w:rsid w:val="00DC1BBB"/>
    <w:rsid w:val="00DC2123"/>
    <w:rsid w:val="00DC2209"/>
    <w:rsid w:val="00DC25F7"/>
    <w:rsid w:val="00DC2B2C"/>
    <w:rsid w:val="00DC2BD4"/>
    <w:rsid w:val="00DC2C8B"/>
    <w:rsid w:val="00DC3817"/>
    <w:rsid w:val="00DC39B7"/>
    <w:rsid w:val="00DC3AFA"/>
    <w:rsid w:val="00DC3FB8"/>
    <w:rsid w:val="00DC4D43"/>
    <w:rsid w:val="00DC542B"/>
    <w:rsid w:val="00DC55E6"/>
    <w:rsid w:val="00DC5BE1"/>
    <w:rsid w:val="00DC5E16"/>
    <w:rsid w:val="00DC66E6"/>
    <w:rsid w:val="00DC6DA2"/>
    <w:rsid w:val="00DC72E4"/>
    <w:rsid w:val="00DC72F7"/>
    <w:rsid w:val="00DC77AD"/>
    <w:rsid w:val="00DC7CD3"/>
    <w:rsid w:val="00DC7DE5"/>
    <w:rsid w:val="00DC7DE9"/>
    <w:rsid w:val="00DC7E5B"/>
    <w:rsid w:val="00DD03AE"/>
    <w:rsid w:val="00DD06CF"/>
    <w:rsid w:val="00DD0882"/>
    <w:rsid w:val="00DD0F70"/>
    <w:rsid w:val="00DD15D7"/>
    <w:rsid w:val="00DD193E"/>
    <w:rsid w:val="00DD1967"/>
    <w:rsid w:val="00DD1AD5"/>
    <w:rsid w:val="00DD2083"/>
    <w:rsid w:val="00DD2388"/>
    <w:rsid w:val="00DD2455"/>
    <w:rsid w:val="00DD26B0"/>
    <w:rsid w:val="00DD274C"/>
    <w:rsid w:val="00DD285A"/>
    <w:rsid w:val="00DD2ADE"/>
    <w:rsid w:val="00DD2B71"/>
    <w:rsid w:val="00DD3224"/>
    <w:rsid w:val="00DD326D"/>
    <w:rsid w:val="00DD332A"/>
    <w:rsid w:val="00DD3505"/>
    <w:rsid w:val="00DD368D"/>
    <w:rsid w:val="00DD36E9"/>
    <w:rsid w:val="00DD3872"/>
    <w:rsid w:val="00DD3A42"/>
    <w:rsid w:val="00DD3B38"/>
    <w:rsid w:val="00DD3B75"/>
    <w:rsid w:val="00DD443A"/>
    <w:rsid w:val="00DD4878"/>
    <w:rsid w:val="00DD4D7B"/>
    <w:rsid w:val="00DD4DAC"/>
    <w:rsid w:val="00DD4EAC"/>
    <w:rsid w:val="00DD5C76"/>
    <w:rsid w:val="00DD5CDE"/>
    <w:rsid w:val="00DD5E44"/>
    <w:rsid w:val="00DD608A"/>
    <w:rsid w:val="00DD60E6"/>
    <w:rsid w:val="00DD64E1"/>
    <w:rsid w:val="00DD65DE"/>
    <w:rsid w:val="00DD65FA"/>
    <w:rsid w:val="00DD6B2D"/>
    <w:rsid w:val="00DD7425"/>
    <w:rsid w:val="00DD758F"/>
    <w:rsid w:val="00DD75C2"/>
    <w:rsid w:val="00DD761E"/>
    <w:rsid w:val="00DD77B6"/>
    <w:rsid w:val="00DD79B1"/>
    <w:rsid w:val="00DD7C78"/>
    <w:rsid w:val="00DE0085"/>
    <w:rsid w:val="00DE0907"/>
    <w:rsid w:val="00DE099A"/>
    <w:rsid w:val="00DE0A5C"/>
    <w:rsid w:val="00DE1467"/>
    <w:rsid w:val="00DE19CB"/>
    <w:rsid w:val="00DE1A56"/>
    <w:rsid w:val="00DE1AFE"/>
    <w:rsid w:val="00DE21A8"/>
    <w:rsid w:val="00DE2800"/>
    <w:rsid w:val="00DE2A2B"/>
    <w:rsid w:val="00DE2E5C"/>
    <w:rsid w:val="00DE2F91"/>
    <w:rsid w:val="00DE3037"/>
    <w:rsid w:val="00DE3DB1"/>
    <w:rsid w:val="00DE3DB3"/>
    <w:rsid w:val="00DE3ED5"/>
    <w:rsid w:val="00DE4804"/>
    <w:rsid w:val="00DE5156"/>
    <w:rsid w:val="00DE5413"/>
    <w:rsid w:val="00DE56A8"/>
    <w:rsid w:val="00DE5808"/>
    <w:rsid w:val="00DE5B95"/>
    <w:rsid w:val="00DE64C2"/>
    <w:rsid w:val="00DE66F6"/>
    <w:rsid w:val="00DE69C9"/>
    <w:rsid w:val="00DE6AFA"/>
    <w:rsid w:val="00DE7698"/>
    <w:rsid w:val="00DE789F"/>
    <w:rsid w:val="00DE7E53"/>
    <w:rsid w:val="00DE7F1B"/>
    <w:rsid w:val="00DE7FF4"/>
    <w:rsid w:val="00DF02EA"/>
    <w:rsid w:val="00DF1079"/>
    <w:rsid w:val="00DF10E0"/>
    <w:rsid w:val="00DF18BF"/>
    <w:rsid w:val="00DF1E04"/>
    <w:rsid w:val="00DF1E60"/>
    <w:rsid w:val="00DF1E97"/>
    <w:rsid w:val="00DF2133"/>
    <w:rsid w:val="00DF219D"/>
    <w:rsid w:val="00DF231B"/>
    <w:rsid w:val="00DF25B0"/>
    <w:rsid w:val="00DF277C"/>
    <w:rsid w:val="00DF2E3F"/>
    <w:rsid w:val="00DF2F66"/>
    <w:rsid w:val="00DF30D4"/>
    <w:rsid w:val="00DF3701"/>
    <w:rsid w:val="00DF3B55"/>
    <w:rsid w:val="00DF4609"/>
    <w:rsid w:val="00DF51D7"/>
    <w:rsid w:val="00DF51FA"/>
    <w:rsid w:val="00DF5272"/>
    <w:rsid w:val="00DF533B"/>
    <w:rsid w:val="00DF534D"/>
    <w:rsid w:val="00DF53D6"/>
    <w:rsid w:val="00DF5A70"/>
    <w:rsid w:val="00DF5E31"/>
    <w:rsid w:val="00DF5EE1"/>
    <w:rsid w:val="00DF68B4"/>
    <w:rsid w:val="00DF6B12"/>
    <w:rsid w:val="00DF6EFA"/>
    <w:rsid w:val="00DF76AA"/>
    <w:rsid w:val="00DF79EC"/>
    <w:rsid w:val="00E00157"/>
    <w:rsid w:val="00E00A92"/>
    <w:rsid w:val="00E00B96"/>
    <w:rsid w:val="00E013CD"/>
    <w:rsid w:val="00E01438"/>
    <w:rsid w:val="00E01FC9"/>
    <w:rsid w:val="00E02149"/>
    <w:rsid w:val="00E02435"/>
    <w:rsid w:val="00E027A1"/>
    <w:rsid w:val="00E02AB4"/>
    <w:rsid w:val="00E0346D"/>
    <w:rsid w:val="00E0397F"/>
    <w:rsid w:val="00E03A1A"/>
    <w:rsid w:val="00E03CB9"/>
    <w:rsid w:val="00E03D15"/>
    <w:rsid w:val="00E03FEC"/>
    <w:rsid w:val="00E0427A"/>
    <w:rsid w:val="00E04342"/>
    <w:rsid w:val="00E04D9D"/>
    <w:rsid w:val="00E04EA6"/>
    <w:rsid w:val="00E05185"/>
    <w:rsid w:val="00E05457"/>
    <w:rsid w:val="00E058B8"/>
    <w:rsid w:val="00E05FCB"/>
    <w:rsid w:val="00E060C4"/>
    <w:rsid w:val="00E063B5"/>
    <w:rsid w:val="00E06825"/>
    <w:rsid w:val="00E06A0A"/>
    <w:rsid w:val="00E06D25"/>
    <w:rsid w:val="00E06D7D"/>
    <w:rsid w:val="00E070F1"/>
    <w:rsid w:val="00E0754D"/>
    <w:rsid w:val="00E07687"/>
    <w:rsid w:val="00E07E52"/>
    <w:rsid w:val="00E103E4"/>
    <w:rsid w:val="00E107F3"/>
    <w:rsid w:val="00E10E36"/>
    <w:rsid w:val="00E10F40"/>
    <w:rsid w:val="00E11418"/>
    <w:rsid w:val="00E11AE0"/>
    <w:rsid w:val="00E11B6E"/>
    <w:rsid w:val="00E11D2A"/>
    <w:rsid w:val="00E124CC"/>
    <w:rsid w:val="00E12561"/>
    <w:rsid w:val="00E127E6"/>
    <w:rsid w:val="00E12A8F"/>
    <w:rsid w:val="00E12CB1"/>
    <w:rsid w:val="00E135B3"/>
    <w:rsid w:val="00E137F8"/>
    <w:rsid w:val="00E14501"/>
    <w:rsid w:val="00E1481E"/>
    <w:rsid w:val="00E1519F"/>
    <w:rsid w:val="00E15293"/>
    <w:rsid w:val="00E15597"/>
    <w:rsid w:val="00E15AAE"/>
    <w:rsid w:val="00E1609E"/>
    <w:rsid w:val="00E1623A"/>
    <w:rsid w:val="00E162F9"/>
    <w:rsid w:val="00E16633"/>
    <w:rsid w:val="00E166D0"/>
    <w:rsid w:val="00E16B7A"/>
    <w:rsid w:val="00E16BA8"/>
    <w:rsid w:val="00E175AD"/>
    <w:rsid w:val="00E1785E"/>
    <w:rsid w:val="00E2051B"/>
    <w:rsid w:val="00E205F3"/>
    <w:rsid w:val="00E207E6"/>
    <w:rsid w:val="00E20AAB"/>
    <w:rsid w:val="00E21571"/>
    <w:rsid w:val="00E216AF"/>
    <w:rsid w:val="00E21AC8"/>
    <w:rsid w:val="00E21AE3"/>
    <w:rsid w:val="00E21C93"/>
    <w:rsid w:val="00E21DA8"/>
    <w:rsid w:val="00E22395"/>
    <w:rsid w:val="00E22D59"/>
    <w:rsid w:val="00E22D5C"/>
    <w:rsid w:val="00E22D81"/>
    <w:rsid w:val="00E23C8B"/>
    <w:rsid w:val="00E23D66"/>
    <w:rsid w:val="00E23E2F"/>
    <w:rsid w:val="00E244A1"/>
    <w:rsid w:val="00E24AD6"/>
    <w:rsid w:val="00E24B27"/>
    <w:rsid w:val="00E24B55"/>
    <w:rsid w:val="00E251F0"/>
    <w:rsid w:val="00E2552D"/>
    <w:rsid w:val="00E25CC5"/>
    <w:rsid w:val="00E26080"/>
    <w:rsid w:val="00E26163"/>
    <w:rsid w:val="00E2635C"/>
    <w:rsid w:val="00E2664D"/>
    <w:rsid w:val="00E26838"/>
    <w:rsid w:val="00E27082"/>
    <w:rsid w:val="00E27866"/>
    <w:rsid w:val="00E27EFD"/>
    <w:rsid w:val="00E300B6"/>
    <w:rsid w:val="00E302FD"/>
    <w:rsid w:val="00E3039D"/>
    <w:rsid w:val="00E31B01"/>
    <w:rsid w:val="00E322BA"/>
    <w:rsid w:val="00E3251F"/>
    <w:rsid w:val="00E32565"/>
    <w:rsid w:val="00E32693"/>
    <w:rsid w:val="00E32776"/>
    <w:rsid w:val="00E327D3"/>
    <w:rsid w:val="00E32AFA"/>
    <w:rsid w:val="00E32EE3"/>
    <w:rsid w:val="00E336DB"/>
    <w:rsid w:val="00E33C10"/>
    <w:rsid w:val="00E34739"/>
    <w:rsid w:val="00E34977"/>
    <w:rsid w:val="00E34DCA"/>
    <w:rsid w:val="00E3501B"/>
    <w:rsid w:val="00E35050"/>
    <w:rsid w:val="00E35133"/>
    <w:rsid w:val="00E354AA"/>
    <w:rsid w:val="00E35647"/>
    <w:rsid w:val="00E356B3"/>
    <w:rsid w:val="00E35D1B"/>
    <w:rsid w:val="00E3613A"/>
    <w:rsid w:val="00E367DA"/>
    <w:rsid w:val="00E3698B"/>
    <w:rsid w:val="00E36A4F"/>
    <w:rsid w:val="00E36A67"/>
    <w:rsid w:val="00E36D09"/>
    <w:rsid w:val="00E36EA0"/>
    <w:rsid w:val="00E36F1A"/>
    <w:rsid w:val="00E370E6"/>
    <w:rsid w:val="00E375AB"/>
    <w:rsid w:val="00E40068"/>
    <w:rsid w:val="00E4007D"/>
    <w:rsid w:val="00E401D0"/>
    <w:rsid w:val="00E40902"/>
    <w:rsid w:val="00E409FC"/>
    <w:rsid w:val="00E40AEF"/>
    <w:rsid w:val="00E40F4E"/>
    <w:rsid w:val="00E40FFC"/>
    <w:rsid w:val="00E4123D"/>
    <w:rsid w:val="00E41245"/>
    <w:rsid w:val="00E412C6"/>
    <w:rsid w:val="00E41567"/>
    <w:rsid w:val="00E42295"/>
    <w:rsid w:val="00E4289B"/>
    <w:rsid w:val="00E4294A"/>
    <w:rsid w:val="00E42E65"/>
    <w:rsid w:val="00E42EF1"/>
    <w:rsid w:val="00E43244"/>
    <w:rsid w:val="00E434C1"/>
    <w:rsid w:val="00E43608"/>
    <w:rsid w:val="00E43C15"/>
    <w:rsid w:val="00E4417B"/>
    <w:rsid w:val="00E4418D"/>
    <w:rsid w:val="00E44458"/>
    <w:rsid w:val="00E4450F"/>
    <w:rsid w:val="00E447AA"/>
    <w:rsid w:val="00E44A0A"/>
    <w:rsid w:val="00E44F9E"/>
    <w:rsid w:val="00E45082"/>
    <w:rsid w:val="00E4529E"/>
    <w:rsid w:val="00E45405"/>
    <w:rsid w:val="00E45959"/>
    <w:rsid w:val="00E45C83"/>
    <w:rsid w:val="00E45DED"/>
    <w:rsid w:val="00E4639D"/>
    <w:rsid w:val="00E4648D"/>
    <w:rsid w:val="00E46539"/>
    <w:rsid w:val="00E465DA"/>
    <w:rsid w:val="00E46E22"/>
    <w:rsid w:val="00E47081"/>
    <w:rsid w:val="00E4759C"/>
    <w:rsid w:val="00E50060"/>
    <w:rsid w:val="00E5012C"/>
    <w:rsid w:val="00E5016C"/>
    <w:rsid w:val="00E50A57"/>
    <w:rsid w:val="00E50ADF"/>
    <w:rsid w:val="00E50AFB"/>
    <w:rsid w:val="00E512BD"/>
    <w:rsid w:val="00E515BD"/>
    <w:rsid w:val="00E51768"/>
    <w:rsid w:val="00E51EA9"/>
    <w:rsid w:val="00E52230"/>
    <w:rsid w:val="00E522DB"/>
    <w:rsid w:val="00E52632"/>
    <w:rsid w:val="00E527AF"/>
    <w:rsid w:val="00E530FE"/>
    <w:rsid w:val="00E53373"/>
    <w:rsid w:val="00E53ABB"/>
    <w:rsid w:val="00E53B74"/>
    <w:rsid w:val="00E53DC9"/>
    <w:rsid w:val="00E541F9"/>
    <w:rsid w:val="00E5421D"/>
    <w:rsid w:val="00E545C7"/>
    <w:rsid w:val="00E5489F"/>
    <w:rsid w:val="00E55684"/>
    <w:rsid w:val="00E5603E"/>
    <w:rsid w:val="00E56894"/>
    <w:rsid w:val="00E569D9"/>
    <w:rsid w:val="00E569ED"/>
    <w:rsid w:val="00E56F5B"/>
    <w:rsid w:val="00E57191"/>
    <w:rsid w:val="00E57CC2"/>
    <w:rsid w:val="00E57D3B"/>
    <w:rsid w:val="00E602E5"/>
    <w:rsid w:val="00E604F1"/>
    <w:rsid w:val="00E6052D"/>
    <w:rsid w:val="00E6070B"/>
    <w:rsid w:val="00E608D7"/>
    <w:rsid w:val="00E60D0B"/>
    <w:rsid w:val="00E6117A"/>
    <w:rsid w:val="00E61505"/>
    <w:rsid w:val="00E61518"/>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4EF0"/>
    <w:rsid w:val="00E6502C"/>
    <w:rsid w:val="00E657D1"/>
    <w:rsid w:val="00E65977"/>
    <w:rsid w:val="00E66029"/>
    <w:rsid w:val="00E660C2"/>
    <w:rsid w:val="00E66472"/>
    <w:rsid w:val="00E667E5"/>
    <w:rsid w:val="00E67006"/>
    <w:rsid w:val="00E67133"/>
    <w:rsid w:val="00E678B1"/>
    <w:rsid w:val="00E67CA3"/>
    <w:rsid w:val="00E70028"/>
    <w:rsid w:val="00E7047D"/>
    <w:rsid w:val="00E70591"/>
    <w:rsid w:val="00E70C44"/>
    <w:rsid w:val="00E70E6B"/>
    <w:rsid w:val="00E70F0E"/>
    <w:rsid w:val="00E713C0"/>
    <w:rsid w:val="00E71A90"/>
    <w:rsid w:val="00E7218C"/>
    <w:rsid w:val="00E721D0"/>
    <w:rsid w:val="00E72256"/>
    <w:rsid w:val="00E72D08"/>
    <w:rsid w:val="00E7335A"/>
    <w:rsid w:val="00E734D0"/>
    <w:rsid w:val="00E735E8"/>
    <w:rsid w:val="00E73834"/>
    <w:rsid w:val="00E739E1"/>
    <w:rsid w:val="00E74A27"/>
    <w:rsid w:val="00E74E74"/>
    <w:rsid w:val="00E74EFB"/>
    <w:rsid w:val="00E75571"/>
    <w:rsid w:val="00E75A6D"/>
    <w:rsid w:val="00E75ABB"/>
    <w:rsid w:val="00E75EA1"/>
    <w:rsid w:val="00E7647B"/>
    <w:rsid w:val="00E7659F"/>
    <w:rsid w:val="00E76722"/>
    <w:rsid w:val="00E76BCF"/>
    <w:rsid w:val="00E76F76"/>
    <w:rsid w:val="00E77BA0"/>
    <w:rsid w:val="00E77D8C"/>
    <w:rsid w:val="00E77FBE"/>
    <w:rsid w:val="00E812BE"/>
    <w:rsid w:val="00E81675"/>
    <w:rsid w:val="00E81F0A"/>
    <w:rsid w:val="00E81FAB"/>
    <w:rsid w:val="00E82F10"/>
    <w:rsid w:val="00E82F3E"/>
    <w:rsid w:val="00E831A8"/>
    <w:rsid w:val="00E831E1"/>
    <w:rsid w:val="00E83280"/>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6D7"/>
    <w:rsid w:val="00E85719"/>
    <w:rsid w:val="00E860DD"/>
    <w:rsid w:val="00E86311"/>
    <w:rsid w:val="00E8666D"/>
    <w:rsid w:val="00E86A13"/>
    <w:rsid w:val="00E86E22"/>
    <w:rsid w:val="00E8740E"/>
    <w:rsid w:val="00E8744D"/>
    <w:rsid w:val="00E8794A"/>
    <w:rsid w:val="00E879EB"/>
    <w:rsid w:val="00E87AA8"/>
    <w:rsid w:val="00E9043A"/>
    <w:rsid w:val="00E904EA"/>
    <w:rsid w:val="00E90BB9"/>
    <w:rsid w:val="00E90FF8"/>
    <w:rsid w:val="00E91312"/>
    <w:rsid w:val="00E91838"/>
    <w:rsid w:val="00E91DCA"/>
    <w:rsid w:val="00E91E56"/>
    <w:rsid w:val="00E91F66"/>
    <w:rsid w:val="00E92D89"/>
    <w:rsid w:val="00E9360A"/>
    <w:rsid w:val="00E9370D"/>
    <w:rsid w:val="00E937E4"/>
    <w:rsid w:val="00E93907"/>
    <w:rsid w:val="00E93D70"/>
    <w:rsid w:val="00E94BA9"/>
    <w:rsid w:val="00E9563B"/>
    <w:rsid w:val="00E95AE5"/>
    <w:rsid w:val="00E96060"/>
    <w:rsid w:val="00E96794"/>
    <w:rsid w:val="00E96C79"/>
    <w:rsid w:val="00E97048"/>
    <w:rsid w:val="00E97158"/>
    <w:rsid w:val="00E97322"/>
    <w:rsid w:val="00E97413"/>
    <w:rsid w:val="00E977F8"/>
    <w:rsid w:val="00E9782F"/>
    <w:rsid w:val="00E97B7A"/>
    <w:rsid w:val="00E97D30"/>
    <w:rsid w:val="00EA0229"/>
    <w:rsid w:val="00EA076A"/>
    <w:rsid w:val="00EA10A9"/>
    <w:rsid w:val="00EA142E"/>
    <w:rsid w:val="00EA2171"/>
    <w:rsid w:val="00EA232E"/>
    <w:rsid w:val="00EA2C1F"/>
    <w:rsid w:val="00EA3169"/>
    <w:rsid w:val="00EA3664"/>
    <w:rsid w:val="00EA371A"/>
    <w:rsid w:val="00EA3B96"/>
    <w:rsid w:val="00EA3EBB"/>
    <w:rsid w:val="00EA3EF7"/>
    <w:rsid w:val="00EA4D46"/>
    <w:rsid w:val="00EA4E2B"/>
    <w:rsid w:val="00EA58A9"/>
    <w:rsid w:val="00EA62A9"/>
    <w:rsid w:val="00EA74C2"/>
    <w:rsid w:val="00EA78E0"/>
    <w:rsid w:val="00EA793A"/>
    <w:rsid w:val="00EA7A53"/>
    <w:rsid w:val="00EA7B65"/>
    <w:rsid w:val="00EA7E27"/>
    <w:rsid w:val="00EA7ED7"/>
    <w:rsid w:val="00EA7F69"/>
    <w:rsid w:val="00EA7FDF"/>
    <w:rsid w:val="00EB000A"/>
    <w:rsid w:val="00EB06E0"/>
    <w:rsid w:val="00EB0869"/>
    <w:rsid w:val="00EB0970"/>
    <w:rsid w:val="00EB09F7"/>
    <w:rsid w:val="00EB0BED"/>
    <w:rsid w:val="00EB0C47"/>
    <w:rsid w:val="00EB0D34"/>
    <w:rsid w:val="00EB1980"/>
    <w:rsid w:val="00EB1F5A"/>
    <w:rsid w:val="00EB2A2F"/>
    <w:rsid w:val="00EB2E17"/>
    <w:rsid w:val="00EB319C"/>
    <w:rsid w:val="00EB31FC"/>
    <w:rsid w:val="00EB384D"/>
    <w:rsid w:val="00EB3B1A"/>
    <w:rsid w:val="00EB3B7E"/>
    <w:rsid w:val="00EB4583"/>
    <w:rsid w:val="00EB4796"/>
    <w:rsid w:val="00EB4CA2"/>
    <w:rsid w:val="00EB4F6B"/>
    <w:rsid w:val="00EB502E"/>
    <w:rsid w:val="00EB58DE"/>
    <w:rsid w:val="00EB59EC"/>
    <w:rsid w:val="00EB5C0F"/>
    <w:rsid w:val="00EB60E1"/>
    <w:rsid w:val="00EB63B4"/>
    <w:rsid w:val="00EB6CE0"/>
    <w:rsid w:val="00EB7336"/>
    <w:rsid w:val="00EC021D"/>
    <w:rsid w:val="00EC0225"/>
    <w:rsid w:val="00EC0483"/>
    <w:rsid w:val="00EC04A3"/>
    <w:rsid w:val="00EC0782"/>
    <w:rsid w:val="00EC07B6"/>
    <w:rsid w:val="00EC0B75"/>
    <w:rsid w:val="00EC127E"/>
    <w:rsid w:val="00EC1ACD"/>
    <w:rsid w:val="00EC222C"/>
    <w:rsid w:val="00EC26A9"/>
    <w:rsid w:val="00EC27C7"/>
    <w:rsid w:val="00EC2997"/>
    <w:rsid w:val="00EC2A32"/>
    <w:rsid w:val="00EC3340"/>
    <w:rsid w:val="00EC3C7E"/>
    <w:rsid w:val="00EC3D9D"/>
    <w:rsid w:val="00EC3E3A"/>
    <w:rsid w:val="00EC4421"/>
    <w:rsid w:val="00EC4537"/>
    <w:rsid w:val="00EC47DC"/>
    <w:rsid w:val="00EC4804"/>
    <w:rsid w:val="00EC4859"/>
    <w:rsid w:val="00EC4A8A"/>
    <w:rsid w:val="00EC533A"/>
    <w:rsid w:val="00EC59A1"/>
    <w:rsid w:val="00EC59C8"/>
    <w:rsid w:val="00EC5F61"/>
    <w:rsid w:val="00EC65AA"/>
    <w:rsid w:val="00EC6C67"/>
    <w:rsid w:val="00EC6CDD"/>
    <w:rsid w:val="00EC720E"/>
    <w:rsid w:val="00EC7372"/>
    <w:rsid w:val="00EC73EA"/>
    <w:rsid w:val="00EC7C59"/>
    <w:rsid w:val="00EC7F52"/>
    <w:rsid w:val="00ED04AD"/>
    <w:rsid w:val="00ED069D"/>
    <w:rsid w:val="00ED085A"/>
    <w:rsid w:val="00ED08EE"/>
    <w:rsid w:val="00ED0A9F"/>
    <w:rsid w:val="00ED167D"/>
    <w:rsid w:val="00ED189F"/>
    <w:rsid w:val="00ED1C06"/>
    <w:rsid w:val="00ED1D2C"/>
    <w:rsid w:val="00ED20C5"/>
    <w:rsid w:val="00ED262E"/>
    <w:rsid w:val="00ED294D"/>
    <w:rsid w:val="00ED2B14"/>
    <w:rsid w:val="00ED2BFD"/>
    <w:rsid w:val="00ED2D1E"/>
    <w:rsid w:val="00ED3291"/>
    <w:rsid w:val="00ED374B"/>
    <w:rsid w:val="00ED376A"/>
    <w:rsid w:val="00ED378D"/>
    <w:rsid w:val="00ED39CA"/>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ECE"/>
    <w:rsid w:val="00ED7C8C"/>
    <w:rsid w:val="00ED7D3F"/>
    <w:rsid w:val="00EE02A9"/>
    <w:rsid w:val="00EE0A58"/>
    <w:rsid w:val="00EE18F9"/>
    <w:rsid w:val="00EE19CD"/>
    <w:rsid w:val="00EE1D28"/>
    <w:rsid w:val="00EE20E8"/>
    <w:rsid w:val="00EE2334"/>
    <w:rsid w:val="00EE26C6"/>
    <w:rsid w:val="00EE2762"/>
    <w:rsid w:val="00EE2823"/>
    <w:rsid w:val="00EE2C7E"/>
    <w:rsid w:val="00EE2CB6"/>
    <w:rsid w:val="00EE2D45"/>
    <w:rsid w:val="00EE2E01"/>
    <w:rsid w:val="00EE31DB"/>
    <w:rsid w:val="00EE3BFB"/>
    <w:rsid w:val="00EE3FB9"/>
    <w:rsid w:val="00EE41FD"/>
    <w:rsid w:val="00EE46BE"/>
    <w:rsid w:val="00EE47F9"/>
    <w:rsid w:val="00EE49D8"/>
    <w:rsid w:val="00EE4A6B"/>
    <w:rsid w:val="00EE5754"/>
    <w:rsid w:val="00EE593A"/>
    <w:rsid w:val="00EE59D0"/>
    <w:rsid w:val="00EE5BDB"/>
    <w:rsid w:val="00EE5BEF"/>
    <w:rsid w:val="00EE6661"/>
    <w:rsid w:val="00EE66A8"/>
    <w:rsid w:val="00EE683F"/>
    <w:rsid w:val="00EE71F6"/>
    <w:rsid w:val="00EE756F"/>
    <w:rsid w:val="00EE76B9"/>
    <w:rsid w:val="00EE77C4"/>
    <w:rsid w:val="00EE7825"/>
    <w:rsid w:val="00EE7E3F"/>
    <w:rsid w:val="00EF054F"/>
    <w:rsid w:val="00EF05E6"/>
    <w:rsid w:val="00EF1508"/>
    <w:rsid w:val="00EF15EE"/>
    <w:rsid w:val="00EF1E1B"/>
    <w:rsid w:val="00EF22B1"/>
    <w:rsid w:val="00EF2C92"/>
    <w:rsid w:val="00EF33F3"/>
    <w:rsid w:val="00EF351A"/>
    <w:rsid w:val="00EF39BC"/>
    <w:rsid w:val="00EF3C91"/>
    <w:rsid w:val="00EF3EBB"/>
    <w:rsid w:val="00EF4884"/>
    <w:rsid w:val="00EF4AF2"/>
    <w:rsid w:val="00EF50AD"/>
    <w:rsid w:val="00EF5A22"/>
    <w:rsid w:val="00EF6231"/>
    <w:rsid w:val="00EF65CB"/>
    <w:rsid w:val="00EF68A3"/>
    <w:rsid w:val="00EF72EA"/>
    <w:rsid w:val="00EF7A06"/>
    <w:rsid w:val="00F00020"/>
    <w:rsid w:val="00F0007F"/>
    <w:rsid w:val="00F0028A"/>
    <w:rsid w:val="00F0137E"/>
    <w:rsid w:val="00F01D0F"/>
    <w:rsid w:val="00F02261"/>
    <w:rsid w:val="00F024C8"/>
    <w:rsid w:val="00F02D89"/>
    <w:rsid w:val="00F02F22"/>
    <w:rsid w:val="00F02F8A"/>
    <w:rsid w:val="00F03259"/>
    <w:rsid w:val="00F03E94"/>
    <w:rsid w:val="00F03FFF"/>
    <w:rsid w:val="00F0424E"/>
    <w:rsid w:val="00F0480C"/>
    <w:rsid w:val="00F04C4A"/>
    <w:rsid w:val="00F04EAF"/>
    <w:rsid w:val="00F051F8"/>
    <w:rsid w:val="00F05431"/>
    <w:rsid w:val="00F05619"/>
    <w:rsid w:val="00F05753"/>
    <w:rsid w:val="00F057C7"/>
    <w:rsid w:val="00F06174"/>
    <w:rsid w:val="00F0628D"/>
    <w:rsid w:val="00F06E7A"/>
    <w:rsid w:val="00F07015"/>
    <w:rsid w:val="00F07228"/>
    <w:rsid w:val="00F078A7"/>
    <w:rsid w:val="00F07967"/>
    <w:rsid w:val="00F07ADD"/>
    <w:rsid w:val="00F07E1A"/>
    <w:rsid w:val="00F10CE4"/>
    <w:rsid w:val="00F10EDB"/>
    <w:rsid w:val="00F1163C"/>
    <w:rsid w:val="00F1292D"/>
    <w:rsid w:val="00F12C83"/>
    <w:rsid w:val="00F12D79"/>
    <w:rsid w:val="00F1336F"/>
    <w:rsid w:val="00F141CB"/>
    <w:rsid w:val="00F141ED"/>
    <w:rsid w:val="00F14778"/>
    <w:rsid w:val="00F15B7B"/>
    <w:rsid w:val="00F15E17"/>
    <w:rsid w:val="00F15FC4"/>
    <w:rsid w:val="00F1608A"/>
    <w:rsid w:val="00F160C9"/>
    <w:rsid w:val="00F16257"/>
    <w:rsid w:val="00F1693E"/>
    <w:rsid w:val="00F1751B"/>
    <w:rsid w:val="00F1761A"/>
    <w:rsid w:val="00F17659"/>
    <w:rsid w:val="00F17B25"/>
    <w:rsid w:val="00F17D1A"/>
    <w:rsid w:val="00F17FD8"/>
    <w:rsid w:val="00F201E7"/>
    <w:rsid w:val="00F20354"/>
    <w:rsid w:val="00F20405"/>
    <w:rsid w:val="00F207F0"/>
    <w:rsid w:val="00F209D3"/>
    <w:rsid w:val="00F2107A"/>
    <w:rsid w:val="00F212BB"/>
    <w:rsid w:val="00F21327"/>
    <w:rsid w:val="00F217CE"/>
    <w:rsid w:val="00F21DB2"/>
    <w:rsid w:val="00F22289"/>
    <w:rsid w:val="00F222DB"/>
    <w:rsid w:val="00F2247F"/>
    <w:rsid w:val="00F226EE"/>
    <w:rsid w:val="00F22BE9"/>
    <w:rsid w:val="00F22C21"/>
    <w:rsid w:val="00F22D67"/>
    <w:rsid w:val="00F22E5F"/>
    <w:rsid w:val="00F2344E"/>
    <w:rsid w:val="00F23DA8"/>
    <w:rsid w:val="00F23E1B"/>
    <w:rsid w:val="00F24B2C"/>
    <w:rsid w:val="00F24CD0"/>
    <w:rsid w:val="00F24EE1"/>
    <w:rsid w:val="00F24F2B"/>
    <w:rsid w:val="00F24FD4"/>
    <w:rsid w:val="00F25076"/>
    <w:rsid w:val="00F2512B"/>
    <w:rsid w:val="00F251B5"/>
    <w:rsid w:val="00F25224"/>
    <w:rsid w:val="00F25342"/>
    <w:rsid w:val="00F25415"/>
    <w:rsid w:val="00F25795"/>
    <w:rsid w:val="00F257FE"/>
    <w:rsid w:val="00F259EF"/>
    <w:rsid w:val="00F25D6D"/>
    <w:rsid w:val="00F262CD"/>
    <w:rsid w:val="00F265FD"/>
    <w:rsid w:val="00F26637"/>
    <w:rsid w:val="00F26AF4"/>
    <w:rsid w:val="00F2712A"/>
    <w:rsid w:val="00F27347"/>
    <w:rsid w:val="00F27594"/>
    <w:rsid w:val="00F27DA5"/>
    <w:rsid w:val="00F30020"/>
    <w:rsid w:val="00F30551"/>
    <w:rsid w:val="00F306AB"/>
    <w:rsid w:val="00F308A5"/>
    <w:rsid w:val="00F30A63"/>
    <w:rsid w:val="00F30FE9"/>
    <w:rsid w:val="00F31238"/>
    <w:rsid w:val="00F312FB"/>
    <w:rsid w:val="00F31777"/>
    <w:rsid w:val="00F31BBE"/>
    <w:rsid w:val="00F31C7F"/>
    <w:rsid w:val="00F31E78"/>
    <w:rsid w:val="00F32BC6"/>
    <w:rsid w:val="00F32D4C"/>
    <w:rsid w:val="00F32EA0"/>
    <w:rsid w:val="00F330C4"/>
    <w:rsid w:val="00F3312E"/>
    <w:rsid w:val="00F3375D"/>
    <w:rsid w:val="00F33AD9"/>
    <w:rsid w:val="00F3463B"/>
    <w:rsid w:val="00F346AF"/>
    <w:rsid w:val="00F34E09"/>
    <w:rsid w:val="00F34F79"/>
    <w:rsid w:val="00F350F7"/>
    <w:rsid w:val="00F3550F"/>
    <w:rsid w:val="00F35561"/>
    <w:rsid w:val="00F35B34"/>
    <w:rsid w:val="00F35F39"/>
    <w:rsid w:val="00F3640E"/>
    <w:rsid w:val="00F364CE"/>
    <w:rsid w:val="00F367A0"/>
    <w:rsid w:val="00F36DA0"/>
    <w:rsid w:val="00F36DF3"/>
    <w:rsid w:val="00F3742C"/>
    <w:rsid w:val="00F37601"/>
    <w:rsid w:val="00F3763B"/>
    <w:rsid w:val="00F376F1"/>
    <w:rsid w:val="00F402A0"/>
    <w:rsid w:val="00F40ACC"/>
    <w:rsid w:val="00F40B6D"/>
    <w:rsid w:val="00F40D95"/>
    <w:rsid w:val="00F41271"/>
    <w:rsid w:val="00F41310"/>
    <w:rsid w:val="00F41AEC"/>
    <w:rsid w:val="00F41DF7"/>
    <w:rsid w:val="00F41EF9"/>
    <w:rsid w:val="00F42EF1"/>
    <w:rsid w:val="00F431C8"/>
    <w:rsid w:val="00F43241"/>
    <w:rsid w:val="00F4353A"/>
    <w:rsid w:val="00F443C0"/>
    <w:rsid w:val="00F4460D"/>
    <w:rsid w:val="00F44AAB"/>
    <w:rsid w:val="00F44C54"/>
    <w:rsid w:val="00F450F2"/>
    <w:rsid w:val="00F45477"/>
    <w:rsid w:val="00F46983"/>
    <w:rsid w:val="00F46A48"/>
    <w:rsid w:val="00F46CA3"/>
    <w:rsid w:val="00F4709A"/>
    <w:rsid w:val="00F47376"/>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97E"/>
    <w:rsid w:val="00F52D31"/>
    <w:rsid w:val="00F531BF"/>
    <w:rsid w:val="00F53614"/>
    <w:rsid w:val="00F53FCC"/>
    <w:rsid w:val="00F5461C"/>
    <w:rsid w:val="00F546E8"/>
    <w:rsid w:val="00F5477B"/>
    <w:rsid w:val="00F548AC"/>
    <w:rsid w:val="00F54A92"/>
    <w:rsid w:val="00F55B75"/>
    <w:rsid w:val="00F55FA1"/>
    <w:rsid w:val="00F563C7"/>
    <w:rsid w:val="00F56C0E"/>
    <w:rsid w:val="00F56C43"/>
    <w:rsid w:val="00F56F7D"/>
    <w:rsid w:val="00F5727A"/>
    <w:rsid w:val="00F574AC"/>
    <w:rsid w:val="00F57970"/>
    <w:rsid w:val="00F60343"/>
    <w:rsid w:val="00F60513"/>
    <w:rsid w:val="00F606F6"/>
    <w:rsid w:val="00F60746"/>
    <w:rsid w:val="00F60A81"/>
    <w:rsid w:val="00F61097"/>
    <w:rsid w:val="00F616EB"/>
    <w:rsid w:val="00F62313"/>
    <w:rsid w:val="00F62C54"/>
    <w:rsid w:val="00F62D93"/>
    <w:rsid w:val="00F62E36"/>
    <w:rsid w:val="00F63179"/>
    <w:rsid w:val="00F633ED"/>
    <w:rsid w:val="00F6381F"/>
    <w:rsid w:val="00F646BD"/>
    <w:rsid w:val="00F64C66"/>
    <w:rsid w:val="00F65290"/>
    <w:rsid w:val="00F652C0"/>
    <w:rsid w:val="00F65448"/>
    <w:rsid w:val="00F65883"/>
    <w:rsid w:val="00F6596A"/>
    <w:rsid w:val="00F6626C"/>
    <w:rsid w:val="00F662BD"/>
    <w:rsid w:val="00F67252"/>
    <w:rsid w:val="00F67447"/>
    <w:rsid w:val="00F67917"/>
    <w:rsid w:val="00F67B31"/>
    <w:rsid w:val="00F70448"/>
    <w:rsid w:val="00F70720"/>
    <w:rsid w:val="00F708B0"/>
    <w:rsid w:val="00F708B8"/>
    <w:rsid w:val="00F70DC7"/>
    <w:rsid w:val="00F70E43"/>
    <w:rsid w:val="00F70F19"/>
    <w:rsid w:val="00F71096"/>
    <w:rsid w:val="00F71160"/>
    <w:rsid w:val="00F71269"/>
    <w:rsid w:val="00F716C0"/>
    <w:rsid w:val="00F71876"/>
    <w:rsid w:val="00F719B9"/>
    <w:rsid w:val="00F71A97"/>
    <w:rsid w:val="00F71CD0"/>
    <w:rsid w:val="00F72C61"/>
    <w:rsid w:val="00F72CBA"/>
    <w:rsid w:val="00F72D10"/>
    <w:rsid w:val="00F73A70"/>
    <w:rsid w:val="00F73E86"/>
    <w:rsid w:val="00F73EFB"/>
    <w:rsid w:val="00F74156"/>
    <w:rsid w:val="00F7495F"/>
    <w:rsid w:val="00F74CD0"/>
    <w:rsid w:val="00F74DC1"/>
    <w:rsid w:val="00F74DD3"/>
    <w:rsid w:val="00F752CC"/>
    <w:rsid w:val="00F755DE"/>
    <w:rsid w:val="00F75A89"/>
    <w:rsid w:val="00F76546"/>
    <w:rsid w:val="00F7679A"/>
    <w:rsid w:val="00F767F5"/>
    <w:rsid w:val="00F76CB9"/>
    <w:rsid w:val="00F7727C"/>
    <w:rsid w:val="00F77694"/>
    <w:rsid w:val="00F77CC5"/>
    <w:rsid w:val="00F77D7B"/>
    <w:rsid w:val="00F77EBB"/>
    <w:rsid w:val="00F80969"/>
    <w:rsid w:val="00F80B90"/>
    <w:rsid w:val="00F80E07"/>
    <w:rsid w:val="00F814C0"/>
    <w:rsid w:val="00F816D9"/>
    <w:rsid w:val="00F81EA3"/>
    <w:rsid w:val="00F82916"/>
    <w:rsid w:val="00F82A1E"/>
    <w:rsid w:val="00F8372D"/>
    <w:rsid w:val="00F83A7D"/>
    <w:rsid w:val="00F84018"/>
    <w:rsid w:val="00F84FC3"/>
    <w:rsid w:val="00F850A1"/>
    <w:rsid w:val="00F8580B"/>
    <w:rsid w:val="00F85DEF"/>
    <w:rsid w:val="00F85FB5"/>
    <w:rsid w:val="00F85FFC"/>
    <w:rsid w:val="00F86FBB"/>
    <w:rsid w:val="00F8712C"/>
    <w:rsid w:val="00F8772D"/>
    <w:rsid w:val="00F87AA7"/>
    <w:rsid w:val="00F90282"/>
    <w:rsid w:val="00F906D6"/>
    <w:rsid w:val="00F907A8"/>
    <w:rsid w:val="00F90B96"/>
    <w:rsid w:val="00F90D63"/>
    <w:rsid w:val="00F90E73"/>
    <w:rsid w:val="00F90ED2"/>
    <w:rsid w:val="00F90EEB"/>
    <w:rsid w:val="00F91057"/>
    <w:rsid w:val="00F913C1"/>
    <w:rsid w:val="00F921A7"/>
    <w:rsid w:val="00F92822"/>
    <w:rsid w:val="00F92F7F"/>
    <w:rsid w:val="00F93318"/>
    <w:rsid w:val="00F93871"/>
    <w:rsid w:val="00F9387A"/>
    <w:rsid w:val="00F93B19"/>
    <w:rsid w:val="00F9400A"/>
    <w:rsid w:val="00F942C3"/>
    <w:rsid w:val="00F942D9"/>
    <w:rsid w:val="00F945A2"/>
    <w:rsid w:val="00F94704"/>
    <w:rsid w:val="00F9478E"/>
    <w:rsid w:val="00F94939"/>
    <w:rsid w:val="00F94A3E"/>
    <w:rsid w:val="00F94AF6"/>
    <w:rsid w:val="00F94B91"/>
    <w:rsid w:val="00F94D4D"/>
    <w:rsid w:val="00F94E14"/>
    <w:rsid w:val="00F9568D"/>
    <w:rsid w:val="00F95742"/>
    <w:rsid w:val="00F95A06"/>
    <w:rsid w:val="00F95E91"/>
    <w:rsid w:val="00F964E5"/>
    <w:rsid w:val="00F964F3"/>
    <w:rsid w:val="00F966C0"/>
    <w:rsid w:val="00F970A9"/>
    <w:rsid w:val="00F97428"/>
    <w:rsid w:val="00F97494"/>
    <w:rsid w:val="00F97540"/>
    <w:rsid w:val="00F97875"/>
    <w:rsid w:val="00F97AA5"/>
    <w:rsid w:val="00F97C56"/>
    <w:rsid w:val="00F97C77"/>
    <w:rsid w:val="00F97D3E"/>
    <w:rsid w:val="00FA0010"/>
    <w:rsid w:val="00FA0177"/>
    <w:rsid w:val="00FA0333"/>
    <w:rsid w:val="00FA03AA"/>
    <w:rsid w:val="00FA04B7"/>
    <w:rsid w:val="00FA062E"/>
    <w:rsid w:val="00FA0869"/>
    <w:rsid w:val="00FA1AE9"/>
    <w:rsid w:val="00FA1B3B"/>
    <w:rsid w:val="00FA1C24"/>
    <w:rsid w:val="00FA2243"/>
    <w:rsid w:val="00FA224A"/>
    <w:rsid w:val="00FA24D9"/>
    <w:rsid w:val="00FA2B87"/>
    <w:rsid w:val="00FA3202"/>
    <w:rsid w:val="00FA343A"/>
    <w:rsid w:val="00FA344F"/>
    <w:rsid w:val="00FA3C51"/>
    <w:rsid w:val="00FA4701"/>
    <w:rsid w:val="00FA4704"/>
    <w:rsid w:val="00FA4B77"/>
    <w:rsid w:val="00FA4D1B"/>
    <w:rsid w:val="00FA522B"/>
    <w:rsid w:val="00FA5995"/>
    <w:rsid w:val="00FA5DFC"/>
    <w:rsid w:val="00FA60DA"/>
    <w:rsid w:val="00FA630F"/>
    <w:rsid w:val="00FA643D"/>
    <w:rsid w:val="00FA6D34"/>
    <w:rsid w:val="00FA71C7"/>
    <w:rsid w:val="00FA7278"/>
    <w:rsid w:val="00FA762F"/>
    <w:rsid w:val="00FA7A0F"/>
    <w:rsid w:val="00FA7A35"/>
    <w:rsid w:val="00FA7A6C"/>
    <w:rsid w:val="00FA7F66"/>
    <w:rsid w:val="00FB051B"/>
    <w:rsid w:val="00FB0DB4"/>
    <w:rsid w:val="00FB0F1F"/>
    <w:rsid w:val="00FB1499"/>
    <w:rsid w:val="00FB167E"/>
    <w:rsid w:val="00FB1732"/>
    <w:rsid w:val="00FB1F8A"/>
    <w:rsid w:val="00FB1FB2"/>
    <w:rsid w:val="00FB2535"/>
    <w:rsid w:val="00FB2C9B"/>
    <w:rsid w:val="00FB2F14"/>
    <w:rsid w:val="00FB3121"/>
    <w:rsid w:val="00FB32DB"/>
    <w:rsid w:val="00FB3E00"/>
    <w:rsid w:val="00FB3F6D"/>
    <w:rsid w:val="00FB4133"/>
    <w:rsid w:val="00FB4AD7"/>
    <w:rsid w:val="00FB4B40"/>
    <w:rsid w:val="00FB4FC3"/>
    <w:rsid w:val="00FB56E4"/>
    <w:rsid w:val="00FB5DAE"/>
    <w:rsid w:val="00FB63E2"/>
    <w:rsid w:val="00FB68E5"/>
    <w:rsid w:val="00FB782C"/>
    <w:rsid w:val="00FB78B7"/>
    <w:rsid w:val="00FB7A89"/>
    <w:rsid w:val="00FB7A98"/>
    <w:rsid w:val="00FB7F44"/>
    <w:rsid w:val="00FB7F8F"/>
    <w:rsid w:val="00FC0DA6"/>
    <w:rsid w:val="00FC1029"/>
    <w:rsid w:val="00FC155D"/>
    <w:rsid w:val="00FC169C"/>
    <w:rsid w:val="00FC1883"/>
    <w:rsid w:val="00FC19D4"/>
    <w:rsid w:val="00FC1EFF"/>
    <w:rsid w:val="00FC20B0"/>
    <w:rsid w:val="00FC22F7"/>
    <w:rsid w:val="00FC247C"/>
    <w:rsid w:val="00FC2E0F"/>
    <w:rsid w:val="00FC31B8"/>
    <w:rsid w:val="00FC340C"/>
    <w:rsid w:val="00FC3791"/>
    <w:rsid w:val="00FC43E4"/>
    <w:rsid w:val="00FC4593"/>
    <w:rsid w:val="00FC4777"/>
    <w:rsid w:val="00FC4A29"/>
    <w:rsid w:val="00FC4DD8"/>
    <w:rsid w:val="00FC4E98"/>
    <w:rsid w:val="00FC5423"/>
    <w:rsid w:val="00FC54B3"/>
    <w:rsid w:val="00FC56E8"/>
    <w:rsid w:val="00FC6910"/>
    <w:rsid w:val="00FC6CD7"/>
    <w:rsid w:val="00FC6FA3"/>
    <w:rsid w:val="00FC7391"/>
    <w:rsid w:val="00FC7A67"/>
    <w:rsid w:val="00FC7DD4"/>
    <w:rsid w:val="00FD0045"/>
    <w:rsid w:val="00FD0555"/>
    <w:rsid w:val="00FD078F"/>
    <w:rsid w:val="00FD0AB9"/>
    <w:rsid w:val="00FD0CBB"/>
    <w:rsid w:val="00FD0CEE"/>
    <w:rsid w:val="00FD10EA"/>
    <w:rsid w:val="00FD151F"/>
    <w:rsid w:val="00FD1E4E"/>
    <w:rsid w:val="00FD25F7"/>
    <w:rsid w:val="00FD27B2"/>
    <w:rsid w:val="00FD2A56"/>
    <w:rsid w:val="00FD2B4F"/>
    <w:rsid w:val="00FD2BC4"/>
    <w:rsid w:val="00FD2C57"/>
    <w:rsid w:val="00FD2C65"/>
    <w:rsid w:val="00FD2D03"/>
    <w:rsid w:val="00FD32D5"/>
    <w:rsid w:val="00FD355E"/>
    <w:rsid w:val="00FD3A2C"/>
    <w:rsid w:val="00FD3A8E"/>
    <w:rsid w:val="00FD3DFB"/>
    <w:rsid w:val="00FD3FBB"/>
    <w:rsid w:val="00FD452F"/>
    <w:rsid w:val="00FD4594"/>
    <w:rsid w:val="00FD45BF"/>
    <w:rsid w:val="00FD4ABC"/>
    <w:rsid w:val="00FD4B50"/>
    <w:rsid w:val="00FD5021"/>
    <w:rsid w:val="00FD5165"/>
    <w:rsid w:val="00FD53E1"/>
    <w:rsid w:val="00FD550B"/>
    <w:rsid w:val="00FD553F"/>
    <w:rsid w:val="00FD5573"/>
    <w:rsid w:val="00FD57EC"/>
    <w:rsid w:val="00FD5901"/>
    <w:rsid w:val="00FD5ED6"/>
    <w:rsid w:val="00FD6531"/>
    <w:rsid w:val="00FD66F9"/>
    <w:rsid w:val="00FD6C03"/>
    <w:rsid w:val="00FD6EC2"/>
    <w:rsid w:val="00FD7026"/>
    <w:rsid w:val="00FD71C5"/>
    <w:rsid w:val="00FD7900"/>
    <w:rsid w:val="00FD7E46"/>
    <w:rsid w:val="00FD7F45"/>
    <w:rsid w:val="00FE007B"/>
    <w:rsid w:val="00FE0343"/>
    <w:rsid w:val="00FE07F2"/>
    <w:rsid w:val="00FE09BB"/>
    <w:rsid w:val="00FE22BD"/>
    <w:rsid w:val="00FE243C"/>
    <w:rsid w:val="00FE2720"/>
    <w:rsid w:val="00FE3002"/>
    <w:rsid w:val="00FE3075"/>
    <w:rsid w:val="00FE30C4"/>
    <w:rsid w:val="00FE318C"/>
    <w:rsid w:val="00FE3784"/>
    <w:rsid w:val="00FE40D1"/>
    <w:rsid w:val="00FE40F3"/>
    <w:rsid w:val="00FE41F7"/>
    <w:rsid w:val="00FE4216"/>
    <w:rsid w:val="00FE45D2"/>
    <w:rsid w:val="00FE48B2"/>
    <w:rsid w:val="00FE5557"/>
    <w:rsid w:val="00FE6017"/>
    <w:rsid w:val="00FE61FB"/>
    <w:rsid w:val="00FE6249"/>
    <w:rsid w:val="00FE669B"/>
    <w:rsid w:val="00FE6BAD"/>
    <w:rsid w:val="00FE6F53"/>
    <w:rsid w:val="00FE73BB"/>
    <w:rsid w:val="00FE77D0"/>
    <w:rsid w:val="00FE7DB1"/>
    <w:rsid w:val="00FF00CF"/>
    <w:rsid w:val="00FF0312"/>
    <w:rsid w:val="00FF0524"/>
    <w:rsid w:val="00FF0594"/>
    <w:rsid w:val="00FF0CAB"/>
    <w:rsid w:val="00FF0DC9"/>
    <w:rsid w:val="00FF136F"/>
    <w:rsid w:val="00FF186D"/>
    <w:rsid w:val="00FF1D77"/>
    <w:rsid w:val="00FF26B2"/>
    <w:rsid w:val="00FF26F2"/>
    <w:rsid w:val="00FF29B9"/>
    <w:rsid w:val="00FF2DC2"/>
    <w:rsid w:val="00FF3208"/>
    <w:rsid w:val="00FF362F"/>
    <w:rsid w:val="00FF39FD"/>
    <w:rsid w:val="00FF3DC0"/>
    <w:rsid w:val="00FF4758"/>
    <w:rsid w:val="00FF4769"/>
    <w:rsid w:val="00FF48AC"/>
    <w:rsid w:val="00FF4A2D"/>
    <w:rsid w:val="00FF4B55"/>
    <w:rsid w:val="00FF4E73"/>
    <w:rsid w:val="00FF5021"/>
    <w:rsid w:val="00FF561A"/>
    <w:rsid w:val="00FF6108"/>
    <w:rsid w:val="00FF6A9C"/>
    <w:rsid w:val="00FF6D38"/>
    <w:rsid w:val="00FF748D"/>
    <w:rsid w:val="00FF7A48"/>
    <w:rsid w:val="00FF7B4C"/>
    <w:rsid w:val="00FF7BF1"/>
    <w:rsid w:val="00FF7D42"/>
    <w:rsid w:val="01138890"/>
    <w:rsid w:val="011EFEE1"/>
    <w:rsid w:val="01C95B01"/>
    <w:rsid w:val="01F7E295"/>
    <w:rsid w:val="02507EEE"/>
    <w:rsid w:val="02B29726"/>
    <w:rsid w:val="02EDE3D8"/>
    <w:rsid w:val="02FAFF06"/>
    <w:rsid w:val="031CC813"/>
    <w:rsid w:val="04124F90"/>
    <w:rsid w:val="04AC1131"/>
    <w:rsid w:val="04C1439E"/>
    <w:rsid w:val="04C936BE"/>
    <w:rsid w:val="04FB16A5"/>
    <w:rsid w:val="050E5401"/>
    <w:rsid w:val="053FBD24"/>
    <w:rsid w:val="056A735C"/>
    <w:rsid w:val="056D20B4"/>
    <w:rsid w:val="05FAC325"/>
    <w:rsid w:val="06461294"/>
    <w:rsid w:val="066B7EF1"/>
    <w:rsid w:val="06AC972E"/>
    <w:rsid w:val="073524B3"/>
    <w:rsid w:val="076E4E11"/>
    <w:rsid w:val="07B47CBC"/>
    <w:rsid w:val="07D1D2E3"/>
    <w:rsid w:val="07E0DE53"/>
    <w:rsid w:val="0813E220"/>
    <w:rsid w:val="08233606"/>
    <w:rsid w:val="0823CB7C"/>
    <w:rsid w:val="084BF2E3"/>
    <w:rsid w:val="08A226D2"/>
    <w:rsid w:val="08D78421"/>
    <w:rsid w:val="09627871"/>
    <w:rsid w:val="0993685A"/>
    <w:rsid w:val="09AD5DEC"/>
    <w:rsid w:val="09B56C6B"/>
    <w:rsid w:val="09BDCCE6"/>
    <w:rsid w:val="09F0C8C7"/>
    <w:rsid w:val="0A11DA8D"/>
    <w:rsid w:val="0A6FA6D9"/>
    <w:rsid w:val="0B6B0AF5"/>
    <w:rsid w:val="0B9A8376"/>
    <w:rsid w:val="0C304D0D"/>
    <w:rsid w:val="0C751AA6"/>
    <w:rsid w:val="0C78992A"/>
    <w:rsid w:val="0CBAF59B"/>
    <w:rsid w:val="0CC54846"/>
    <w:rsid w:val="0D728AB6"/>
    <w:rsid w:val="0DEB10DC"/>
    <w:rsid w:val="0E39E4BC"/>
    <w:rsid w:val="0E52F377"/>
    <w:rsid w:val="0E72159F"/>
    <w:rsid w:val="0EF82D45"/>
    <w:rsid w:val="0F2BD432"/>
    <w:rsid w:val="0FC60716"/>
    <w:rsid w:val="0FD7F005"/>
    <w:rsid w:val="0FEBF038"/>
    <w:rsid w:val="0FFBEC9C"/>
    <w:rsid w:val="0FFE6EE1"/>
    <w:rsid w:val="100E36E4"/>
    <w:rsid w:val="100FA860"/>
    <w:rsid w:val="103B0BA8"/>
    <w:rsid w:val="105A50BD"/>
    <w:rsid w:val="10D1CB73"/>
    <w:rsid w:val="10D718DB"/>
    <w:rsid w:val="10DB8225"/>
    <w:rsid w:val="10E12BD0"/>
    <w:rsid w:val="10F2E120"/>
    <w:rsid w:val="1115A2F9"/>
    <w:rsid w:val="1123DEB9"/>
    <w:rsid w:val="112A2818"/>
    <w:rsid w:val="1146798A"/>
    <w:rsid w:val="114A8F60"/>
    <w:rsid w:val="1191767F"/>
    <w:rsid w:val="11A85F83"/>
    <w:rsid w:val="11D7AA1D"/>
    <w:rsid w:val="11D974AB"/>
    <w:rsid w:val="11E01628"/>
    <w:rsid w:val="11EF4C42"/>
    <w:rsid w:val="122E7C01"/>
    <w:rsid w:val="1233C4A6"/>
    <w:rsid w:val="12CF9635"/>
    <w:rsid w:val="1308F90F"/>
    <w:rsid w:val="1339F40E"/>
    <w:rsid w:val="135A63F0"/>
    <w:rsid w:val="139C9EC9"/>
    <w:rsid w:val="13AB057D"/>
    <w:rsid w:val="13DEAF0C"/>
    <w:rsid w:val="1453823D"/>
    <w:rsid w:val="14641179"/>
    <w:rsid w:val="146D87B4"/>
    <w:rsid w:val="1470CA03"/>
    <w:rsid w:val="14B97AD3"/>
    <w:rsid w:val="14CCD0EA"/>
    <w:rsid w:val="1509839A"/>
    <w:rsid w:val="15191FAB"/>
    <w:rsid w:val="152C6C19"/>
    <w:rsid w:val="1597C64A"/>
    <w:rsid w:val="15B769F5"/>
    <w:rsid w:val="15C3CA65"/>
    <w:rsid w:val="15CAF82F"/>
    <w:rsid w:val="1642F8CC"/>
    <w:rsid w:val="167058E3"/>
    <w:rsid w:val="16F35114"/>
    <w:rsid w:val="170661E9"/>
    <w:rsid w:val="1715CCD1"/>
    <w:rsid w:val="1755B8C5"/>
    <w:rsid w:val="1762F28C"/>
    <w:rsid w:val="181FC81C"/>
    <w:rsid w:val="18707A1A"/>
    <w:rsid w:val="189C89F4"/>
    <w:rsid w:val="18BDAF8A"/>
    <w:rsid w:val="18EFF90A"/>
    <w:rsid w:val="197C7FEA"/>
    <w:rsid w:val="19813A46"/>
    <w:rsid w:val="1A1CE145"/>
    <w:rsid w:val="1A68E98A"/>
    <w:rsid w:val="1A6DF534"/>
    <w:rsid w:val="1A8028F6"/>
    <w:rsid w:val="1ADFD5B7"/>
    <w:rsid w:val="1AFB83ED"/>
    <w:rsid w:val="1B09FC0A"/>
    <w:rsid w:val="1B392952"/>
    <w:rsid w:val="1B4446EF"/>
    <w:rsid w:val="1B653F29"/>
    <w:rsid w:val="1B6E4C2A"/>
    <w:rsid w:val="1BCF0AA5"/>
    <w:rsid w:val="1BE23E20"/>
    <w:rsid w:val="1BEEE0A8"/>
    <w:rsid w:val="1BF46F95"/>
    <w:rsid w:val="1C0B971E"/>
    <w:rsid w:val="1C16B1FC"/>
    <w:rsid w:val="1C54A345"/>
    <w:rsid w:val="1C6E2AF5"/>
    <w:rsid w:val="1C9A09F2"/>
    <w:rsid w:val="1CC52A75"/>
    <w:rsid w:val="1D5C7015"/>
    <w:rsid w:val="1D8E29AB"/>
    <w:rsid w:val="1E04C554"/>
    <w:rsid w:val="1E4D1B44"/>
    <w:rsid w:val="1E71B1CC"/>
    <w:rsid w:val="1E786D37"/>
    <w:rsid w:val="1EB161AE"/>
    <w:rsid w:val="1ED7C930"/>
    <w:rsid w:val="1F088E4A"/>
    <w:rsid w:val="1F5324FF"/>
    <w:rsid w:val="1FB70024"/>
    <w:rsid w:val="201D7856"/>
    <w:rsid w:val="202DFD18"/>
    <w:rsid w:val="20883EDA"/>
    <w:rsid w:val="209C98D0"/>
    <w:rsid w:val="209E7BCF"/>
    <w:rsid w:val="20DF8238"/>
    <w:rsid w:val="20F54D32"/>
    <w:rsid w:val="213BA421"/>
    <w:rsid w:val="2161A54E"/>
    <w:rsid w:val="21939667"/>
    <w:rsid w:val="2193F663"/>
    <w:rsid w:val="22071BC6"/>
    <w:rsid w:val="222ED90B"/>
    <w:rsid w:val="225F678F"/>
    <w:rsid w:val="228576AA"/>
    <w:rsid w:val="22919A31"/>
    <w:rsid w:val="22AD4B96"/>
    <w:rsid w:val="22B7F815"/>
    <w:rsid w:val="230CF46F"/>
    <w:rsid w:val="23208C67"/>
    <w:rsid w:val="23392AE7"/>
    <w:rsid w:val="238D3E80"/>
    <w:rsid w:val="23EEEC41"/>
    <w:rsid w:val="23F5A7C9"/>
    <w:rsid w:val="240A16D4"/>
    <w:rsid w:val="24283CF4"/>
    <w:rsid w:val="244A90F5"/>
    <w:rsid w:val="252CAF52"/>
    <w:rsid w:val="253192E7"/>
    <w:rsid w:val="2560007A"/>
    <w:rsid w:val="25B12EBE"/>
    <w:rsid w:val="25C7CF9B"/>
    <w:rsid w:val="26255FAA"/>
    <w:rsid w:val="26582D29"/>
    <w:rsid w:val="265B8A4E"/>
    <w:rsid w:val="265DB290"/>
    <w:rsid w:val="269949FD"/>
    <w:rsid w:val="26C0B836"/>
    <w:rsid w:val="26C0D5CB"/>
    <w:rsid w:val="26CB184A"/>
    <w:rsid w:val="2704D261"/>
    <w:rsid w:val="2710EC6F"/>
    <w:rsid w:val="2753E4EE"/>
    <w:rsid w:val="27E6634F"/>
    <w:rsid w:val="2828E16D"/>
    <w:rsid w:val="2874592D"/>
    <w:rsid w:val="2879C91E"/>
    <w:rsid w:val="28AD6641"/>
    <w:rsid w:val="2943CB56"/>
    <w:rsid w:val="295BA303"/>
    <w:rsid w:val="2973CF1B"/>
    <w:rsid w:val="2986BB41"/>
    <w:rsid w:val="2997BB71"/>
    <w:rsid w:val="29A7DAC7"/>
    <w:rsid w:val="29B0CCD9"/>
    <w:rsid w:val="2A0F70D2"/>
    <w:rsid w:val="2A10DB8F"/>
    <w:rsid w:val="2A7B5D1D"/>
    <w:rsid w:val="2A8B0095"/>
    <w:rsid w:val="2AA18054"/>
    <w:rsid w:val="2AD77170"/>
    <w:rsid w:val="2B15C551"/>
    <w:rsid w:val="2B453457"/>
    <w:rsid w:val="2B7AD178"/>
    <w:rsid w:val="2B7E4E07"/>
    <w:rsid w:val="2BAD2C6E"/>
    <w:rsid w:val="2BB5E2EF"/>
    <w:rsid w:val="2BEFE74D"/>
    <w:rsid w:val="2BFC716A"/>
    <w:rsid w:val="2C1710E2"/>
    <w:rsid w:val="2C24F111"/>
    <w:rsid w:val="2C382922"/>
    <w:rsid w:val="2C56B6C7"/>
    <w:rsid w:val="2CB424FC"/>
    <w:rsid w:val="2CC57B4C"/>
    <w:rsid w:val="2CE9B606"/>
    <w:rsid w:val="2D0A2697"/>
    <w:rsid w:val="2D0AF720"/>
    <w:rsid w:val="2D0D205E"/>
    <w:rsid w:val="2D55B893"/>
    <w:rsid w:val="2D74CF48"/>
    <w:rsid w:val="2D959C4B"/>
    <w:rsid w:val="2DB5601F"/>
    <w:rsid w:val="2DB8AEC5"/>
    <w:rsid w:val="2DCECA75"/>
    <w:rsid w:val="2E5A16EC"/>
    <w:rsid w:val="2E653C54"/>
    <w:rsid w:val="2E6B2C94"/>
    <w:rsid w:val="2E9213C8"/>
    <w:rsid w:val="2EA4EDD9"/>
    <w:rsid w:val="2F020F6E"/>
    <w:rsid w:val="2F11B0AD"/>
    <w:rsid w:val="2F4EF0A9"/>
    <w:rsid w:val="2F53A66B"/>
    <w:rsid w:val="2F5D6438"/>
    <w:rsid w:val="2F9500C6"/>
    <w:rsid w:val="2FFCFC6C"/>
    <w:rsid w:val="30057D6B"/>
    <w:rsid w:val="301161D3"/>
    <w:rsid w:val="3037E71D"/>
    <w:rsid w:val="30841766"/>
    <w:rsid w:val="3094ECEF"/>
    <w:rsid w:val="30AC65EA"/>
    <w:rsid w:val="31151295"/>
    <w:rsid w:val="31A2CD56"/>
    <w:rsid w:val="31C1CF23"/>
    <w:rsid w:val="31CF0FAE"/>
    <w:rsid w:val="3207B573"/>
    <w:rsid w:val="3215C897"/>
    <w:rsid w:val="323DCFBD"/>
    <w:rsid w:val="327C012F"/>
    <w:rsid w:val="328AB057"/>
    <w:rsid w:val="32B56C21"/>
    <w:rsid w:val="32CBE30D"/>
    <w:rsid w:val="32D17452"/>
    <w:rsid w:val="32DA172B"/>
    <w:rsid w:val="32E7CAB3"/>
    <w:rsid w:val="336D10F4"/>
    <w:rsid w:val="33725EB0"/>
    <w:rsid w:val="337401AE"/>
    <w:rsid w:val="33817D44"/>
    <w:rsid w:val="33B176AB"/>
    <w:rsid w:val="33BFED3C"/>
    <w:rsid w:val="3435344A"/>
    <w:rsid w:val="3448A04F"/>
    <w:rsid w:val="345FF2DC"/>
    <w:rsid w:val="3463A768"/>
    <w:rsid w:val="347B7533"/>
    <w:rsid w:val="348DC69A"/>
    <w:rsid w:val="3541FC7B"/>
    <w:rsid w:val="3550C6EB"/>
    <w:rsid w:val="35522A72"/>
    <w:rsid w:val="35616D82"/>
    <w:rsid w:val="35940F3A"/>
    <w:rsid w:val="35A64B3A"/>
    <w:rsid w:val="35E818AC"/>
    <w:rsid w:val="368A11CD"/>
    <w:rsid w:val="370185C7"/>
    <w:rsid w:val="37130DFA"/>
    <w:rsid w:val="3722089C"/>
    <w:rsid w:val="37782C7D"/>
    <w:rsid w:val="3795E2F7"/>
    <w:rsid w:val="379C2A30"/>
    <w:rsid w:val="37A5F2AB"/>
    <w:rsid w:val="37C3777F"/>
    <w:rsid w:val="37C53568"/>
    <w:rsid w:val="37F1D141"/>
    <w:rsid w:val="3842665B"/>
    <w:rsid w:val="384A5B5D"/>
    <w:rsid w:val="389C96F4"/>
    <w:rsid w:val="389F3014"/>
    <w:rsid w:val="38FB40C4"/>
    <w:rsid w:val="3927CDCA"/>
    <w:rsid w:val="39F94037"/>
    <w:rsid w:val="39FA74CD"/>
    <w:rsid w:val="3A1BA075"/>
    <w:rsid w:val="3A20BEBA"/>
    <w:rsid w:val="3A5D8121"/>
    <w:rsid w:val="3A67C8EB"/>
    <w:rsid w:val="3AE5E433"/>
    <w:rsid w:val="3B08D8A8"/>
    <w:rsid w:val="3B2C3900"/>
    <w:rsid w:val="3B36AE8E"/>
    <w:rsid w:val="3C009B1C"/>
    <w:rsid w:val="3C1371A9"/>
    <w:rsid w:val="3C7F2EA9"/>
    <w:rsid w:val="3CBD2679"/>
    <w:rsid w:val="3D5A7098"/>
    <w:rsid w:val="3D99B361"/>
    <w:rsid w:val="3DCB2393"/>
    <w:rsid w:val="3DDC1690"/>
    <w:rsid w:val="3E7430EC"/>
    <w:rsid w:val="3E7F8206"/>
    <w:rsid w:val="3EA31FC6"/>
    <w:rsid w:val="3EE2D5EF"/>
    <w:rsid w:val="3F39D7CA"/>
    <w:rsid w:val="3F56C6A0"/>
    <w:rsid w:val="3F6BE95D"/>
    <w:rsid w:val="3F6DED89"/>
    <w:rsid w:val="3F8B9880"/>
    <w:rsid w:val="401D20BF"/>
    <w:rsid w:val="40326445"/>
    <w:rsid w:val="40A695EA"/>
    <w:rsid w:val="41955276"/>
    <w:rsid w:val="41C2A0BE"/>
    <w:rsid w:val="42053D98"/>
    <w:rsid w:val="428BC6B0"/>
    <w:rsid w:val="42D4CCA9"/>
    <w:rsid w:val="4309D257"/>
    <w:rsid w:val="4337B1EC"/>
    <w:rsid w:val="434DB606"/>
    <w:rsid w:val="4356141C"/>
    <w:rsid w:val="43603BB4"/>
    <w:rsid w:val="43627241"/>
    <w:rsid w:val="43C4696E"/>
    <w:rsid w:val="4436F5B5"/>
    <w:rsid w:val="44B11D4C"/>
    <w:rsid w:val="44D2EC95"/>
    <w:rsid w:val="44F9B5DA"/>
    <w:rsid w:val="4555993C"/>
    <w:rsid w:val="4558EE02"/>
    <w:rsid w:val="4595548E"/>
    <w:rsid w:val="45AEF207"/>
    <w:rsid w:val="45CB2C78"/>
    <w:rsid w:val="45DABEF1"/>
    <w:rsid w:val="45E50797"/>
    <w:rsid w:val="460425C0"/>
    <w:rsid w:val="4608463B"/>
    <w:rsid w:val="4653E06C"/>
    <w:rsid w:val="46733D60"/>
    <w:rsid w:val="46B340BC"/>
    <w:rsid w:val="46EE576D"/>
    <w:rsid w:val="4707B89C"/>
    <w:rsid w:val="474D70C7"/>
    <w:rsid w:val="47EC615E"/>
    <w:rsid w:val="47FD787C"/>
    <w:rsid w:val="48565CC4"/>
    <w:rsid w:val="486DE2A1"/>
    <w:rsid w:val="48B81A2F"/>
    <w:rsid w:val="48CCE4E7"/>
    <w:rsid w:val="48FA55D7"/>
    <w:rsid w:val="49A61606"/>
    <w:rsid w:val="49DDB7D3"/>
    <w:rsid w:val="4A1FC61C"/>
    <w:rsid w:val="4A3C30A3"/>
    <w:rsid w:val="4A5815B4"/>
    <w:rsid w:val="4ACDC62C"/>
    <w:rsid w:val="4B6EF130"/>
    <w:rsid w:val="4B7A03F5"/>
    <w:rsid w:val="4BA82291"/>
    <w:rsid w:val="4BE4FD18"/>
    <w:rsid w:val="4C04D9CF"/>
    <w:rsid w:val="4C18E6FC"/>
    <w:rsid w:val="4C36E130"/>
    <w:rsid w:val="4C452D10"/>
    <w:rsid w:val="4C5EE8F7"/>
    <w:rsid w:val="4C639F13"/>
    <w:rsid w:val="4C786667"/>
    <w:rsid w:val="4C8CF0EA"/>
    <w:rsid w:val="4CE90FF6"/>
    <w:rsid w:val="4CF4C480"/>
    <w:rsid w:val="4D4EF249"/>
    <w:rsid w:val="4D5244CC"/>
    <w:rsid w:val="4D682D97"/>
    <w:rsid w:val="4D9E9AA1"/>
    <w:rsid w:val="4DBED433"/>
    <w:rsid w:val="4E021932"/>
    <w:rsid w:val="4E33BA94"/>
    <w:rsid w:val="4E8B6F34"/>
    <w:rsid w:val="4EA419D8"/>
    <w:rsid w:val="4F707398"/>
    <w:rsid w:val="4F86553A"/>
    <w:rsid w:val="4FD4BEB8"/>
    <w:rsid w:val="4FEA7509"/>
    <w:rsid w:val="5043488B"/>
    <w:rsid w:val="5068A551"/>
    <w:rsid w:val="5079F7CE"/>
    <w:rsid w:val="507E1DDA"/>
    <w:rsid w:val="509BDF0D"/>
    <w:rsid w:val="50FAD078"/>
    <w:rsid w:val="513B6863"/>
    <w:rsid w:val="5141843D"/>
    <w:rsid w:val="51AAE5A0"/>
    <w:rsid w:val="51E458A7"/>
    <w:rsid w:val="52017893"/>
    <w:rsid w:val="5201A212"/>
    <w:rsid w:val="5253C8CF"/>
    <w:rsid w:val="52C850DE"/>
    <w:rsid w:val="52D16011"/>
    <w:rsid w:val="52E7F0EC"/>
    <w:rsid w:val="53035BBD"/>
    <w:rsid w:val="53B007E5"/>
    <w:rsid w:val="53D235F9"/>
    <w:rsid w:val="54400970"/>
    <w:rsid w:val="54A8DD9D"/>
    <w:rsid w:val="54BA3EBB"/>
    <w:rsid w:val="54D793C5"/>
    <w:rsid w:val="5522EE17"/>
    <w:rsid w:val="5547C488"/>
    <w:rsid w:val="55803DFF"/>
    <w:rsid w:val="559A70F6"/>
    <w:rsid w:val="55F87F66"/>
    <w:rsid w:val="560A8353"/>
    <w:rsid w:val="5697B59E"/>
    <w:rsid w:val="572D5259"/>
    <w:rsid w:val="576518A7"/>
    <w:rsid w:val="57944FC7"/>
    <w:rsid w:val="57E280D5"/>
    <w:rsid w:val="57E895FF"/>
    <w:rsid w:val="57F3A1EC"/>
    <w:rsid w:val="57FF17F1"/>
    <w:rsid w:val="5899FFCB"/>
    <w:rsid w:val="58F3881B"/>
    <w:rsid w:val="592B8CA2"/>
    <w:rsid w:val="59302028"/>
    <w:rsid w:val="594058E5"/>
    <w:rsid w:val="5964334C"/>
    <w:rsid w:val="59D9F9F9"/>
    <w:rsid w:val="5A0827A4"/>
    <w:rsid w:val="5A54582B"/>
    <w:rsid w:val="5A5897C8"/>
    <w:rsid w:val="5A6E6632"/>
    <w:rsid w:val="5A89E647"/>
    <w:rsid w:val="5AB479F6"/>
    <w:rsid w:val="5ACBF089"/>
    <w:rsid w:val="5AE5B132"/>
    <w:rsid w:val="5B88A1C3"/>
    <w:rsid w:val="5B8E6A3D"/>
    <w:rsid w:val="5B971A99"/>
    <w:rsid w:val="5BA63636"/>
    <w:rsid w:val="5BE698D5"/>
    <w:rsid w:val="5C20DEF4"/>
    <w:rsid w:val="5C9E1406"/>
    <w:rsid w:val="5CEE416F"/>
    <w:rsid w:val="5CF16489"/>
    <w:rsid w:val="5D202CAC"/>
    <w:rsid w:val="5D2DFFFC"/>
    <w:rsid w:val="5D857B97"/>
    <w:rsid w:val="5DE918EB"/>
    <w:rsid w:val="5E03914B"/>
    <w:rsid w:val="5E2C9F8A"/>
    <w:rsid w:val="5E6942B8"/>
    <w:rsid w:val="5E8B3167"/>
    <w:rsid w:val="5FA5EDC9"/>
    <w:rsid w:val="5FF483F3"/>
    <w:rsid w:val="602E4EF4"/>
    <w:rsid w:val="6056E9B8"/>
    <w:rsid w:val="6091998B"/>
    <w:rsid w:val="60DC7C31"/>
    <w:rsid w:val="6123790C"/>
    <w:rsid w:val="61ABCF97"/>
    <w:rsid w:val="61F2EA6B"/>
    <w:rsid w:val="61FA2760"/>
    <w:rsid w:val="622DC610"/>
    <w:rsid w:val="624FCA35"/>
    <w:rsid w:val="62C14F45"/>
    <w:rsid w:val="62D7026E"/>
    <w:rsid w:val="62E3A69E"/>
    <w:rsid w:val="634EEE60"/>
    <w:rsid w:val="634F68C7"/>
    <w:rsid w:val="6456E7D3"/>
    <w:rsid w:val="648F3575"/>
    <w:rsid w:val="649C8375"/>
    <w:rsid w:val="64B47C7A"/>
    <w:rsid w:val="65296054"/>
    <w:rsid w:val="654E356C"/>
    <w:rsid w:val="6572C7A0"/>
    <w:rsid w:val="65A150ED"/>
    <w:rsid w:val="66170CBA"/>
    <w:rsid w:val="663486F3"/>
    <w:rsid w:val="6676E95B"/>
    <w:rsid w:val="66E4B421"/>
    <w:rsid w:val="671A95BF"/>
    <w:rsid w:val="6726E7D4"/>
    <w:rsid w:val="6757C8F9"/>
    <w:rsid w:val="67A01B3C"/>
    <w:rsid w:val="6835E23B"/>
    <w:rsid w:val="686DDF03"/>
    <w:rsid w:val="68A040D6"/>
    <w:rsid w:val="68A5348B"/>
    <w:rsid w:val="68B9968C"/>
    <w:rsid w:val="68CF0A3F"/>
    <w:rsid w:val="68E4B7C7"/>
    <w:rsid w:val="69359EB4"/>
    <w:rsid w:val="69958340"/>
    <w:rsid w:val="69CDFC0B"/>
    <w:rsid w:val="69E45E4D"/>
    <w:rsid w:val="6A01786D"/>
    <w:rsid w:val="6A72218B"/>
    <w:rsid w:val="6A7687AD"/>
    <w:rsid w:val="6A84CCEB"/>
    <w:rsid w:val="6AA5D0F6"/>
    <w:rsid w:val="6B05F4D6"/>
    <w:rsid w:val="6B5EC9ED"/>
    <w:rsid w:val="6B891EE5"/>
    <w:rsid w:val="6BBCE7C8"/>
    <w:rsid w:val="6BC58B47"/>
    <w:rsid w:val="6BC6D8B2"/>
    <w:rsid w:val="6C12E894"/>
    <w:rsid w:val="6CA80697"/>
    <w:rsid w:val="6CA812A4"/>
    <w:rsid w:val="6CD49605"/>
    <w:rsid w:val="6D2DDFA8"/>
    <w:rsid w:val="6DA9354F"/>
    <w:rsid w:val="6DD0A676"/>
    <w:rsid w:val="6DF3730E"/>
    <w:rsid w:val="6DF587ED"/>
    <w:rsid w:val="6E54D275"/>
    <w:rsid w:val="6E66A6A2"/>
    <w:rsid w:val="6ED132BB"/>
    <w:rsid w:val="6EFD4C24"/>
    <w:rsid w:val="6F7A04FA"/>
    <w:rsid w:val="6F9F37E7"/>
    <w:rsid w:val="6FF24892"/>
    <w:rsid w:val="708FA4DD"/>
    <w:rsid w:val="70D47F28"/>
    <w:rsid w:val="71338862"/>
    <w:rsid w:val="7165689E"/>
    <w:rsid w:val="719B8048"/>
    <w:rsid w:val="71A2606F"/>
    <w:rsid w:val="71C44EA9"/>
    <w:rsid w:val="71D44720"/>
    <w:rsid w:val="72317155"/>
    <w:rsid w:val="726F38B6"/>
    <w:rsid w:val="72BFCD12"/>
    <w:rsid w:val="72DF09BE"/>
    <w:rsid w:val="72EA7152"/>
    <w:rsid w:val="73BB52D0"/>
    <w:rsid w:val="73E74B9D"/>
    <w:rsid w:val="741F37F9"/>
    <w:rsid w:val="743C88DA"/>
    <w:rsid w:val="7440CB63"/>
    <w:rsid w:val="746FB69E"/>
    <w:rsid w:val="7490E41F"/>
    <w:rsid w:val="74A7D15A"/>
    <w:rsid w:val="74C91E6F"/>
    <w:rsid w:val="74E6E72F"/>
    <w:rsid w:val="74F84BEF"/>
    <w:rsid w:val="75155DD1"/>
    <w:rsid w:val="755D28F9"/>
    <w:rsid w:val="756623CC"/>
    <w:rsid w:val="757EC92A"/>
    <w:rsid w:val="75F0FADF"/>
    <w:rsid w:val="762CB480"/>
    <w:rsid w:val="76727C55"/>
    <w:rsid w:val="76895D36"/>
    <w:rsid w:val="76AB49CA"/>
    <w:rsid w:val="77263A1E"/>
    <w:rsid w:val="773BBA24"/>
    <w:rsid w:val="77C8186D"/>
    <w:rsid w:val="77E3672E"/>
    <w:rsid w:val="78529184"/>
    <w:rsid w:val="78833AA2"/>
    <w:rsid w:val="788378F0"/>
    <w:rsid w:val="78B947AE"/>
    <w:rsid w:val="78F2A20B"/>
    <w:rsid w:val="79542079"/>
    <w:rsid w:val="7977C5C0"/>
    <w:rsid w:val="79ACEBFD"/>
    <w:rsid w:val="7A062B91"/>
    <w:rsid w:val="7A76C891"/>
    <w:rsid w:val="7A8AEB48"/>
    <w:rsid w:val="7B066422"/>
    <w:rsid w:val="7B4104B6"/>
    <w:rsid w:val="7B4276C1"/>
    <w:rsid w:val="7B6D6402"/>
    <w:rsid w:val="7BA4FDFB"/>
    <w:rsid w:val="7BB905C9"/>
    <w:rsid w:val="7BC39115"/>
    <w:rsid w:val="7C03E5F7"/>
    <w:rsid w:val="7C16F7B1"/>
    <w:rsid w:val="7C4D8429"/>
    <w:rsid w:val="7C8474BA"/>
    <w:rsid w:val="7CAF9C79"/>
    <w:rsid w:val="7CC8897B"/>
    <w:rsid w:val="7CFFF18F"/>
    <w:rsid w:val="7D1D67B2"/>
    <w:rsid w:val="7D49C7A8"/>
    <w:rsid w:val="7D6120F1"/>
    <w:rsid w:val="7D912144"/>
    <w:rsid w:val="7E2D6B26"/>
    <w:rsid w:val="7E417F11"/>
    <w:rsid w:val="7E5A6DE1"/>
    <w:rsid w:val="7E6747A9"/>
    <w:rsid w:val="7E68BA26"/>
    <w:rsid w:val="7EB76EE1"/>
    <w:rsid w:val="7ED26CC1"/>
    <w:rsid w:val="7ED50840"/>
    <w:rsid w:val="7F21B534"/>
    <w:rsid w:val="7FBAF93F"/>
    <w:rsid w:val="7FF05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15:docId w15:val="{E5E82E7B-21A9-4412-97B2-EA21CCFA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FC2E0F"/>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 w:type="character" w:styleId="Mention">
    <w:name w:val="Mention"/>
    <w:basedOn w:val="DefaultParagraphFont"/>
    <w:uiPriority w:val="99"/>
    <w:unhideWhenUsed/>
    <w:rsid w:val="00D859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565">
      <w:bodyDiv w:val="1"/>
      <w:marLeft w:val="0"/>
      <w:marRight w:val="0"/>
      <w:marTop w:val="0"/>
      <w:marBottom w:val="0"/>
      <w:divBdr>
        <w:top w:val="none" w:sz="0" w:space="0" w:color="auto"/>
        <w:left w:val="none" w:sz="0" w:space="0" w:color="auto"/>
        <w:bottom w:val="none" w:sz="0" w:space="0" w:color="auto"/>
        <w:right w:val="none" w:sz="0" w:space="0" w:color="auto"/>
      </w:divBdr>
    </w:div>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17336487">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42417903">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sChild>
    </w:div>
    <w:div w:id="469595091">
      <w:bodyDiv w:val="1"/>
      <w:marLeft w:val="0"/>
      <w:marRight w:val="0"/>
      <w:marTop w:val="0"/>
      <w:marBottom w:val="0"/>
      <w:divBdr>
        <w:top w:val="none" w:sz="0" w:space="0" w:color="auto"/>
        <w:left w:val="none" w:sz="0" w:space="0" w:color="auto"/>
        <w:bottom w:val="none" w:sz="0" w:space="0" w:color="auto"/>
        <w:right w:val="none" w:sz="0" w:space="0" w:color="auto"/>
      </w:divBdr>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37757774">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80698612">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227345386">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 w:id="524565693">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5406105">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322130393">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61422058">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47366876">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36587879">
          <w:marLeft w:val="0"/>
          <w:marRight w:val="0"/>
          <w:marTop w:val="0"/>
          <w:marBottom w:val="0"/>
          <w:divBdr>
            <w:top w:val="none" w:sz="0" w:space="0" w:color="auto"/>
            <w:left w:val="none" w:sz="0" w:space="0" w:color="auto"/>
            <w:bottom w:val="none" w:sz="0" w:space="0" w:color="auto"/>
            <w:right w:val="none" w:sz="0" w:space="0" w:color="auto"/>
          </w:divBdr>
        </w:div>
        <w:div w:id="227301178">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d.gov/media/document/dear-colleague-letter-esea-flexibility-and-waivers-july-29-2025-110440.pdf" TargetMode="External"/><Relationship Id="rId4" Type="http://schemas.openxmlformats.org/officeDocument/2006/relationships/settings" Target="settings.xml"/><Relationship Id="rId9" Type="http://schemas.openxmlformats.org/officeDocument/2006/relationships/hyperlink" Target="https://www.justice.gov/ag/media/1409486/dl?inline=&amp;utm_medium=email&amp;utm_source=govdelivery"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1785</Words>
  <Characters>10100</Characters>
  <DocSecurity>0</DocSecurity>
  <Lines>243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August 1, Government Affairs (CA Dept of Education)</dc:title>
  <dc:subject>Federal Updates for August 1, 2025.</dc:subject>
  <dc:creator/>
  <cp:keywords/>
  <dc:description/>
  <dcterms:created xsi:type="dcterms:W3CDTF">2025-10-08T16:45:00Z</dcterms:created>
  <dcterms:modified xsi:type="dcterms:W3CDTF">2025-11-17T19:02:00Z</dcterms:modified>
</cp:coreProperties>
</file>