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4A3E63DA">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32CEB3F9" w:rsidR="0042468E" w:rsidRPr="00D64B73" w:rsidRDefault="0042468E" w:rsidP="00D64B73">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D64B73">
        <w:rPr>
          <w:rFonts w:ascii="Arial" w:eastAsia="Verdana" w:hAnsi="Arial" w:cs="Times New Roman"/>
          <w:b/>
          <w:bCs/>
          <w:color w:val="auto"/>
        </w:rPr>
        <w:t xml:space="preserve">The Federal Update for </w:t>
      </w:r>
      <w:bookmarkEnd w:id="0"/>
      <w:bookmarkEnd w:id="1"/>
      <w:bookmarkEnd w:id="2"/>
      <w:bookmarkEnd w:id="3"/>
      <w:bookmarkEnd w:id="4"/>
      <w:bookmarkEnd w:id="5"/>
      <w:r w:rsidR="003E0632" w:rsidRPr="00D64B73">
        <w:rPr>
          <w:rFonts w:ascii="Arial" w:eastAsia="Verdana" w:hAnsi="Arial" w:cs="Times New Roman"/>
          <w:b/>
          <w:bCs/>
          <w:color w:val="auto"/>
        </w:rPr>
        <w:t xml:space="preserve">August </w:t>
      </w:r>
      <w:r w:rsidR="006405C2" w:rsidRPr="00D64B73">
        <w:rPr>
          <w:rFonts w:ascii="Arial" w:eastAsia="Verdana" w:hAnsi="Arial" w:cs="Times New Roman"/>
          <w:b/>
          <w:bCs/>
          <w:color w:val="auto"/>
        </w:rPr>
        <w:t>15</w:t>
      </w:r>
      <w:r w:rsidR="007C6E27" w:rsidRPr="00D64B73">
        <w:rPr>
          <w:rFonts w:ascii="Arial" w:eastAsia="Verdana" w:hAnsi="Arial" w:cs="Times New Roman"/>
          <w:b/>
          <w:bCs/>
          <w:color w:val="auto"/>
        </w:rPr>
        <w:t>, 2025</w:t>
      </w:r>
    </w:p>
    <w:p w14:paraId="37A0DBF9" w14:textId="77777777" w:rsidR="0042468E" w:rsidRPr="00D64B73" w:rsidRDefault="0042468E" w:rsidP="00D64B73">
      <w:pPr>
        <w:pStyle w:val="Heading1"/>
        <w:keepNext w:val="0"/>
        <w:keepLines w:val="0"/>
        <w:spacing w:before="90" w:after="120"/>
        <w:jc w:val="center"/>
        <w:rPr>
          <w:rFonts w:ascii="Arial" w:eastAsia="Verdana" w:hAnsi="Arial" w:cs="Times New Roman"/>
          <w:b/>
          <w:bCs/>
          <w:color w:val="auto"/>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0BE7B4D1" w:rsidR="0063135C" w:rsidRDefault="00D0389C" w:rsidP="009B424F">
      <w:pPr>
        <w:pStyle w:val="MessageHeader"/>
        <w:spacing w:after="240"/>
      </w:pPr>
      <w:r>
        <w:t>Date:</w:t>
      </w:r>
      <w:r>
        <w:tab/>
      </w:r>
      <w:r w:rsidR="003E0632">
        <w:t xml:space="preserve">August </w:t>
      </w:r>
      <w:r w:rsidR="006405C2">
        <w:t>15</w:t>
      </w:r>
      <w:r w:rsidR="559A70F6">
        <w:t>,</w:t>
      </w:r>
      <w:r w:rsidR="007C6E27">
        <w:t xml:space="preserve"> 2025</w:t>
      </w:r>
    </w:p>
    <w:p w14:paraId="50979D1C" w14:textId="1A88CB28" w:rsidR="003F2A21"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6145499" w:history="1">
        <w:r w:rsidR="003F2A21" w:rsidRPr="00882B21">
          <w:rPr>
            <w:rStyle w:val="Hyperlink"/>
          </w:rPr>
          <w:t>News</w:t>
        </w:r>
        <w:r w:rsidR="003F2A21">
          <w:rPr>
            <w:webHidden/>
          </w:rPr>
          <w:tab/>
        </w:r>
        <w:r w:rsidR="003F2A21">
          <w:rPr>
            <w:webHidden/>
          </w:rPr>
          <w:fldChar w:fldCharType="begin"/>
        </w:r>
        <w:r w:rsidR="003F2A21">
          <w:rPr>
            <w:webHidden/>
          </w:rPr>
          <w:instrText xml:space="preserve"> PAGEREF _Toc206145499 \h </w:instrText>
        </w:r>
        <w:r w:rsidR="003F2A21">
          <w:rPr>
            <w:webHidden/>
          </w:rPr>
        </w:r>
        <w:r w:rsidR="003F2A21">
          <w:rPr>
            <w:webHidden/>
          </w:rPr>
          <w:fldChar w:fldCharType="separate"/>
        </w:r>
        <w:r w:rsidR="003F2A21">
          <w:rPr>
            <w:webHidden/>
          </w:rPr>
          <w:t>1</w:t>
        </w:r>
        <w:r w:rsidR="003F2A21">
          <w:rPr>
            <w:webHidden/>
          </w:rPr>
          <w:fldChar w:fldCharType="end"/>
        </w:r>
      </w:hyperlink>
    </w:p>
    <w:p w14:paraId="63732040" w14:textId="03FF580F" w:rsidR="003F2A21" w:rsidRDefault="003F2A21">
      <w:pPr>
        <w:pStyle w:val="TOC3"/>
        <w:rPr>
          <w:rFonts w:asciiTheme="minorHAnsi" w:eastAsiaTheme="minorEastAsia" w:hAnsiTheme="minorHAnsi" w:cstheme="minorBidi"/>
          <w:b w:val="0"/>
          <w:kern w:val="2"/>
          <w:sz w:val="24"/>
          <w:szCs w:val="24"/>
          <w14:ligatures w14:val="standardContextual"/>
        </w:rPr>
      </w:pPr>
      <w:hyperlink w:anchor="_Toc206145500" w:history="1">
        <w:r w:rsidRPr="00882B21">
          <w:rPr>
            <w:rStyle w:val="Hyperlink"/>
          </w:rPr>
          <w:t>Federal Court Vacates ED Title VI Letter and Certification</w:t>
        </w:r>
        <w:r>
          <w:rPr>
            <w:webHidden/>
          </w:rPr>
          <w:tab/>
        </w:r>
        <w:r>
          <w:rPr>
            <w:webHidden/>
          </w:rPr>
          <w:fldChar w:fldCharType="begin"/>
        </w:r>
        <w:r>
          <w:rPr>
            <w:webHidden/>
          </w:rPr>
          <w:instrText xml:space="preserve"> PAGEREF _Toc206145500 \h </w:instrText>
        </w:r>
        <w:r>
          <w:rPr>
            <w:webHidden/>
          </w:rPr>
        </w:r>
        <w:r>
          <w:rPr>
            <w:webHidden/>
          </w:rPr>
          <w:fldChar w:fldCharType="separate"/>
        </w:r>
        <w:r>
          <w:rPr>
            <w:webHidden/>
          </w:rPr>
          <w:t>1</w:t>
        </w:r>
        <w:r>
          <w:rPr>
            <w:webHidden/>
          </w:rPr>
          <w:fldChar w:fldCharType="end"/>
        </w:r>
      </w:hyperlink>
    </w:p>
    <w:p w14:paraId="52A9125D" w14:textId="78F56122" w:rsidR="003F2A21" w:rsidRDefault="003F2A21">
      <w:pPr>
        <w:pStyle w:val="TOC3"/>
        <w:rPr>
          <w:rFonts w:asciiTheme="minorHAnsi" w:eastAsiaTheme="minorEastAsia" w:hAnsiTheme="minorHAnsi" w:cstheme="minorBidi"/>
          <w:b w:val="0"/>
          <w:kern w:val="2"/>
          <w:sz w:val="24"/>
          <w:szCs w:val="24"/>
          <w14:ligatures w14:val="standardContextual"/>
        </w:rPr>
      </w:pPr>
      <w:hyperlink w:anchor="_Toc206145501" w:history="1">
        <w:r w:rsidRPr="00882B21">
          <w:rPr>
            <w:rStyle w:val="Hyperlink"/>
          </w:rPr>
          <w:t>Lawmakers Express Concern Over Head Start Changes</w:t>
        </w:r>
        <w:r>
          <w:rPr>
            <w:webHidden/>
          </w:rPr>
          <w:tab/>
        </w:r>
        <w:r>
          <w:rPr>
            <w:webHidden/>
          </w:rPr>
          <w:fldChar w:fldCharType="begin"/>
        </w:r>
        <w:r>
          <w:rPr>
            <w:webHidden/>
          </w:rPr>
          <w:instrText xml:space="preserve"> PAGEREF _Toc206145501 \h </w:instrText>
        </w:r>
        <w:r>
          <w:rPr>
            <w:webHidden/>
          </w:rPr>
        </w:r>
        <w:r>
          <w:rPr>
            <w:webHidden/>
          </w:rPr>
          <w:fldChar w:fldCharType="separate"/>
        </w:r>
        <w:r>
          <w:rPr>
            <w:webHidden/>
          </w:rPr>
          <w:t>2</w:t>
        </w:r>
        <w:r>
          <w:rPr>
            <w:webHidden/>
          </w:rPr>
          <w:fldChar w:fldCharType="end"/>
        </w:r>
      </w:hyperlink>
    </w:p>
    <w:p w14:paraId="3B324ED4" w14:textId="21A4ADA9" w:rsidR="003F2A21" w:rsidRDefault="003F2A21">
      <w:pPr>
        <w:pStyle w:val="TOC2"/>
        <w:rPr>
          <w:rFonts w:asciiTheme="minorHAnsi" w:eastAsiaTheme="minorEastAsia" w:hAnsiTheme="minorHAnsi" w:cstheme="minorBidi"/>
          <w:b w:val="0"/>
          <w:kern w:val="2"/>
          <w:sz w:val="24"/>
          <w:szCs w:val="24"/>
          <w14:ligatures w14:val="standardContextual"/>
        </w:rPr>
      </w:pPr>
      <w:hyperlink w:anchor="_Toc206145502" w:history="1">
        <w:r w:rsidRPr="00882B21">
          <w:rPr>
            <w:rStyle w:val="Hyperlink"/>
          </w:rPr>
          <w:t>Reports</w:t>
        </w:r>
        <w:r>
          <w:rPr>
            <w:webHidden/>
          </w:rPr>
          <w:tab/>
        </w:r>
        <w:r>
          <w:rPr>
            <w:webHidden/>
          </w:rPr>
          <w:fldChar w:fldCharType="begin"/>
        </w:r>
        <w:r>
          <w:rPr>
            <w:webHidden/>
          </w:rPr>
          <w:instrText xml:space="preserve"> PAGEREF _Toc206145502 \h </w:instrText>
        </w:r>
        <w:r>
          <w:rPr>
            <w:webHidden/>
          </w:rPr>
        </w:r>
        <w:r>
          <w:rPr>
            <w:webHidden/>
          </w:rPr>
          <w:fldChar w:fldCharType="separate"/>
        </w:r>
        <w:r>
          <w:rPr>
            <w:webHidden/>
          </w:rPr>
          <w:t>3</w:t>
        </w:r>
        <w:r>
          <w:rPr>
            <w:webHidden/>
          </w:rPr>
          <w:fldChar w:fldCharType="end"/>
        </w:r>
      </w:hyperlink>
    </w:p>
    <w:p w14:paraId="1406FB14" w14:textId="319BD502" w:rsidR="003F2A21" w:rsidRDefault="003F2A21">
      <w:pPr>
        <w:pStyle w:val="TOC3"/>
        <w:rPr>
          <w:rFonts w:asciiTheme="minorHAnsi" w:eastAsiaTheme="minorEastAsia" w:hAnsiTheme="minorHAnsi" w:cstheme="minorBidi"/>
          <w:b w:val="0"/>
          <w:kern w:val="2"/>
          <w:sz w:val="24"/>
          <w:szCs w:val="24"/>
          <w14:ligatures w14:val="standardContextual"/>
        </w:rPr>
      </w:pPr>
      <w:hyperlink w:anchor="_Toc206145503" w:history="1">
        <w:r w:rsidRPr="00882B21">
          <w:rPr>
            <w:rStyle w:val="Hyperlink"/>
          </w:rPr>
          <w:t>Federal Agencies Release Joint Workforce Plan</w:t>
        </w:r>
        <w:r>
          <w:rPr>
            <w:webHidden/>
          </w:rPr>
          <w:tab/>
        </w:r>
        <w:r>
          <w:rPr>
            <w:webHidden/>
          </w:rPr>
          <w:fldChar w:fldCharType="begin"/>
        </w:r>
        <w:r>
          <w:rPr>
            <w:webHidden/>
          </w:rPr>
          <w:instrText xml:space="preserve"> PAGEREF _Toc206145503 \h </w:instrText>
        </w:r>
        <w:r>
          <w:rPr>
            <w:webHidden/>
          </w:rPr>
        </w:r>
        <w:r>
          <w:rPr>
            <w:webHidden/>
          </w:rPr>
          <w:fldChar w:fldCharType="separate"/>
        </w:r>
        <w:r>
          <w:rPr>
            <w:webHidden/>
          </w:rPr>
          <w:t>3</w:t>
        </w:r>
        <w:r>
          <w:rPr>
            <w:webHidden/>
          </w:rPr>
          <w:fldChar w:fldCharType="end"/>
        </w:r>
      </w:hyperlink>
    </w:p>
    <w:p w14:paraId="553D207F" w14:textId="6ADADC7E" w:rsidR="003F0F36" w:rsidRDefault="2B7AD178" w:rsidP="00B54051">
      <w:pPr>
        <w:pStyle w:val="TOC3"/>
      </w:pPr>
      <w:r>
        <w:fldChar w:fldCharType="end"/>
      </w:r>
    </w:p>
    <w:p w14:paraId="282666D4" w14:textId="69CB25AA" w:rsidR="00AA464C" w:rsidRDefault="00AA464C" w:rsidP="00AA464C">
      <w:pPr>
        <w:pStyle w:val="Heading2"/>
      </w:pPr>
      <w:bookmarkStart w:id="6" w:name="_Toc1159402203"/>
      <w:bookmarkStart w:id="7" w:name="_Toc206145499"/>
      <w:r>
        <w:t>News</w:t>
      </w:r>
      <w:bookmarkEnd w:id="6"/>
      <w:bookmarkEnd w:id="7"/>
    </w:p>
    <w:p w14:paraId="0C7A9012" w14:textId="570CD5BD" w:rsidR="00584B20" w:rsidRDefault="00584B20" w:rsidP="00D634C9">
      <w:pPr>
        <w:pStyle w:val="Heading3"/>
      </w:pPr>
      <w:bookmarkStart w:id="8" w:name="_Toc206145500"/>
      <w:r>
        <w:t>Federal Court Vacates ED Title VI Letter and Certification</w:t>
      </w:r>
      <w:bookmarkEnd w:id="8"/>
    </w:p>
    <w:p w14:paraId="69ADA0D7" w14:textId="79A9C4A9" w:rsidR="00584B20" w:rsidRDefault="00584B20" w:rsidP="00584B20">
      <w:r>
        <w:t>A U.S. District Court issued a</w:t>
      </w:r>
      <w:r w:rsidR="004C241E">
        <w:t xml:space="preserve"> final</w:t>
      </w:r>
      <w:r>
        <w:t xml:space="preserve"> decision on Thursday </w:t>
      </w:r>
      <w:r w:rsidR="004C241E">
        <w:t xml:space="preserve">which </w:t>
      </w:r>
      <w:r w:rsidR="0032757B">
        <w:t>determine</w:t>
      </w:r>
      <w:r w:rsidR="004C241E">
        <w:t>d that</w:t>
      </w:r>
      <w:r>
        <w:t xml:space="preserve"> the U.S. Department of Education’s (ED’s) letter and related certification from earlier this year on Title VI </w:t>
      </w:r>
      <w:r w:rsidR="00DF0CFD">
        <w:t xml:space="preserve">of the Civil Rights Act </w:t>
      </w:r>
      <w:r>
        <w:t xml:space="preserve">compliance </w:t>
      </w:r>
      <w:r w:rsidR="0032757B">
        <w:t xml:space="preserve">are </w:t>
      </w:r>
      <w:r>
        <w:t xml:space="preserve">unlawful.  The letter, certification, and other related documents faced three legal challenges in total; the case decided Thursday was led by the American Federation for Teachers.  </w:t>
      </w:r>
    </w:p>
    <w:p w14:paraId="69F35AE7" w14:textId="754D964D" w:rsidR="00DF0CFD" w:rsidRDefault="00584B20" w:rsidP="00584B20">
      <w:r>
        <w:t xml:space="preserve">The letter, released in February, outlined ED’s interpretation of how Title VI prohibits grantees from </w:t>
      </w:r>
      <w:r w:rsidR="00DF0CFD">
        <w:t xml:space="preserve">considering race in any educational programs and from </w:t>
      </w:r>
      <w:r>
        <w:t>using federal funds for diversity, equity, and inclusion (DEI) initiatives.  ED followed the letter with a request to grantees to sign a certification agreeing to comply with the administration’s Title VI interpretation.</w:t>
      </w:r>
      <w:r w:rsidR="00DF0CFD">
        <w:t xml:space="preserve">  ED was temporarily blocked from enforcing the letter and certification due to ongoing litigation, but the final decision issued Thursday permanently prohibits ED from enforcing the two documents.  </w:t>
      </w:r>
    </w:p>
    <w:p w14:paraId="034FC41B" w14:textId="3C0D0CA6" w:rsidR="00584B20" w:rsidRDefault="00DF0CFD" w:rsidP="00584B20">
      <w:r>
        <w:t>The judge f</w:t>
      </w:r>
      <w:r w:rsidR="004C241E">
        <w:t>ound</w:t>
      </w:r>
      <w:r>
        <w:t xml:space="preserve"> that the letter and certification </w:t>
      </w:r>
      <w:r w:rsidR="00F33594">
        <w:t xml:space="preserve">are </w:t>
      </w:r>
      <w:r>
        <w:t>action</w:t>
      </w:r>
      <w:r w:rsidR="00F33594">
        <w:t>s</w:t>
      </w:r>
      <w:r>
        <w:t xml:space="preserve"> subject to notice and comment rulemaking requirements under the Administrative Procedure Act and that the </w:t>
      </w:r>
      <w:r>
        <w:lastRenderedPageBreak/>
        <w:t>letter was not simply a reminder to grantees regarding Title VI compliance, as ED argued.  The judge determine</w:t>
      </w:r>
      <w:r w:rsidR="004C241E">
        <w:t>d</w:t>
      </w:r>
      <w:r>
        <w:t xml:space="preserve"> that the letter and certification introduced a completely new interpretation of the law, writing that </w:t>
      </w:r>
      <w:r w:rsidR="00E73A31">
        <w:t xml:space="preserve">these </w:t>
      </w:r>
      <w:r>
        <w:t>actions “</w:t>
      </w:r>
      <w:r w:rsidRPr="00DF0CFD">
        <w:t>initiated a sea change in how the Department of Education regulates educational practices and classroom conduct, causing millions of educators to reasonably fear that their lawful, and even beneficial, speech might cause them or their schools to be punished</w:t>
      </w:r>
      <w:r>
        <w:t xml:space="preserve">.” </w:t>
      </w:r>
    </w:p>
    <w:p w14:paraId="2EA3EE95" w14:textId="20C46626" w:rsidR="00F33594" w:rsidRDefault="00F33594" w:rsidP="00584B20">
      <w:r>
        <w:t>The U.S. Department of Justice issued a memorandum</w:t>
      </w:r>
      <w:r w:rsidR="004C241E">
        <w:t xml:space="preserve"> to federal agencies</w:t>
      </w:r>
      <w:r>
        <w:t xml:space="preserve"> last month that offers similar guidance as the February ED letter on Title VI but also addresses other antidiscrimination laws.  And despite ED’s inability to enforce the Title VI letter due to litigation, the agency has continued to take civil rights enforcement action under Title VI in recent months, particularly focused on antisemitism. </w:t>
      </w:r>
    </w:p>
    <w:p w14:paraId="7CACC9FA" w14:textId="0BCD75BB" w:rsidR="00F33594" w:rsidRDefault="00F33594" w:rsidP="00F33594">
      <w:pPr>
        <w:spacing w:before="0" w:after="0"/>
      </w:pPr>
      <w:r>
        <w:t>Resources:</w:t>
      </w:r>
    </w:p>
    <w:p w14:paraId="1D0DB5D7" w14:textId="3F22998A" w:rsidR="00F33594" w:rsidRPr="00F33594" w:rsidRDefault="00F33594" w:rsidP="00F33594">
      <w:pPr>
        <w:spacing w:before="0" w:after="0"/>
      </w:pPr>
      <w:r>
        <w:t>Juan Perez Jr. and Rebecca Carballo, “</w:t>
      </w:r>
      <w:r w:rsidRPr="00F33594">
        <w:t>Federal judge declares Education Department’s attempt to bar diversity programs unlawful</w:t>
      </w:r>
      <w:r>
        <w:t xml:space="preserve">,” </w:t>
      </w:r>
      <w:r>
        <w:rPr>
          <w:i/>
          <w:iCs/>
        </w:rPr>
        <w:t>Politico</w:t>
      </w:r>
      <w:r>
        <w:t>, August 14, 2025.</w:t>
      </w:r>
    </w:p>
    <w:p w14:paraId="7BA85CA4" w14:textId="172FA1AE" w:rsidR="00F33594" w:rsidRPr="00584B20" w:rsidRDefault="00F33594" w:rsidP="00F33594">
      <w:pPr>
        <w:spacing w:before="0" w:after="0"/>
      </w:pPr>
      <w:r>
        <w:t>Author: KSC</w:t>
      </w:r>
    </w:p>
    <w:p w14:paraId="7E1E56A7" w14:textId="2E5BA2A0" w:rsidR="00D634C9" w:rsidRDefault="00D71F3F" w:rsidP="00D634C9">
      <w:pPr>
        <w:pStyle w:val="Heading3"/>
      </w:pPr>
      <w:bookmarkStart w:id="9" w:name="_Toc206145501"/>
      <w:r>
        <w:t xml:space="preserve">Lawmakers </w:t>
      </w:r>
      <w:r w:rsidR="0095150E">
        <w:t>Express Concern Over Head Start Changes</w:t>
      </w:r>
      <w:bookmarkEnd w:id="9"/>
    </w:p>
    <w:p w14:paraId="76F61605" w14:textId="77777777" w:rsidR="00F644BF" w:rsidRPr="00E666A2" w:rsidRDefault="00F644BF" w:rsidP="00F644BF">
      <w:pPr>
        <w:rPr>
          <w:rFonts w:cs="Arial"/>
        </w:rPr>
      </w:pPr>
      <w:r w:rsidRPr="00E666A2">
        <w:rPr>
          <w:rFonts w:cs="Arial"/>
        </w:rPr>
        <w:t xml:space="preserve">In a public comment document filed late last week, Democratic lawmakers expressed their concerns over changes to Head Start that would limit eligibility </w:t>
      </w:r>
      <w:proofErr w:type="gramStart"/>
      <w:r w:rsidRPr="00E666A2">
        <w:rPr>
          <w:rFonts w:cs="Arial"/>
        </w:rPr>
        <w:t>on the basis of</w:t>
      </w:r>
      <w:proofErr w:type="gramEnd"/>
      <w:r w:rsidRPr="00E666A2">
        <w:rPr>
          <w:rFonts w:cs="Arial"/>
        </w:rPr>
        <w:t xml:space="preserve"> immigration status.  The change – based on a reinterpretation of the Personal Responsibility and Work Opportunity Reconciliation Act of 1996 (known as PRWORA) – reclassifies Head Start as a “federal public benefit” limited to citizens, permanent residents, and certain visa-holders.  </w:t>
      </w:r>
    </w:p>
    <w:p w14:paraId="59B7B986" w14:textId="23BA6F57" w:rsidR="00F644BF" w:rsidRPr="00E666A2" w:rsidRDefault="00F644BF" w:rsidP="00F644BF">
      <w:pPr>
        <w:rPr>
          <w:rFonts w:cs="Arial"/>
        </w:rPr>
      </w:pPr>
      <w:r w:rsidRPr="00E666A2">
        <w:rPr>
          <w:rFonts w:cs="Arial"/>
        </w:rPr>
        <w:t xml:space="preserve">The comment notes that the change will exclude </w:t>
      </w:r>
      <w:r w:rsidR="004C241E">
        <w:rPr>
          <w:rFonts w:cs="Arial"/>
        </w:rPr>
        <w:t>numerous families</w:t>
      </w:r>
      <w:r w:rsidRPr="00E666A2">
        <w:rPr>
          <w:rFonts w:cs="Arial"/>
        </w:rPr>
        <w:t xml:space="preserve"> </w:t>
      </w:r>
      <w:r w:rsidR="00510E22">
        <w:rPr>
          <w:rFonts w:cs="Arial"/>
        </w:rPr>
        <w:t>and result in</w:t>
      </w:r>
      <w:r w:rsidRPr="00E666A2">
        <w:rPr>
          <w:rFonts w:cs="Arial"/>
        </w:rPr>
        <w:t xml:space="preserve"> children entering kindergarten</w:t>
      </w:r>
      <w:r w:rsidR="00510E22">
        <w:rPr>
          <w:rFonts w:cs="Arial"/>
        </w:rPr>
        <w:t xml:space="preserve"> not being prepared</w:t>
      </w:r>
      <w:r w:rsidRPr="00E666A2">
        <w:rPr>
          <w:rFonts w:cs="Arial"/>
        </w:rPr>
        <w:t xml:space="preserve"> for a school environment.  Further, the authors emphasize that this is a significant change in policy.  “At no point in its legislative or regulatory history has immigration status been a requirement for participation,” they write.  “This proposed reclassification represents not only a departure from longstanding policy, but a direct attack on the vulnerable communities the program was designed to serve.</w:t>
      </w:r>
      <w:r w:rsidR="0032757B">
        <w:rPr>
          <w:rFonts w:cs="Arial"/>
        </w:rPr>
        <w:t>”</w:t>
      </w:r>
    </w:p>
    <w:p w14:paraId="78551F52" w14:textId="77777777" w:rsidR="00F644BF" w:rsidRPr="00E666A2" w:rsidRDefault="00F644BF" w:rsidP="00F644BF">
      <w:pPr>
        <w:rPr>
          <w:rFonts w:cs="Arial"/>
        </w:rPr>
      </w:pPr>
      <w:r w:rsidRPr="00E666A2">
        <w:rPr>
          <w:rFonts w:cs="Arial"/>
        </w:rPr>
        <w:t xml:space="preserve">Lawmakers say the change would exclude approximately 115,000 from participation, primarily those who are undocumented, seeking asylum, or under Temporary Protected Status (TPS).  They also argue that this decision conflicts with the Supreme Court’s 1982 decision in </w:t>
      </w:r>
      <w:r w:rsidRPr="00E666A2">
        <w:rPr>
          <w:rFonts w:cs="Arial"/>
          <w:i/>
          <w:iCs/>
        </w:rPr>
        <w:t xml:space="preserve">Plyler v. Doe, </w:t>
      </w:r>
      <w:r w:rsidRPr="00E666A2">
        <w:rPr>
          <w:rFonts w:cs="Arial"/>
        </w:rPr>
        <w:t>“in which the justices ruled that children have a right to a free public education regardless of immigration status.”</w:t>
      </w:r>
    </w:p>
    <w:p w14:paraId="749F7E3A" w14:textId="5E7666CF" w:rsidR="00F644BF" w:rsidRPr="00E666A2" w:rsidRDefault="00F644BF" w:rsidP="00F644BF">
      <w:pPr>
        <w:rPr>
          <w:rFonts w:cs="Arial"/>
        </w:rPr>
      </w:pPr>
      <w:r w:rsidRPr="00E666A2">
        <w:rPr>
          <w:rFonts w:cs="Arial"/>
        </w:rPr>
        <w:t xml:space="preserve">The comment is signed by 37 Members of </w:t>
      </w:r>
      <w:r w:rsidR="00FA6751" w:rsidRPr="00E666A2">
        <w:rPr>
          <w:rFonts w:cs="Arial"/>
        </w:rPr>
        <w:t>Congress and</w:t>
      </w:r>
      <w:r w:rsidRPr="00E666A2">
        <w:rPr>
          <w:rFonts w:cs="Arial"/>
        </w:rPr>
        <w:t xml:space="preserve"> is in response to a solicitation regarding the change in interpretation published in the </w:t>
      </w:r>
      <w:r w:rsidRPr="00E666A2">
        <w:rPr>
          <w:rFonts w:cs="Arial"/>
          <w:i/>
          <w:iCs/>
        </w:rPr>
        <w:t>Federal Register.</w:t>
      </w:r>
      <w:r w:rsidRPr="00E666A2">
        <w:rPr>
          <w:rFonts w:cs="Arial"/>
        </w:rPr>
        <w:t xml:space="preserve">  </w:t>
      </w:r>
      <w:hyperlink r:id="rId9" w:tooltip="The full letter on Head Start is available here" w:history="1">
        <w:r w:rsidRPr="00E666A2">
          <w:rPr>
            <w:rStyle w:val="Hyperlink"/>
            <w:rFonts w:cs="Arial"/>
          </w:rPr>
          <w:t>The full letter on Head Start is available here</w:t>
        </w:r>
      </w:hyperlink>
      <w:r w:rsidRPr="00E666A2">
        <w:rPr>
          <w:rFonts w:cs="Arial"/>
        </w:rPr>
        <w:t>.</w:t>
      </w:r>
    </w:p>
    <w:p w14:paraId="6A4C0FF7" w14:textId="617C7805" w:rsidR="00AD34EF" w:rsidRPr="00B7630B" w:rsidRDefault="00F644BF" w:rsidP="00F644BF">
      <w:pPr>
        <w:rPr>
          <w:rFonts w:cs="Arial"/>
        </w:rPr>
      </w:pPr>
      <w:r w:rsidRPr="00E666A2">
        <w:rPr>
          <w:rFonts w:cs="Arial"/>
        </w:rPr>
        <w:t>Author: JCM</w:t>
      </w:r>
    </w:p>
    <w:p w14:paraId="7B8EB08A" w14:textId="53D77DBF" w:rsidR="00131A66" w:rsidRDefault="00131A66" w:rsidP="00131A66">
      <w:pPr>
        <w:pStyle w:val="Heading2"/>
      </w:pPr>
      <w:bookmarkStart w:id="10" w:name="_Toc206145502"/>
      <w:r>
        <w:lastRenderedPageBreak/>
        <w:t>Reports</w:t>
      </w:r>
      <w:bookmarkEnd w:id="10"/>
    </w:p>
    <w:p w14:paraId="4F3DEC90" w14:textId="38CA9CEF" w:rsidR="00131A66" w:rsidRDefault="004D044C" w:rsidP="00131A66">
      <w:pPr>
        <w:pStyle w:val="Heading3"/>
      </w:pPr>
      <w:bookmarkStart w:id="11" w:name="_Toc206145503"/>
      <w:r>
        <w:t>Federal Agencies Release Joint Workforce Plan</w:t>
      </w:r>
      <w:bookmarkEnd w:id="11"/>
    </w:p>
    <w:p w14:paraId="7EEFEA69" w14:textId="467F0AE8" w:rsidR="00495913" w:rsidRPr="007A7710" w:rsidRDefault="00495913" w:rsidP="00495913">
      <w:pPr>
        <w:rPr>
          <w:rFonts w:cs="Arial"/>
        </w:rPr>
      </w:pPr>
      <w:r w:rsidRPr="007A7710">
        <w:rPr>
          <w:rFonts w:cs="Arial"/>
        </w:rPr>
        <w:t>The U.S. Departments of Education, Labor</w:t>
      </w:r>
      <w:r w:rsidR="0032757B">
        <w:rPr>
          <w:rFonts w:cs="Arial"/>
        </w:rPr>
        <w:t xml:space="preserve"> (DOL)</w:t>
      </w:r>
      <w:r w:rsidRPr="007A7710">
        <w:rPr>
          <w:rFonts w:cs="Arial"/>
        </w:rPr>
        <w:t xml:space="preserve">, and Commerce released a joint plan this week for workforce development, titled “America’s Talent Strategy: Building the Workforce for the Golden Age.”  The plan aims to reshape the current workforce system and is based on five “strategic pillars”: </w:t>
      </w:r>
      <w:r w:rsidR="00510E22">
        <w:rPr>
          <w:rFonts w:cs="Arial"/>
        </w:rPr>
        <w:t xml:space="preserve">1) </w:t>
      </w:r>
      <w:r w:rsidRPr="007A7710">
        <w:rPr>
          <w:rFonts w:cs="Arial"/>
        </w:rPr>
        <w:t xml:space="preserve">industry-driven strategies, </w:t>
      </w:r>
      <w:r w:rsidR="00510E22">
        <w:rPr>
          <w:rFonts w:cs="Arial"/>
        </w:rPr>
        <w:t xml:space="preserve">2) </w:t>
      </w:r>
      <w:r w:rsidRPr="007A7710">
        <w:rPr>
          <w:rFonts w:cs="Arial"/>
        </w:rPr>
        <w:t xml:space="preserve">worker mobility, </w:t>
      </w:r>
      <w:r w:rsidR="00510E22">
        <w:rPr>
          <w:rFonts w:cs="Arial"/>
        </w:rPr>
        <w:t xml:space="preserve">3) </w:t>
      </w:r>
      <w:r w:rsidRPr="007A7710">
        <w:rPr>
          <w:rFonts w:cs="Arial"/>
        </w:rPr>
        <w:t xml:space="preserve">integrated systems, </w:t>
      </w:r>
      <w:r w:rsidR="00510E22">
        <w:rPr>
          <w:rFonts w:cs="Arial"/>
        </w:rPr>
        <w:t xml:space="preserve">4) </w:t>
      </w:r>
      <w:r w:rsidRPr="007A7710">
        <w:rPr>
          <w:rFonts w:cs="Arial"/>
        </w:rPr>
        <w:t xml:space="preserve">accountability, and </w:t>
      </w:r>
      <w:r w:rsidR="00510E22">
        <w:rPr>
          <w:rFonts w:cs="Arial"/>
        </w:rPr>
        <w:t xml:space="preserve">5) </w:t>
      </w:r>
      <w:r w:rsidRPr="007A7710">
        <w:rPr>
          <w:rFonts w:cs="Arial"/>
        </w:rPr>
        <w:t xml:space="preserve">flexibility and innovation. </w:t>
      </w:r>
    </w:p>
    <w:p w14:paraId="5500C0D2" w14:textId="1E1BF95D" w:rsidR="00495913" w:rsidRPr="007A7710" w:rsidRDefault="00495913" w:rsidP="00495913">
      <w:pPr>
        <w:rPr>
          <w:rFonts w:cs="Arial"/>
        </w:rPr>
      </w:pPr>
      <w:r w:rsidRPr="007A7710">
        <w:rPr>
          <w:rFonts w:cs="Arial"/>
        </w:rPr>
        <w:t xml:space="preserve">The plan reiterates the administration’s goal of expanding the Registered Apprenticeship </w:t>
      </w:r>
      <w:r w:rsidR="00510E22">
        <w:rPr>
          <w:rFonts w:cs="Arial"/>
        </w:rPr>
        <w:t>P</w:t>
      </w:r>
      <w:r w:rsidRPr="007A7710">
        <w:rPr>
          <w:rFonts w:cs="Arial"/>
        </w:rPr>
        <w:t xml:space="preserve">rogram to one million apprenticeships, as was stated in an Executive Order earlier this year.  </w:t>
      </w:r>
      <w:r w:rsidR="0032757B">
        <w:rPr>
          <w:rFonts w:cs="Arial"/>
        </w:rPr>
        <w:t xml:space="preserve">DOL </w:t>
      </w:r>
      <w:r w:rsidRPr="007A7710">
        <w:rPr>
          <w:rFonts w:cs="Arial"/>
        </w:rPr>
        <w:t xml:space="preserve">will make it easier for new apprenticeship programs to be approved and will require competitive grantees to meet goals for the number of individuals placed in apprenticeship programs.  The administration also plans to integrate all components of the workforce system to ensure clear pathways to employment, including career and technical education, pre-apprenticeships, youth workforce programs, and registered apprenticeships.  The administration also proposes an “Industry Skills Training Fund” that that will provide training for high-demand jobs and </w:t>
      </w:r>
      <w:r w:rsidR="00584B20">
        <w:rPr>
          <w:rFonts w:cs="Arial"/>
        </w:rPr>
        <w:t>suggests</w:t>
      </w:r>
      <w:r w:rsidRPr="007A7710">
        <w:rPr>
          <w:rFonts w:cs="Arial"/>
        </w:rPr>
        <w:t xml:space="preserve"> </w:t>
      </w:r>
      <w:r w:rsidR="00584B20">
        <w:rPr>
          <w:rFonts w:cs="Arial"/>
        </w:rPr>
        <w:t xml:space="preserve">seeking </w:t>
      </w:r>
      <w:r w:rsidRPr="007A7710">
        <w:rPr>
          <w:rFonts w:cs="Arial"/>
        </w:rPr>
        <w:t>voluntary redeployment of workers to fill higher-need roles.  The plan also proposes outreach to underemployed and unemployed populations, noting new work requirements for federal benefits programs that were established by the budget bill passed earlier this year, and expanding the use of technology and artificial intelligence (AI) in the workforce system.  The plan suggests incorporating AI and other technologies into the career navigation and training parts of the workforce system.  In addition, the plan encourages States to seek waivers under the Workforce Innovation and Opportunity Act (WIOA) that align with the strategic pillars included in the plan, such as waivers of caps on incumbent worker training and approval for partnerships with non-traditional training providers.</w:t>
      </w:r>
    </w:p>
    <w:p w14:paraId="18F209BD" w14:textId="6DF6BAD2" w:rsidR="00495913" w:rsidRPr="007A7710" w:rsidRDefault="00495913" w:rsidP="00495913">
      <w:pPr>
        <w:rPr>
          <w:rFonts w:cs="Arial"/>
        </w:rPr>
      </w:pPr>
      <w:r w:rsidRPr="007A7710">
        <w:rPr>
          <w:rFonts w:cs="Arial"/>
        </w:rPr>
        <w:t xml:space="preserve">The plan also states that the President will work with Congress to try and consolidate workforce programs, either through WIOA reauthorization or fiscal year (FY) 2026 appropriations, in alignment with the FY 2026 President’s budget request released earlier this year.  The administration will also review workforce programs to identify areas of duplication and push to eliminate some programs, including the Adult Education and Job Corps programs.  </w:t>
      </w:r>
      <w:r w:rsidR="00FA6751">
        <w:rPr>
          <w:rFonts w:cs="Arial"/>
        </w:rPr>
        <w:t>Additionally, t</w:t>
      </w:r>
      <w:r w:rsidRPr="007A7710">
        <w:rPr>
          <w:rFonts w:cs="Arial"/>
        </w:rPr>
        <w:t xml:space="preserve">he plan discusses paring down reporting </w:t>
      </w:r>
      <w:r w:rsidR="00FA6751" w:rsidRPr="007A7710">
        <w:rPr>
          <w:rFonts w:cs="Arial"/>
        </w:rPr>
        <w:t>requirements</w:t>
      </w:r>
      <w:r w:rsidR="00FA6751">
        <w:rPr>
          <w:rFonts w:cs="Arial"/>
        </w:rPr>
        <w:t xml:space="preserve"> and</w:t>
      </w:r>
      <w:r w:rsidRPr="007A7710">
        <w:rPr>
          <w:rFonts w:cs="Arial"/>
        </w:rPr>
        <w:t xml:space="preserve"> consider</w:t>
      </w:r>
      <w:r w:rsidR="00FA6751">
        <w:rPr>
          <w:rFonts w:cs="Arial"/>
        </w:rPr>
        <w:t>s</w:t>
      </w:r>
      <w:r w:rsidRPr="007A7710">
        <w:rPr>
          <w:rFonts w:cs="Arial"/>
        </w:rPr>
        <w:t xml:space="preserve"> reforms to program performance evaluation. </w:t>
      </w:r>
      <w:r w:rsidR="003F2A21">
        <w:rPr>
          <w:rFonts w:cs="Arial"/>
        </w:rPr>
        <w:t xml:space="preserve"> </w:t>
      </w:r>
      <w:r w:rsidRPr="007A7710">
        <w:rPr>
          <w:rFonts w:cs="Arial"/>
        </w:rPr>
        <w:t xml:space="preserve">Many of these proposals would require Congressional action, which may be difficult to pass under the slim majorities in the House and Senate.  While a bipartisan WIOA reauthorization bill was almost passed last December, more significant and controversial changes to the workforce system will face greater challenges in Congress. </w:t>
      </w:r>
    </w:p>
    <w:p w14:paraId="186C5C26" w14:textId="77777777" w:rsidR="00495913" w:rsidRPr="007A7710" w:rsidRDefault="00495913" w:rsidP="00495913">
      <w:pPr>
        <w:rPr>
          <w:rFonts w:cs="Arial"/>
        </w:rPr>
      </w:pPr>
      <w:r w:rsidRPr="007A7710">
        <w:rPr>
          <w:rFonts w:cs="Arial"/>
        </w:rPr>
        <w:t xml:space="preserve">Although the plan includes proposals for some significant changes to workforce development programs, many portions of the plan are already allowable under federal programs, such as career exploration in the middle grades, which can be supported under the current Perkins career and technical education program. </w:t>
      </w:r>
    </w:p>
    <w:p w14:paraId="1017D208" w14:textId="47FDA12E" w:rsidR="00495913" w:rsidRPr="007A7710" w:rsidRDefault="00495913" w:rsidP="00495913">
      <w:pPr>
        <w:rPr>
          <w:rFonts w:cs="Arial"/>
        </w:rPr>
      </w:pPr>
      <w:hyperlink r:id="rId10" w:tooltip="The full plan is available here" w:history="1">
        <w:r w:rsidRPr="007A7710">
          <w:rPr>
            <w:rStyle w:val="Hyperlink"/>
            <w:rFonts w:cs="Arial"/>
          </w:rPr>
          <w:t>The full plan is available here</w:t>
        </w:r>
      </w:hyperlink>
      <w:r w:rsidRPr="007A7710">
        <w:rPr>
          <w:rFonts w:cs="Arial"/>
        </w:rPr>
        <w:t>.</w:t>
      </w:r>
    </w:p>
    <w:p w14:paraId="7ED800A8" w14:textId="71634FF3" w:rsidR="00AF3699" w:rsidRDefault="00495913" w:rsidP="008725FE">
      <w:pPr>
        <w:rPr>
          <w:rFonts w:cs="Arial"/>
        </w:rPr>
      </w:pPr>
      <w:r w:rsidRPr="007A7710">
        <w:rPr>
          <w:rFonts w:cs="Arial"/>
        </w:rPr>
        <w:lastRenderedPageBreak/>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0304094D"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8634C0">
        <w:rPr>
          <w:rFonts w:eastAsia="Times New Roman" w:cs="Arial"/>
        </w:rPr>
        <w:t>Kelly Christiansen</w:t>
      </w:r>
      <w:r w:rsidR="009605F1">
        <w:rPr>
          <w:rFonts w:eastAsia="Times New Roman" w:cs="Arial"/>
        </w:rPr>
        <w:t>, Julia Martin</w:t>
      </w:r>
    </w:p>
    <w:p w14:paraId="64F0F910" w14:textId="2A29CED6" w:rsidR="00D64B73" w:rsidRDefault="00D64B73" w:rsidP="2193F663">
      <w:pPr>
        <w:spacing w:before="240" w:after="240"/>
        <w:rPr>
          <w:rFonts w:eastAsia="Times New Roman" w:cs="Arial"/>
        </w:rPr>
      </w:pPr>
      <w:bookmarkStart w:id="12" w:name="_Hlk210809657"/>
      <w:r w:rsidRPr="00D64B73">
        <w:rPr>
          <w:rFonts w:eastAsia="Times New Roman" w:cs="Arial"/>
        </w:rPr>
        <w:t>Posted by the California Department of Education, August 2025</w:t>
      </w:r>
      <w:bookmarkEnd w:id="12"/>
    </w:p>
    <w:sectPr w:rsidR="00D64B73" w:rsidSect="008C514B">
      <w:headerReference w:type="default" r:id="rId11"/>
      <w:footerReference w:type="default" r:id="rId12"/>
      <w:headerReference w:type="first" r:id="rId13"/>
      <w:footerReference w:type="first" r:id="rId14"/>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BA30C" w14:textId="77777777" w:rsidR="00D775BD" w:rsidRDefault="00D775BD">
      <w:pPr>
        <w:spacing w:before="0" w:after="0"/>
      </w:pPr>
      <w:r>
        <w:separator/>
      </w:r>
    </w:p>
  </w:endnote>
  <w:endnote w:type="continuationSeparator" w:id="0">
    <w:p w14:paraId="11139088" w14:textId="77777777" w:rsidR="00D775BD" w:rsidRDefault="00D775BD">
      <w:pPr>
        <w:spacing w:before="0" w:after="0"/>
      </w:pPr>
      <w:r>
        <w:continuationSeparator/>
      </w:r>
    </w:p>
  </w:endnote>
  <w:endnote w:type="continuationNotice" w:id="1">
    <w:p w14:paraId="2B0A6A6D" w14:textId="77777777" w:rsidR="00D775BD" w:rsidRDefault="00D775B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C96E" w14:textId="77777777" w:rsidR="00D775BD" w:rsidRDefault="00D775BD">
      <w:pPr>
        <w:spacing w:before="0" w:after="0"/>
      </w:pPr>
      <w:r>
        <w:separator/>
      </w:r>
    </w:p>
  </w:footnote>
  <w:footnote w:type="continuationSeparator" w:id="0">
    <w:p w14:paraId="65AE2333" w14:textId="77777777" w:rsidR="00D775BD" w:rsidRDefault="00D775BD">
      <w:pPr>
        <w:spacing w:before="0" w:after="0"/>
      </w:pPr>
      <w:r>
        <w:continuationSeparator/>
      </w:r>
    </w:p>
  </w:footnote>
  <w:footnote w:type="continuationNotice" w:id="1">
    <w:p w14:paraId="01498C5F" w14:textId="77777777" w:rsidR="00D775BD" w:rsidRDefault="00D775B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7E4EFEFA" w:rsidR="003C7552" w:rsidRPr="00662BDC" w:rsidRDefault="003E0632" w:rsidP="000A590A">
    <w:pPr>
      <w:pStyle w:val="NoSpacing"/>
      <w:tabs>
        <w:tab w:val="left" w:pos="7920"/>
      </w:tabs>
    </w:pPr>
    <w:r>
      <w:t xml:space="preserve">August </w:t>
    </w:r>
    <w:r w:rsidR="006405C2">
      <w:t>15</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0E6D"/>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956"/>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12AF"/>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37BC"/>
    <w:rsid w:val="0011411E"/>
    <w:rsid w:val="00114575"/>
    <w:rsid w:val="00114AB6"/>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ED3"/>
    <w:rsid w:val="001D2F7D"/>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C55"/>
    <w:rsid w:val="002D74A4"/>
    <w:rsid w:val="002E096E"/>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3362"/>
    <w:rsid w:val="00333407"/>
    <w:rsid w:val="003334AC"/>
    <w:rsid w:val="00333A2C"/>
    <w:rsid w:val="00333BDA"/>
    <w:rsid w:val="0033410C"/>
    <w:rsid w:val="0033423C"/>
    <w:rsid w:val="00334C44"/>
    <w:rsid w:val="00334EE6"/>
    <w:rsid w:val="00335A36"/>
    <w:rsid w:val="00336532"/>
    <w:rsid w:val="003365D6"/>
    <w:rsid w:val="00336976"/>
    <w:rsid w:val="00336B17"/>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3E4"/>
    <w:rsid w:val="0035240D"/>
    <w:rsid w:val="0035248E"/>
    <w:rsid w:val="003524BB"/>
    <w:rsid w:val="00352EC4"/>
    <w:rsid w:val="00353192"/>
    <w:rsid w:val="0035319C"/>
    <w:rsid w:val="00353532"/>
    <w:rsid w:val="0035399F"/>
    <w:rsid w:val="00353A68"/>
    <w:rsid w:val="00353DF1"/>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8C7"/>
    <w:rsid w:val="003B7C45"/>
    <w:rsid w:val="003B7F1E"/>
    <w:rsid w:val="003C017D"/>
    <w:rsid w:val="003C030A"/>
    <w:rsid w:val="003C0443"/>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A21"/>
    <w:rsid w:val="003F2A41"/>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EC7"/>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97F13"/>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5A2"/>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91D"/>
    <w:rsid w:val="006E3DB5"/>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3EA"/>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4994"/>
    <w:rsid w:val="00785721"/>
    <w:rsid w:val="00785EA2"/>
    <w:rsid w:val="0078607E"/>
    <w:rsid w:val="0078610E"/>
    <w:rsid w:val="007862BF"/>
    <w:rsid w:val="00786302"/>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5FD9"/>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402D"/>
    <w:rsid w:val="0090444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CD0"/>
    <w:rsid w:val="00920DB0"/>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8AF"/>
    <w:rsid w:val="009D7B88"/>
    <w:rsid w:val="009D7DC3"/>
    <w:rsid w:val="009E030E"/>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A7FD6"/>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4154"/>
    <w:rsid w:val="00BE52DE"/>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CC"/>
    <w:rsid w:val="00C31B27"/>
    <w:rsid w:val="00C31E12"/>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6FD"/>
    <w:rsid w:val="00C649E3"/>
    <w:rsid w:val="00C650F4"/>
    <w:rsid w:val="00C655AF"/>
    <w:rsid w:val="00C65778"/>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DF7"/>
    <w:rsid w:val="00C9611A"/>
    <w:rsid w:val="00C963B7"/>
    <w:rsid w:val="00C968BA"/>
    <w:rsid w:val="00C96D25"/>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3993"/>
    <w:rsid w:val="00CD3AC5"/>
    <w:rsid w:val="00CD41E3"/>
    <w:rsid w:val="00CD440B"/>
    <w:rsid w:val="00CD458E"/>
    <w:rsid w:val="00CD5091"/>
    <w:rsid w:val="00CD52B9"/>
    <w:rsid w:val="00CD5ADA"/>
    <w:rsid w:val="00CD5D11"/>
    <w:rsid w:val="00CD5EE9"/>
    <w:rsid w:val="00CD6F0E"/>
    <w:rsid w:val="00CD7065"/>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4B73"/>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5B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450B"/>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123"/>
    <w:rsid w:val="00DC2209"/>
    <w:rsid w:val="00DC25F7"/>
    <w:rsid w:val="00DC2B2C"/>
    <w:rsid w:val="00DC2BD4"/>
    <w:rsid w:val="00DC2C8B"/>
    <w:rsid w:val="00DC3817"/>
    <w:rsid w:val="00DC39B7"/>
    <w:rsid w:val="00DC3AFA"/>
    <w:rsid w:val="00DC3FB8"/>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8B4"/>
    <w:rsid w:val="00DF6B12"/>
    <w:rsid w:val="00DF6EFA"/>
    <w:rsid w:val="00DF76AA"/>
    <w:rsid w:val="00DF79EC"/>
    <w:rsid w:val="00E00157"/>
    <w:rsid w:val="00E00A92"/>
    <w:rsid w:val="00E00B96"/>
    <w:rsid w:val="00E00BDE"/>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7048"/>
    <w:rsid w:val="00E97158"/>
    <w:rsid w:val="00E97322"/>
    <w:rsid w:val="00E97413"/>
    <w:rsid w:val="00E977F8"/>
    <w:rsid w:val="00E9782F"/>
    <w:rsid w:val="00E97B7A"/>
    <w:rsid w:val="00E97D30"/>
    <w:rsid w:val="00EA0229"/>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D63"/>
    <w:rsid w:val="00F90E73"/>
    <w:rsid w:val="00F90ED2"/>
    <w:rsid w:val="00F90EEB"/>
    <w:rsid w:val="00F91057"/>
    <w:rsid w:val="00F913C1"/>
    <w:rsid w:val="00F921A7"/>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9DD37FD9-D290-43CF-BDA6-AC821A27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l.gov/sites/dolgov/files/OPA/newsreleases/2025/08/Americas-Talent-Strategy-Building-the-Workforce-for-the-Golden-Age.pdf" TargetMode="External"/><Relationship Id="rId4" Type="http://schemas.openxmlformats.org/officeDocument/2006/relationships/settings" Target="settings.xml"/><Relationship Id="rId9" Type="http://schemas.openxmlformats.org/officeDocument/2006/relationships/hyperlink" Target="https://bonamici.house.gov/sites/evo-subsites/bonamici.house.gov/files/evo-media-document/head_start_public_comment_letter.pdf"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7552</Characters>
  <DocSecurity>0</DocSecurity>
  <Lines>62</Lines>
  <Paragraphs>17</Paragraphs>
  <ScaleCrop>false</ScaleCrop>
  <HeadingPairs>
    <vt:vector size="2" baseType="variant">
      <vt:variant>
        <vt:lpstr>Title</vt:lpstr>
      </vt:variant>
      <vt:variant>
        <vt:i4>1</vt:i4>
      </vt:variant>
    </vt:vector>
  </HeadingPairs>
  <TitlesOfParts>
    <vt:vector size="1" baseType="lpstr">
      <vt:lpstr>Federal Update: August 15, Government Affairs (CA Dept of Education)</vt:lpstr>
    </vt:vector>
  </TitlesOfParts>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15, Government Affairs (CA Dept of Education)</dc:title>
  <dc:subject>Federal Updates for August 15, 2025.</dc:subject>
  <dc:creator/>
  <cp:keywords/>
  <dc:description/>
  <dcterms:created xsi:type="dcterms:W3CDTF">2025-10-08T16:53:00Z</dcterms:created>
  <dcterms:modified xsi:type="dcterms:W3CDTF">2025-11-17T19:04:00Z</dcterms:modified>
</cp:coreProperties>
</file>