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5139ADD9" w:rsidR="0042468E" w:rsidRPr="006B0266" w:rsidRDefault="0042468E" w:rsidP="006B0266">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6B0266">
        <w:rPr>
          <w:rFonts w:ascii="Arial" w:eastAsia="Verdana" w:hAnsi="Arial" w:cs="Times New Roman"/>
          <w:b/>
          <w:bCs/>
          <w:color w:val="auto"/>
        </w:rPr>
        <w:t xml:space="preserve">The Federal Update for </w:t>
      </w:r>
      <w:bookmarkEnd w:id="0"/>
      <w:bookmarkEnd w:id="1"/>
      <w:bookmarkEnd w:id="2"/>
      <w:bookmarkEnd w:id="3"/>
      <w:bookmarkEnd w:id="4"/>
      <w:bookmarkEnd w:id="5"/>
      <w:r w:rsidR="00FD591E" w:rsidRPr="006B0266">
        <w:rPr>
          <w:rFonts w:ascii="Arial" w:eastAsia="Verdana" w:hAnsi="Arial" w:cs="Times New Roman"/>
          <w:b/>
          <w:bCs/>
          <w:color w:val="auto"/>
        </w:rPr>
        <w:t xml:space="preserve">October </w:t>
      </w:r>
      <w:r w:rsidR="00500A68" w:rsidRPr="006B0266">
        <w:rPr>
          <w:rFonts w:ascii="Arial" w:eastAsia="Verdana" w:hAnsi="Arial" w:cs="Times New Roman"/>
          <w:b/>
          <w:bCs/>
          <w:color w:val="auto"/>
        </w:rPr>
        <w:t>10</w:t>
      </w:r>
      <w:r w:rsidR="007C6E27" w:rsidRPr="006B0266">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65C2BC0E" w:rsidR="0063135C" w:rsidRDefault="00D0389C" w:rsidP="009B424F">
      <w:pPr>
        <w:pStyle w:val="MessageHeader"/>
        <w:spacing w:after="240"/>
      </w:pPr>
      <w:r>
        <w:t>Date:</w:t>
      </w:r>
      <w:r>
        <w:tab/>
      </w:r>
      <w:r w:rsidR="00FD591E">
        <w:t xml:space="preserve">October </w:t>
      </w:r>
      <w:r w:rsidR="00500A68">
        <w:t>10</w:t>
      </w:r>
      <w:r w:rsidR="559A70F6">
        <w:t>,</w:t>
      </w:r>
      <w:r w:rsidR="007C6E27">
        <w:t xml:space="preserve"> 2025</w:t>
      </w:r>
    </w:p>
    <w:p w14:paraId="0DE75725" w14:textId="290FAA56" w:rsidR="00513D7E"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0986357" w:history="1">
        <w:r w:rsidR="00513D7E" w:rsidRPr="00D573B0">
          <w:rPr>
            <w:rStyle w:val="Hyperlink"/>
          </w:rPr>
          <w:t>Legislation and Guidance</w:t>
        </w:r>
        <w:r w:rsidR="00513D7E">
          <w:rPr>
            <w:webHidden/>
          </w:rPr>
          <w:tab/>
        </w:r>
        <w:r w:rsidR="00513D7E">
          <w:rPr>
            <w:webHidden/>
          </w:rPr>
          <w:fldChar w:fldCharType="begin"/>
        </w:r>
        <w:r w:rsidR="00513D7E">
          <w:rPr>
            <w:webHidden/>
          </w:rPr>
          <w:instrText xml:space="preserve"> PAGEREF _Toc210986357 \h </w:instrText>
        </w:r>
        <w:r w:rsidR="00513D7E">
          <w:rPr>
            <w:webHidden/>
          </w:rPr>
        </w:r>
        <w:r w:rsidR="00513D7E">
          <w:rPr>
            <w:webHidden/>
          </w:rPr>
          <w:fldChar w:fldCharType="separate"/>
        </w:r>
        <w:r w:rsidR="00513D7E">
          <w:rPr>
            <w:webHidden/>
          </w:rPr>
          <w:t>1</w:t>
        </w:r>
        <w:r w:rsidR="00513D7E">
          <w:rPr>
            <w:webHidden/>
          </w:rPr>
          <w:fldChar w:fldCharType="end"/>
        </w:r>
      </w:hyperlink>
    </w:p>
    <w:p w14:paraId="7F06E78D" w14:textId="67A26D2E" w:rsidR="00513D7E" w:rsidRDefault="00513D7E">
      <w:pPr>
        <w:pStyle w:val="TOC3"/>
        <w:rPr>
          <w:rFonts w:asciiTheme="minorHAnsi" w:eastAsiaTheme="minorEastAsia" w:hAnsiTheme="minorHAnsi" w:cstheme="minorBidi"/>
          <w:b w:val="0"/>
          <w:kern w:val="2"/>
          <w:sz w:val="24"/>
          <w:szCs w:val="24"/>
          <w14:ligatures w14:val="standardContextual"/>
        </w:rPr>
      </w:pPr>
      <w:hyperlink w:anchor="_Toc210986358" w:history="1">
        <w:r w:rsidRPr="00D573B0">
          <w:rPr>
            <w:rStyle w:val="Hyperlink"/>
          </w:rPr>
          <w:t>As Shutdown Drags on, White House Threatens Workers’ Back Pay</w:t>
        </w:r>
        <w:r>
          <w:rPr>
            <w:webHidden/>
          </w:rPr>
          <w:tab/>
        </w:r>
        <w:r>
          <w:rPr>
            <w:webHidden/>
          </w:rPr>
          <w:fldChar w:fldCharType="begin"/>
        </w:r>
        <w:r>
          <w:rPr>
            <w:webHidden/>
          </w:rPr>
          <w:instrText xml:space="preserve"> PAGEREF _Toc210986358 \h </w:instrText>
        </w:r>
        <w:r>
          <w:rPr>
            <w:webHidden/>
          </w:rPr>
        </w:r>
        <w:r>
          <w:rPr>
            <w:webHidden/>
          </w:rPr>
          <w:fldChar w:fldCharType="separate"/>
        </w:r>
        <w:r>
          <w:rPr>
            <w:webHidden/>
          </w:rPr>
          <w:t>1</w:t>
        </w:r>
        <w:r>
          <w:rPr>
            <w:webHidden/>
          </w:rPr>
          <w:fldChar w:fldCharType="end"/>
        </w:r>
      </w:hyperlink>
    </w:p>
    <w:p w14:paraId="46EE0681" w14:textId="7F5F6167" w:rsidR="00513D7E" w:rsidRDefault="00513D7E">
      <w:pPr>
        <w:pStyle w:val="TOC2"/>
        <w:rPr>
          <w:rFonts w:asciiTheme="minorHAnsi" w:eastAsiaTheme="minorEastAsia" w:hAnsiTheme="minorHAnsi" w:cstheme="minorBidi"/>
          <w:b w:val="0"/>
          <w:kern w:val="2"/>
          <w:sz w:val="24"/>
          <w:szCs w:val="24"/>
          <w14:ligatures w14:val="standardContextual"/>
        </w:rPr>
      </w:pPr>
      <w:hyperlink w:anchor="_Toc210986359" w:history="1">
        <w:r w:rsidRPr="00D573B0">
          <w:rPr>
            <w:rStyle w:val="Hyperlink"/>
          </w:rPr>
          <w:t>News</w:t>
        </w:r>
        <w:r>
          <w:rPr>
            <w:webHidden/>
          </w:rPr>
          <w:tab/>
        </w:r>
        <w:r>
          <w:rPr>
            <w:webHidden/>
          </w:rPr>
          <w:fldChar w:fldCharType="begin"/>
        </w:r>
        <w:r>
          <w:rPr>
            <w:webHidden/>
          </w:rPr>
          <w:instrText xml:space="preserve"> PAGEREF _Toc210986359 \h </w:instrText>
        </w:r>
        <w:r>
          <w:rPr>
            <w:webHidden/>
          </w:rPr>
        </w:r>
        <w:r>
          <w:rPr>
            <w:webHidden/>
          </w:rPr>
          <w:fldChar w:fldCharType="separate"/>
        </w:r>
        <w:r>
          <w:rPr>
            <w:webHidden/>
          </w:rPr>
          <w:t>2</w:t>
        </w:r>
        <w:r>
          <w:rPr>
            <w:webHidden/>
          </w:rPr>
          <w:fldChar w:fldCharType="end"/>
        </w:r>
      </w:hyperlink>
    </w:p>
    <w:p w14:paraId="347C6D7D" w14:textId="78A6DF2D" w:rsidR="00513D7E" w:rsidRDefault="00513D7E">
      <w:pPr>
        <w:pStyle w:val="TOC3"/>
        <w:rPr>
          <w:rFonts w:asciiTheme="minorHAnsi" w:eastAsiaTheme="minorEastAsia" w:hAnsiTheme="minorHAnsi" w:cstheme="minorBidi"/>
          <w:b w:val="0"/>
          <w:kern w:val="2"/>
          <w:sz w:val="24"/>
          <w:szCs w:val="24"/>
          <w14:ligatures w14:val="standardContextual"/>
        </w:rPr>
      </w:pPr>
      <w:hyperlink w:anchor="_Toc210986360" w:history="1">
        <w:r w:rsidRPr="00D573B0">
          <w:rPr>
            <w:rStyle w:val="Hyperlink"/>
          </w:rPr>
          <w:t>Senate Approves ED Nominees</w:t>
        </w:r>
        <w:r>
          <w:rPr>
            <w:webHidden/>
          </w:rPr>
          <w:tab/>
        </w:r>
        <w:r>
          <w:rPr>
            <w:webHidden/>
          </w:rPr>
          <w:fldChar w:fldCharType="begin"/>
        </w:r>
        <w:r>
          <w:rPr>
            <w:webHidden/>
          </w:rPr>
          <w:instrText xml:space="preserve"> PAGEREF _Toc210986360 \h </w:instrText>
        </w:r>
        <w:r>
          <w:rPr>
            <w:webHidden/>
          </w:rPr>
        </w:r>
        <w:r>
          <w:rPr>
            <w:webHidden/>
          </w:rPr>
          <w:fldChar w:fldCharType="separate"/>
        </w:r>
        <w:r>
          <w:rPr>
            <w:webHidden/>
          </w:rPr>
          <w:t>2</w:t>
        </w:r>
        <w:r>
          <w:rPr>
            <w:webHidden/>
          </w:rPr>
          <w:fldChar w:fldCharType="end"/>
        </w:r>
      </w:hyperlink>
    </w:p>
    <w:p w14:paraId="24811A18" w14:textId="2F85E03F" w:rsidR="00513D7E" w:rsidRDefault="00513D7E">
      <w:pPr>
        <w:pStyle w:val="TOC3"/>
        <w:rPr>
          <w:rFonts w:asciiTheme="minorHAnsi" w:eastAsiaTheme="minorEastAsia" w:hAnsiTheme="minorHAnsi" w:cstheme="minorBidi"/>
          <w:b w:val="0"/>
          <w:kern w:val="2"/>
          <w:sz w:val="24"/>
          <w:szCs w:val="24"/>
          <w14:ligatures w14:val="standardContextual"/>
        </w:rPr>
      </w:pPr>
      <w:hyperlink w:anchor="_Toc210986361" w:history="1">
        <w:r w:rsidRPr="00D573B0">
          <w:rPr>
            <w:rStyle w:val="Hyperlink"/>
          </w:rPr>
          <w:t>ED Conditions Funding Advantages on Signing Compact</w:t>
        </w:r>
        <w:r>
          <w:rPr>
            <w:webHidden/>
          </w:rPr>
          <w:tab/>
        </w:r>
        <w:r>
          <w:rPr>
            <w:webHidden/>
          </w:rPr>
          <w:fldChar w:fldCharType="begin"/>
        </w:r>
        <w:r>
          <w:rPr>
            <w:webHidden/>
          </w:rPr>
          <w:instrText xml:space="preserve"> PAGEREF _Toc210986361 \h </w:instrText>
        </w:r>
        <w:r>
          <w:rPr>
            <w:webHidden/>
          </w:rPr>
        </w:r>
        <w:r>
          <w:rPr>
            <w:webHidden/>
          </w:rPr>
          <w:fldChar w:fldCharType="separate"/>
        </w:r>
        <w:r>
          <w:rPr>
            <w:webHidden/>
          </w:rPr>
          <w:t>3</w:t>
        </w:r>
        <w:r>
          <w:rPr>
            <w:webHidden/>
          </w:rPr>
          <w:fldChar w:fldCharType="end"/>
        </w:r>
      </w:hyperlink>
    </w:p>
    <w:p w14:paraId="553D207F" w14:textId="1219D9E5"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0986357"/>
      <w:r>
        <w:t>Legislation and Guidance</w:t>
      </w:r>
      <w:bookmarkEnd w:id="6"/>
    </w:p>
    <w:p w14:paraId="6EA4CC5A" w14:textId="3F3D1624" w:rsidR="00433BCE" w:rsidRPr="00E65098" w:rsidRDefault="00E65098" w:rsidP="00E65098">
      <w:pPr>
        <w:pStyle w:val="Heading3"/>
      </w:pPr>
      <w:bookmarkStart w:id="7" w:name="_Toc210986358"/>
      <w:r w:rsidRPr="00576F30">
        <w:t>As Shutdown Drags on, White House Threatens Workers’ Back Pay</w:t>
      </w:r>
      <w:bookmarkEnd w:id="7"/>
    </w:p>
    <w:p w14:paraId="1EF8BCB8" w14:textId="6A9E13DB" w:rsidR="00BC6F4B" w:rsidRPr="00576F30" w:rsidRDefault="00BC6F4B" w:rsidP="00BC6F4B">
      <w:pPr>
        <w:rPr>
          <w:rFonts w:cs="Arial"/>
        </w:rPr>
      </w:pPr>
      <w:r w:rsidRPr="00576F30">
        <w:rPr>
          <w:rFonts w:cs="Arial"/>
        </w:rPr>
        <w:t xml:space="preserve">Lawmakers have yet to pass legislation to reopen functions of federal agencies as the government shutdown extends into its second week.  While Speaker </w:t>
      </w:r>
      <w:r w:rsidR="00513D7E">
        <w:rPr>
          <w:rFonts w:cs="Arial"/>
        </w:rPr>
        <w:t xml:space="preserve">of the House </w:t>
      </w:r>
      <w:r w:rsidRPr="00576F30">
        <w:rPr>
          <w:rFonts w:cs="Arial"/>
        </w:rPr>
        <w:t xml:space="preserve">Mike Johnson (R-LA) has sent his chamber on an extended recess, </w:t>
      </w:r>
      <w:r w:rsidR="00513D7E">
        <w:rPr>
          <w:rFonts w:cs="Arial"/>
        </w:rPr>
        <w:t>s</w:t>
      </w:r>
      <w:r w:rsidRPr="00576F30">
        <w:rPr>
          <w:rFonts w:cs="Arial"/>
        </w:rPr>
        <w:t>enators have voted s</w:t>
      </w:r>
      <w:r w:rsidR="00513D7E">
        <w:rPr>
          <w:rFonts w:cs="Arial"/>
        </w:rPr>
        <w:t>even</w:t>
      </w:r>
      <w:r w:rsidRPr="00576F30">
        <w:rPr>
          <w:rFonts w:cs="Arial"/>
        </w:rPr>
        <w:t xml:space="preserve"> times on a government funding resolution originating in the House that would reopen agencies through November 21</w:t>
      </w:r>
      <w:r w:rsidRPr="00576F30">
        <w:rPr>
          <w:rFonts w:cs="Arial"/>
          <w:vertAlign w:val="superscript"/>
        </w:rPr>
        <w:t>st</w:t>
      </w:r>
      <w:r w:rsidRPr="00576F30">
        <w:rPr>
          <w:rFonts w:cs="Arial"/>
        </w:rPr>
        <w:t>, each time failing to meet the 60-vote threshold needed to end debate and bring the measure to a vote on final passage.</w:t>
      </w:r>
    </w:p>
    <w:p w14:paraId="476CA653" w14:textId="77777777" w:rsidR="00BC6F4B" w:rsidRPr="00576F30" w:rsidRDefault="00BC6F4B" w:rsidP="00BC6F4B">
      <w:pPr>
        <w:rPr>
          <w:rFonts w:cs="Arial"/>
        </w:rPr>
      </w:pPr>
      <w:r w:rsidRPr="00576F30">
        <w:rPr>
          <w:rFonts w:cs="Arial"/>
        </w:rPr>
        <w:t>The impact of the shutdown will be felt by more people this Friday, as some federal workers miss their first paycheck and Head Start and Impact Aid programs miss expected funding.  Smithsonian museums will run out of alternative funding sources and will close after this Saturday.  Additionally, air traffic control facilities have experienced temporary closures due to lack of staffing, causing cascading flight delays.  Members of the military will miss their first paycheck on October 15</w:t>
      </w:r>
      <w:r w:rsidRPr="00576F30">
        <w:rPr>
          <w:rFonts w:cs="Arial"/>
          <w:vertAlign w:val="superscript"/>
        </w:rPr>
        <w:t>th</w:t>
      </w:r>
      <w:r w:rsidRPr="00576F30">
        <w:rPr>
          <w:rFonts w:cs="Arial"/>
        </w:rPr>
        <w:t xml:space="preserve"> if Congress does not pass funding legislation, and House leadership has rejected the idea of passing a standalone bill to pay troops.</w:t>
      </w:r>
    </w:p>
    <w:p w14:paraId="2E35A2EF" w14:textId="18241507" w:rsidR="00BC6F4B" w:rsidRPr="00576F30" w:rsidRDefault="00BC6F4B" w:rsidP="00BC6F4B">
      <w:pPr>
        <w:rPr>
          <w:rFonts w:cs="Arial"/>
        </w:rPr>
      </w:pPr>
      <w:r w:rsidRPr="00576F30">
        <w:rPr>
          <w:rFonts w:cs="Arial"/>
        </w:rPr>
        <w:t>The White House attempted to pressure Congress back to the negotiating table this week by circulating a memo which suggest</w:t>
      </w:r>
      <w:r w:rsidR="00A07002">
        <w:rPr>
          <w:rFonts w:cs="Arial"/>
        </w:rPr>
        <w:t>s</w:t>
      </w:r>
      <w:r w:rsidRPr="00576F30">
        <w:rPr>
          <w:rFonts w:cs="Arial"/>
        </w:rPr>
        <w:t xml:space="preserve"> that federal workers may not be eligible for </w:t>
      </w:r>
      <w:r w:rsidRPr="00576F30">
        <w:rPr>
          <w:rFonts w:cs="Arial"/>
        </w:rPr>
        <w:lastRenderedPageBreak/>
        <w:t>back</w:t>
      </w:r>
      <w:r w:rsidR="00D0668B">
        <w:rPr>
          <w:rFonts w:cs="Arial"/>
        </w:rPr>
        <w:t xml:space="preserve"> </w:t>
      </w:r>
      <w:r w:rsidRPr="00576F30">
        <w:rPr>
          <w:rFonts w:cs="Arial"/>
        </w:rPr>
        <w:t xml:space="preserve">pay after the shutdown concludes.  The Government Employee Fair Treatment Act, passed in 2019 after the longest government shutdown in history, is widely understood to guarantee federal employees back pay following a government shutdown.  But the new White House analysis suggests </w:t>
      </w:r>
      <w:proofErr w:type="gramStart"/>
      <w:r w:rsidRPr="00576F30">
        <w:rPr>
          <w:rFonts w:cs="Arial"/>
        </w:rPr>
        <w:t>that</w:t>
      </w:r>
      <w:proofErr w:type="gramEnd"/>
      <w:r w:rsidRPr="00576F30">
        <w:rPr>
          <w:rFonts w:cs="Arial"/>
        </w:rPr>
        <w:t xml:space="preserve"> would only happen if Congress explicitly authorized th</w:t>
      </w:r>
      <w:r w:rsidR="00513D7E">
        <w:rPr>
          <w:rFonts w:cs="Arial"/>
        </w:rPr>
        <w:t>e</w:t>
      </w:r>
      <w:r w:rsidRPr="00576F30">
        <w:rPr>
          <w:rFonts w:cs="Arial"/>
        </w:rPr>
        <w:t xml:space="preserve"> pay and made separate appropriations for it.  The threat follows indications that the White House is looking to fire employees whose projects are not currently funded, as negotiators have struggled to find common ground.</w:t>
      </w:r>
      <w:r w:rsidR="00FC620B">
        <w:rPr>
          <w:rFonts w:cs="Arial"/>
        </w:rPr>
        <w:t xml:space="preserve">  </w:t>
      </w:r>
      <w:r w:rsidR="00FC620B" w:rsidRPr="00FC620B">
        <w:rPr>
          <w:rFonts w:cs="Arial"/>
        </w:rPr>
        <w:t>The Director of the Office of Management and Budget, Russ Vought, announced on Friday that those reduction in force (RIF) actions have begun, impacting at least nine federal agencies, including the U.S. Department of Education.  However, the administration has not yet released details on the full scope of the RIFs.</w:t>
      </w:r>
    </w:p>
    <w:p w14:paraId="5AB86A10" w14:textId="1A156360" w:rsidR="00BC6F4B" w:rsidRPr="00576F30" w:rsidRDefault="00BC6F4B" w:rsidP="00BC6F4B">
      <w:pPr>
        <w:rPr>
          <w:rFonts w:cs="Arial"/>
        </w:rPr>
      </w:pPr>
      <w:r w:rsidRPr="00576F30">
        <w:rPr>
          <w:rFonts w:cs="Arial"/>
        </w:rPr>
        <w:t>Most education programs remain funded through the shutdown because they are forward funded from federal fiscal year 2025, not the 2026 funding which is at issue.  Other programs, like school lunch and federal student loans are “mandatory” funding that does not require annual appropriations.  But the delay in funding will soon start to impact budgeting and planning for the 2026-2027 school year.</w:t>
      </w:r>
    </w:p>
    <w:p w14:paraId="6FC9CD56" w14:textId="77777777" w:rsidR="00BC6F4B" w:rsidRPr="00576F30" w:rsidRDefault="00BC6F4B" w:rsidP="00BC6F4B">
      <w:pPr>
        <w:rPr>
          <w:rFonts w:cs="Arial"/>
        </w:rPr>
      </w:pPr>
      <w:r w:rsidRPr="00576F30">
        <w:rPr>
          <w:rFonts w:cs="Arial"/>
        </w:rPr>
        <w:t>Author: JCM</w:t>
      </w:r>
    </w:p>
    <w:p w14:paraId="288B330C" w14:textId="28B48A80" w:rsidR="002E1045" w:rsidRDefault="0057426E" w:rsidP="0057426E">
      <w:pPr>
        <w:pStyle w:val="Heading2"/>
      </w:pPr>
      <w:bookmarkStart w:id="8" w:name="_Toc210986359"/>
      <w:r>
        <w:t>News</w:t>
      </w:r>
      <w:bookmarkEnd w:id="8"/>
    </w:p>
    <w:p w14:paraId="4260C430" w14:textId="77777777" w:rsidR="00C84BE8" w:rsidRPr="006A6FCD" w:rsidRDefault="00C84BE8" w:rsidP="00C84BE8">
      <w:pPr>
        <w:pStyle w:val="Heading3"/>
      </w:pPr>
      <w:bookmarkStart w:id="9" w:name="_ggr13ial007m" w:colFirst="0" w:colLast="0"/>
      <w:bookmarkStart w:id="10" w:name="_Toc210986360"/>
      <w:bookmarkEnd w:id="9"/>
      <w:r>
        <w:t>Senate Approves ED Nominees</w:t>
      </w:r>
      <w:bookmarkEnd w:id="10"/>
    </w:p>
    <w:p w14:paraId="15534B31" w14:textId="62723B4A" w:rsidR="00C84BE8" w:rsidRDefault="00C84BE8" w:rsidP="00C84BE8">
      <w:pPr>
        <w:rPr>
          <w:rFonts w:cs="Arial"/>
        </w:rPr>
      </w:pPr>
      <w:r>
        <w:rPr>
          <w:rFonts w:cs="Arial"/>
        </w:rPr>
        <w:t xml:space="preserve">The Senate voted 51-47 to approve a group of over 100 administration nominees on Tuesday.  Among the approvals </w:t>
      </w:r>
      <w:r w:rsidR="00EA2B7A">
        <w:rPr>
          <w:rFonts w:cs="Arial"/>
        </w:rPr>
        <w:t xml:space="preserve">were </w:t>
      </w:r>
      <w:r>
        <w:rPr>
          <w:rFonts w:cs="Arial"/>
        </w:rPr>
        <w:t>four assistant secretaries for the U.S. Department of Education</w:t>
      </w:r>
      <w:r w:rsidR="00EA2B7A">
        <w:rPr>
          <w:rFonts w:cs="Arial"/>
        </w:rPr>
        <w:t xml:space="preserve"> (ED)</w:t>
      </w:r>
      <w:r>
        <w:rPr>
          <w:rFonts w:cs="Arial"/>
        </w:rPr>
        <w:t xml:space="preserve">.  </w:t>
      </w:r>
    </w:p>
    <w:p w14:paraId="377863E7" w14:textId="4072B789" w:rsidR="00C84BE8" w:rsidRDefault="00C84BE8" w:rsidP="00C84BE8">
      <w:pPr>
        <w:rPr>
          <w:rFonts w:cs="Arial"/>
        </w:rPr>
      </w:pPr>
      <w:r>
        <w:rPr>
          <w:rFonts w:cs="Arial"/>
        </w:rPr>
        <w:t xml:space="preserve">Kirsten Baesler, previously the State </w:t>
      </w:r>
      <w:r w:rsidR="00EA2B7A">
        <w:rPr>
          <w:rFonts w:cs="Arial"/>
        </w:rPr>
        <w:t>S</w:t>
      </w:r>
      <w:r>
        <w:rPr>
          <w:rFonts w:cs="Arial"/>
        </w:rPr>
        <w:t>uperintendent of North Dakota, was approved to serve as the Assistant Secretary of Elementary and Secondary Education.  Mary Christina Riley will be the Assistant Secretary for Legislative and Congressional Affairs, serving as a liaison between ED and Congress.  Riley worked for the House Committee on Education and Workforce.  Kimberly Richey will serve as the Assistant Secretary for Civil Rights – an office with which she has experience serving as the acting leader under the prior Trump administration.  Finally, the Senate gave the green light to David Barker for the Assistant Secretary for Postsecondary Education position.  Barker previously served on the board overseeing higher education in Iowa.</w:t>
      </w:r>
    </w:p>
    <w:p w14:paraId="209D6B3D" w14:textId="0FB6C172" w:rsidR="00C84BE8" w:rsidRDefault="00C84BE8" w:rsidP="00C84BE8">
      <w:pPr>
        <w:rPr>
          <w:rFonts w:cs="Arial"/>
        </w:rPr>
      </w:pPr>
      <w:r>
        <w:rPr>
          <w:rFonts w:cs="Arial"/>
        </w:rPr>
        <w:t xml:space="preserve">Only one nominee for ED remains to be confirmed – Kevin O’Farrell for the Office of Career, Technical, and Adult Education.  Though the scope of work for that office has recently been reduced </w:t>
      </w:r>
      <w:r w:rsidR="00513D7E">
        <w:rPr>
          <w:rFonts w:cs="Arial"/>
        </w:rPr>
        <w:t>due to</w:t>
      </w:r>
      <w:r>
        <w:rPr>
          <w:rFonts w:cs="Arial"/>
        </w:rPr>
        <w:t xml:space="preserve"> the transition of the administration of Perkins </w:t>
      </w:r>
      <w:r w:rsidR="00513D7E">
        <w:rPr>
          <w:rFonts w:cs="Arial"/>
        </w:rPr>
        <w:t>C</w:t>
      </w:r>
      <w:r>
        <w:rPr>
          <w:rFonts w:cs="Arial"/>
        </w:rPr>
        <w:t xml:space="preserve">areer and </w:t>
      </w:r>
      <w:r w:rsidR="00513D7E">
        <w:rPr>
          <w:rFonts w:cs="Arial"/>
        </w:rPr>
        <w:t>T</w:t>
      </w:r>
      <w:r>
        <w:rPr>
          <w:rFonts w:cs="Arial"/>
        </w:rPr>
        <w:t xml:space="preserve">echnical </w:t>
      </w:r>
      <w:r w:rsidR="00513D7E">
        <w:rPr>
          <w:rFonts w:cs="Arial"/>
        </w:rPr>
        <w:t>E</w:t>
      </w:r>
      <w:r>
        <w:rPr>
          <w:rFonts w:cs="Arial"/>
        </w:rPr>
        <w:t xml:space="preserve">ducation funds and Adult Education funds to the U.S. Department of Labor.  In addition, two nominees announced earlier this year have been withdrawn, including Jennifer Mascott for General Counsel and Penny Schwinn for Deputy Secretary.  There are currently nine open positions awaiting nominations by the administration. </w:t>
      </w:r>
    </w:p>
    <w:p w14:paraId="5227C03A" w14:textId="77777777" w:rsidR="00C84BE8" w:rsidRDefault="00C84BE8" w:rsidP="00C84BE8">
      <w:pPr>
        <w:spacing w:after="0"/>
        <w:rPr>
          <w:rFonts w:cs="Arial"/>
        </w:rPr>
      </w:pPr>
      <w:r>
        <w:rPr>
          <w:rFonts w:cs="Arial"/>
        </w:rPr>
        <w:t>Resources:</w:t>
      </w:r>
    </w:p>
    <w:p w14:paraId="5A064C55" w14:textId="77777777" w:rsidR="00C84BE8" w:rsidRDefault="00C84BE8" w:rsidP="00C84BE8">
      <w:pPr>
        <w:spacing w:before="0" w:after="0"/>
        <w:rPr>
          <w:rFonts w:cs="Arial"/>
        </w:rPr>
      </w:pPr>
      <w:r>
        <w:rPr>
          <w:rFonts w:cs="Arial"/>
        </w:rPr>
        <w:t xml:space="preserve">Bianca Quilantan, “Senate Republicans approve top Education Department nominees,” </w:t>
      </w:r>
      <w:r>
        <w:rPr>
          <w:rFonts w:cs="Arial"/>
          <w:i/>
          <w:iCs/>
        </w:rPr>
        <w:t>Politico</w:t>
      </w:r>
      <w:r>
        <w:rPr>
          <w:rFonts w:cs="Arial"/>
        </w:rPr>
        <w:t>, October 7, 2025.</w:t>
      </w:r>
    </w:p>
    <w:p w14:paraId="6B87AE00" w14:textId="2C2E252E" w:rsidR="00C84BE8" w:rsidRPr="0066665A" w:rsidRDefault="00C84BE8" w:rsidP="00C84BE8">
      <w:pPr>
        <w:spacing w:before="0" w:after="0"/>
        <w:rPr>
          <w:rFonts w:cs="Arial"/>
        </w:rPr>
      </w:pPr>
      <w:r>
        <w:rPr>
          <w:rFonts w:cs="Arial"/>
        </w:rPr>
        <w:lastRenderedPageBreak/>
        <w:t>Author: KSC</w:t>
      </w:r>
    </w:p>
    <w:p w14:paraId="4083E018" w14:textId="26E37107" w:rsidR="00975697" w:rsidRDefault="00975697" w:rsidP="00975697">
      <w:pPr>
        <w:pStyle w:val="Heading3"/>
      </w:pPr>
      <w:bookmarkStart w:id="11" w:name="_Toc210986361"/>
      <w:r>
        <w:t xml:space="preserve">ED Conditions Funding Advantages </w:t>
      </w:r>
      <w:r w:rsidR="00C74B06">
        <w:t>on</w:t>
      </w:r>
      <w:r>
        <w:t xml:space="preserve"> Signing Compact</w:t>
      </w:r>
      <w:bookmarkEnd w:id="11"/>
      <w:r>
        <w:t xml:space="preserve"> </w:t>
      </w:r>
    </w:p>
    <w:p w14:paraId="49216FC8" w14:textId="2FC38468" w:rsidR="00822982" w:rsidRDefault="00822982" w:rsidP="00822982">
      <w:pPr>
        <w:spacing w:after="200"/>
        <w:rPr>
          <w:rFonts w:eastAsia="Arial" w:cs="Arial"/>
        </w:rPr>
      </w:pPr>
      <w:r>
        <w:rPr>
          <w:rFonts w:eastAsia="Arial" w:cs="Arial"/>
        </w:rPr>
        <w:t>Last week, the U.S. Department of Education (ED) sent nine universities a proposed “compact,” which offers the universities priority access to federal funding in exchange for agreeing to</w:t>
      </w:r>
      <w:r w:rsidR="00900282">
        <w:rPr>
          <w:rFonts w:eastAsia="Arial" w:cs="Arial"/>
        </w:rPr>
        <w:t xml:space="preserve"> advance</w:t>
      </w:r>
      <w:r>
        <w:rPr>
          <w:rFonts w:eastAsia="Arial" w:cs="Arial"/>
        </w:rPr>
        <w:t xml:space="preserve"> </w:t>
      </w:r>
      <w:proofErr w:type="gramStart"/>
      <w:r>
        <w:rPr>
          <w:rFonts w:eastAsia="Arial" w:cs="Arial"/>
        </w:rPr>
        <w:t>a number of</w:t>
      </w:r>
      <w:proofErr w:type="gramEnd"/>
      <w:r>
        <w:rPr>
          <w:rFonts w:eastAsia="Arial" w:cs="Arial"/>
        </w:rPr>
        <w:t xml:space="preserve"> the administration’s priorities. </w:t>
      </w:r>
    </w:p>
    <w:p w14:paraId="22CA22F3" w14:textId="0A2D2814" w:rsidR="00822982" w:rsidRDefault="00822982" w:rsidP="00822982">
      <w:pPr>
        <w:spacing w:after="200"/>
        <w:rPr>
          <w:rFonts w:eastAsia="Arial" w:cs="Arial"/>
        </w:rPr>
      </w:pPr>
      <w:r>
        <w:rPr>
          <w:rFonts w:eastAsia="Arial" w:cs="Arial"/>
        </w:rPr>
        <w:t>The proposal, titled “Compact for Academic Excellence in Higher Education,” was initially sent to the University of Virginia, the University of Arizona, Brown University, Dartmouth College, the Massachusetts Institute of Technology</w:t>
      </w:r>
      <w:r w:rsidR="00392F88">
        <w:rPr>
          <w:rFonts w:eastAsia="Arial" w:cs="Arial"/>
        </w:rPr>
        <w:t xml:space="preserve"> (MIT)</w:t>
      </w:r>
      <w:r>
        <w:rPr>
          <w:rFonts w:eastAsia="Arial" w:cs="Arial"/>
        </w:rPr>
        <w:t xml:space="preserve">, the University of Texas at Austin, the University of Pennsylvania, the University of Southern California, and Vanderbilt University.  The administration said that it will send the proposal to more institutions in the future, but that it started with the nine schools because they are “highly reasonable.” </w:t>
      </w:r>
    </w:p>
    <w:p w14:paraId="3FAB8F35" w14:textId="1617B73E" w:rsidR="00822982" w:rsidRDefault="00822982" w:rsidP="00822982">
      <w:pPr>
        <w:spacing w:after="200"/>
        <w:rPr>
          <w:rFonts w:eastAsia="Arial" w:cs="Arial"/>
        </w:rPr>
      </w:pPr>
      <w:r>
        <w:rPr>
          <w:rFonts w:eastAsia="Arial" w:cs="Arial"/>
        </w:rPr>
        <w:t xml:space="preserve">The compact includes ten priorities, including equality in admissions, </w:t>
      </w:r>
      <w:proofErr w:type="gramStart"/>
      <w:r>
        <w:rPr>
          <w:rFonts w:eastAsia="Arial" w:cs="Arial"/>
        </w:rPr>
        <w:t>marketplace of</w:t>
      </w:r>
      <w:proofErr w:type="gramEnd"/>
      <w:r>
        <w:rPr>
          <w:rFonts w:eastAsia="Arial" w:cs="Arial"/>
        </w:rPr>
        <w:t xml:space="preserve"> ideas and civil discourse, institutional neutrality, and financial responsibility.  To advance the equality in admissions priority, the compact requires signing institutions to implement standardized testing prerequisites, such as the SAT or the ACT.  It also states that signing institutions must limit their admitted students from the Student Visa Exchange Program and specifies that institutions have no more than five percent of students from any one country.  The compact </w:t>
      </w:r>
      <w:r w:rsidR="00C54186">
        <w:rPr>
          <w:rFonts w:eastAsia="Arial" w:cs="Arial"/>
        </w:rPr>
        <w:t>further</w:t>
      </w:r>
      <w:r>
        <w:rPr>
          <w:rFonts w:eastAsia="Arial" w:cs="Arial"/>
        </w:rPr>
        <w:t xml:space="preserve"> requires that institutions freeze tuition rates for the next five years. </w:t>
      </w:r>
    </w:p>
    <w:p w14:paraId="33A1B04F" w14:textId="77777777" w:rsidR="00822982" w:rsidRDefault="00822982" w:rsidP="00822982">
      <w:pPr>
        <w:spacing w:after="200"/>
        <w:rPr>
          <w:rFonts w:eastAsia="Arial" w:cs="Arial"/>
        </w:rPr>
      </w:pPr>
      <w:r>
        <w:rPr>
          <w:rFonts w:eastAsia="Arial" w:cs="Arial"/>
        </w:rPr>
        <w:t xml:space="preserve">The administration also targets speech, requiring institutions to abolish offices that “purposefully punish, belittle, and even spark violence against conservative ideas.”  However, the compact would also require the institutions to implement policies requiring university employees to “abstain from actions or speech relating to societal and political events except in cases in which external events have a direct impact upon the university.” </w:t>
      </w:r>
    </w:p>
    <w:p w14:paraId="5CF5882F" w14:textId="25241229" w:rsidR="00822982" w:rsidRDefault="00822982" w:rsidP="00822982">
      <w:pPr>
        <w:spacing w:after="200"/>
        <w:rPr>
          <w:rFonts w:eastAsia="Arial" w:cs="Arial"/>
        </w:rPr>
      </w:pPr>
      <w:r>
        <w:rPr>
          <w:rFonts w:eastAsia="Arial" w:cs="Arial"/>
        </w:rPr>
        <w:t>In line with ED’s interpretation of Title IX and Title V</w:t>
      </w:r>
      <w:r w:rsidR="00513D7E">
        <w:rPr>
          <w:rFonts w:eastAsia="Arial" w:cs="Arial"/>
        </w:rPr>
        <w:t>I</w:t>
      </w:r>
      <w:r>
        <w:rPr>
          <w:rFonts w:eastAsia="Arial" w:cs="Arial"/>
        </w:rPr>
        <w:t xml:space="preserve"> and related enforcements, the compact would require institutions to “commit to defining and otherwise interpreting ‘male,’ ‘female,’ ‘woman,’ and ‘man’ according to reproductive function and biological processes.”  Institutions would also commit to not engage in “unequal treatment” based on race for scholarships, specific buildings, or other programming. </w:t>
      </w:r>
    </w:p>
    <w:p w14:paraId="3BA94225" w14:textId="77777777" w:rsidR="0067372A" w:rsidRDefault="0067372A" w:rsidP="0067372A">
      <w:pPr>
        <w:spacing w:after="200"/>
        <w:rPr>
          <w:rFonts w:eastAsia="Arial" w:cs="Arial"/>
        </w:rPr>
      </w:pPr>
      <w:r>
        <w:rPr>
          <w:rFonts w:eastAsia="Arial" w:cs="Arial"/>
        </w:rPr>
        <w:t>In an attached letter, Secretary of Education Linda McMahon said that institutions that signed the compact would receive “multiple positive benefits” such as “substantial and meaningful federal grants.”  While ED did not provide any further details on these funding advantages, the compact states that if an institution violates the terms of the agreement, it would be required to return all federal funds received during the year of the violation.  When asked about the language, a White House spokesperson said that “</w:t>
      </w:r>
      <w:r w:rsidRPr="0023266F">
        <w:rPr>
          <w:rFonts w:eastAsia="Arial" w:cs="Arial"/>
        </w:rPr>
        <w:t>the Administration does not plan to limit federal funding to schools that sign the compact</w:t>
      </w:r>
      <w:r>
        <w:rPr>
          <w:rFonts w:eastAsia="Arial" w:cs="Arial"/>
        </w:rPr>
        <w:t xml:space="preserve">.”  </w:t>
      </w:r>
    </w:p>
    <w:p w14:paraId="23C70CC3" w14:textId="7551FE4E" w:rsidR="00822982" w:rsidRDefault="00822982" w:rsidP="00822982">
      <w:pPr>
        <w:spacing w:after="200"/>
        <w:rPr>
          <w:rFonts w:eastAsia="Arial" w:cs="Arial"/>
        </w:rPr>
      </w:pPr>
      <w:r>
        <w:rPr>
          <w:rFonts w:eastAsia="Arial" w:cs="Arial"/>
        </w:rPr>
        <w:t xml:space="preserve">The compact has received sharp criticism, with education leaders calling on the universities to refuse to sign it.  </w:t>
      </w:r>
      <w:r w:rsidR="00243977">
        <w:rPr>
          <w:rFonts w:eastAsia="Arial" w:cs="Arial"/>
        </w:rPr>
        <w:t xml:space="preserve">Only MIT has </w:t>
      </w:r>
      <w:r>
        <w:rPr>
          <w:rFonts w:eastAsia="Arial" w:cs="Arial"/>
        </w:rPr>
        <w:t>formally rejected the compact</w:t>
      </w:r>
      <w:r w:rsidR="00243977">
        <w:rPr>
          <w:rFonts w:eastAsia="Arial" w:cs="Arial"/>
        </w:rPr>
        <w:t xml:space="preserve"> so far,</w:t>
      </w:r>
      <w:r>
        <w:rPr>
          <w:rFonts w:eastAsia="Arial" w:cs="Arial"/>
        </w:rPr>
        <w:t xml:space="preserve"> but </w:t>
      </w:r>
      <w:r>
        <w:rPr>
          <w:rFonts w:eastAsia="Arial" w:cs="Arial"/>
        </w:rPr>
        <w:lastRenderedPageBreak/>
        <w:t xml:space="preserve">faculty senates at both the University of Virginia and the University of Arizona have voted to oppose it, urging leadership to reject it. </w:t>
      </w:r>
      <w:r w:rsidR="00425123">
        <w:rPr>
          <w:rFonts w:eastAsia="Arial" w:cs="Arial"/>
        </w:rPr>
        <w:t xml:space="preserve"> In a letter to Secretary McMahon on Friday, </w:t>
      </w:r>
      <w:r w:rsidR="004B62C2">
        <w:rPr>
          <w:rFonts w:eastAsia="Arial" w:cs="Arial"/>
        </w:rPr>
        <w:t xml:space="preserve">MIT’s President wrote that </w:t>
      </w:r>
      <w:r w:rsidR="00C10819">
        <w:rPr>
          <w:rFonts w:eastAsia="Arial" w:cs="Arial"/>
        </w:rPr>
        <w:t>priorities included in the compact</w:t>
      </w:r>
      <w:r w:rsidR="004B62C2">
        <w:rPr>
          <w:rFonts w:eastAsia="Arial" w:cs="Arial"/>
        </w:rPr>
        <w:t xml:space="preserve"> would “</w:t>
      </w:r>
      <w:r w:rsidR="004B62C2" w:rsidRPr="004B62C2">
        <w:rPr>
          <w:rFonts w:eastAsia="Arial" w:cs="Arial"/>
        </w:rPr>
        <w:t>restrict freedom of expression and our independence as an institution</w:t>
      </w:r>
      <w:r w:rsidR="004B62C2">
        <w:rPr>
          <w:rFonts w:eastAsia="Arial" w:cs="Arial"/>
        </w:rPr>
        <w:t xml:space="preserve">.” </w:t>
      </w:r>
      <w:r w:rsidR="0003697F">
        <w:rPr>
          <w:rFonts w:eastAsia="Arial" w:cs="Arial"/>
        </w:rPr>
        <w:t xml:space="preserve"> In addition, </w:t>
      </w:r>
      <w:r>
        <w:rPr>
          <w:rFonts w:eastAsia="Arial" w:cs="Arial"/>
        </w:rPr>
        <w:t>Amy Reid, interim director of PEN America’s Freedom to Learn program, called the compact “coercive” and “an attempt to extort universities, to shut down free expression on campuses, to impose ideological restrictions under another name.”</w:t>
      </w:r>
      <w:r w:rsidR="00535882">
        <w:rPr>
          <w:rFonts w:eastAsia="Arial" w:cs="Arial"/>
        </w:rPr>
        <w:t xml:space="preserve">  </w:t>
      </w:r>
    </w:p>
    <w:p w14:paraId="26415C66" w14:textId="42E3D78A" w:rsidR="00822982" w:rsidRDefault="00822982" w:rsidP="00822982">
      <w:pPr>
        <w:spacing w:after="200"/>
        <w:rPr>
          <w:rFonts w:eastAsia="Arial" w:cs="Arial"/>
        </w:rPr>
      </w:pPr>
      <w:r>
        <w:rPr>
          <w:rFonts w:eastAsia="Arial" w:cs="Arial"/>
        </w:rPr>
        <w:t>ED gave the nine universities until October 20</w:t>
      </w:r>
      <w:r w:rsidRPr="0003697F">
        <w:rPr>
          <w:rFonts w:eastAsia="Arial" w:cs="Arial"/>
          <w:vertAlign w:val="superscript"/>
        </w:rPr>
        <w:t>th</w:t>
      </w:r>
      <w:r>
        <w:rPr>
          <w:rFonts w:eastAsia="Arial" w:cs="Arial"/>
        </w:rPr>
        <w:t xml:space="preserve"> to respond with feedback and </w:t>
      </w:r>
      <w:r w:rsidR="00513D7E">
        <w:rPr>
          <w:rFonts w:eastAsia="Arial" w:cs="Arial"/>
        </w:rPr>
        <w:t>until</w:t>
      </w:r>
      <w:r>
        <w:rPr>
          <w:rFonts w:eastAsia="Arial" w:cs="Arial"/>
        </w:rPr>
        <w:t xml:space="preserve"> November 21</w:t>
      </w:r>
      <w:r w:rsidRPr="00513D7E">
        <w:rPr>
          <w:rFonts w:eastAsia="Arial" w:cs="Arial"/>
          <w:vertAlign w:val="superscript"/>
        </w:rPr>
        <w:t>st</w:t>
      </w:r>
      <w:r>
        <w:rPr>
          <w:rFonts w:eastAsia="Arial" w:cs="Arial"/>
        </w:rPr>
        <w:t xml:space="preserve"> to sign the compact.</w:t>
      </w:r>
    </w:p>
    <w:p w14:paraId="0C9FFC2C" w14:textId="390C852A" w:rsidR="00822982" w:rsidRDefault="00822982" w:rsidP="00822982">
      <w:pPr>
        <w:rPr>
          <w:rFonts w:eastAsia="Arial" w:cs="Arial"/>
        </w:rPr>
      </w:pPr>
      <w:hyperlink r:id="rId9" w:tooltip="A copy of the compact can be viewed here. ">
        <w:r>
          <w:rPr>
            <w:rFonts w:eastAsia="Arial" w:cs="Arial"/>
            <w:color w:val="1155CC"/>
            <w:u w:val="single"/>
          </w:rPr>
          <w:t xml:space="preserve">A copy of the compact can be viewed here. </w:t>
        </w:r>
      </w:hyperlink>
    </w:p>
    <w:p w14:paraId="7099E385" w14:textId="77777777" w:rsidR="00822982" w:rsidRDefault="00822982" w:rsidP="00822982">
      <w:pPr>
        <w:spacing w:after="0"/>
        <w:rPr>
          <w:rFonts w:eastAsia="Arial" w:cs="Arial"/>
        </w:rPr>
      </w:pPr>
      <w:r>
        <w:rPr>
          <w:rFonts w:eastAsia="Arial" w:cs="Arial"/>
        </w:rPr>
        <w:t xml:space="preserve">Resources: </w:t>
      </w:r>
    </w:p>
    <w:p w14:paraId="5ABA66B7" w14:textId="77777777" w:rsidR="00822982" w:rsidRDefault="00822982" w:rsidP="00822982">
      <w:pPr>
        <w:spacing w:before="0" w:after="0"/>
        <w:rPr>
          <w:rFonts w:eastAsia="Arial" w:cs="Arial"/>
        </w:rPr>
      </w:pPr>
      <w:r>
        <w:rPr>
          <w:rFonts w:eastAsia="Arial" w:cs="Arial"/>
        </w:rPr>
        <w:t xml:space="preserve">Lexi Lonas Cochran, “Trump aims to give preferential funding treatment to universities that meet demands,” </w:t>
      </w:r>
      <w:r>
        <w:rPr>
          <w:rFonts w:eastAsia="Arial" w:cs="Arial"/>
          <w:i/>
        </w:rPr>
        <w:t>The Hill</w:t>
      </w:r>
      <w:r>
        <w:rPr>
          <w:rFonts w:eastAsia="Arial" w:cs="Arial"/>
        </w:rPr>
        <w:t xml:space="preserve">, October 2, 2025. </w:t>
      </w:r>
    </w:p>
    <w:p w14:paraId="3C036EFF" w14:textId="77777777" w:rsidR="00822982" w:rsidRDefault="00822982" w:rsidP="00822982">
      <w:pPr>
        <w:spacing w:before="0" w:after="0"/>
        <w:rPr>
          <w:rFonts w:eastAsia="Arial" w:cs="Arial"/>
        </w:rPr>
      </w:pPr>
      <w:r>
        <w:rPr>
          <w:rFonts w:eastAsia="Arial" w:cs="Arial"/>
        </w:rPr>
        <w:t xml:space="preserve">Ryan Quinn, “With Compact, Universities Weigh Whether to Give Up Freedoms for Unknown Payout,” </w:t>
      </w:r>
      <w:r>
        <w:rPr>
          <w:rFonts w:eastAsia="Arial" w:cs="Arial"/>
          <w:i/>
        </w:rPr>
        <w:t>Inside Higher Ed</w:t>
      </w:r>
      <w:r>
        <w:rPr>
          <w:rFonts w:eastAsia="Arial" w:cs="Arial"/>
        </w:rPr>
        <w:t xml:space="preserve">, October 8, 2025. </w:t>
      </w:r>
    </w:p>
    <w:p w14:paraId="5327FA01" w14:textId="72D875BD" w:rsidR="00C84BE8" w:rsidRPr="00822982" w:rsidRDefault="00822982" w:rsidP="00822982">
      <w:pPr>
        <w:spacing w:before="0"/>
        <w:rPr>
          <w:rFonts w:eastAsia="Arial" w:cs="Arial"/>
        </w:rPr>
      </w:pPr>
      <w:r>
        <w:rPr>
          <w:rFonts w:eastAsia="Arial" w:cs="Arial"/>
        </w:rPr>
        <w:t>Author: BTW</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75ABB5AA"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Brandi Wills</w:t>
      </w:r>
    </w:p>
    <w:p w14:paraId="2C03D931" w14:textId="70BFAAB5" w:rsidR="001472A0" w:rsidRDefault="001472A0" w:rsidP="2193F663">
      <w:pPr>
        <w:spacing w:before="240" w:after="240"/>
        <w:rPr>
          <w:rFonts w:eastAsia="Times New Roman" w:cs="Arial"/>
        </w:rPr>
      </w:pPr>
      <w:r w:rsidRPr="001472A0">
        <w:rPr>
          <w:rFonts w:eastAsia="Times New Roman" w:cs="Arial"/>
        </w:rPr>
        <w:t>Posted by the California Department of Education, October 2025</w:t>
      </w:r>
    </w:p>
    <w:sectPr w:rsidR="001472A0"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F36A" w14:textId="77777777" w:rsidR="00577B80" w:rsidRDefault="00577B80">
      <w:pPr>
        <w:spacing w:before="0" w:after="0"/>
      </w:pPr>
      <w:r>
        <w:separator/>
      </w:r>
    </w:p>
  </w:endnote>
  <w:endnote w:type="continuationSeparator" w:id="0">
    <w:p w14:paraId="5C6DF332" w14:textId="77777777" w:rsidR="00577B80" w:rsidRDefault="00577B80">
      <w:pPr>
        <w:spacing w:before="0" w:after="0"/>
      </w:pPr>
      <w:r>
        <w:continuationSeparator/>
      </w:r>
    </w:p>
  </w:endnote>
  <w:endnote w:type="continuationNotice" w:id="1">
    <w:p w14:paraId="01C5E057" w14:textId="77777777" w:rsidR="00577B80" w:rsidRDefault="00577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1C9C" w14:textId="77777777" w:rsidR="00577B80" w:rsidRDefault="00577B80">
      <w:pPr>
        <w:spacing w:before="0" w:after="0"/>
      </w:pPr>
      <w:r>
        <w:separator/>
      </w:r>
    </w:p>
  </w:footnote>
  <w:footnote w:type="continuationSeparator" w:id="0">
    <w:p w14:paraId="11614840" w14:textId="77777777" w:rsidR="00577B80" w:rsidRDefault="00577B80">
      <w:pPr>
        <w:spacing w:before="0" w:after="0"/>
      </w:pPr>
      <w:r>
        <w:continuationSeparator/>
      </w:r>
    </w:p>
  </w:footnote>
  <w:footnote w:type="continuationNotice" w:id="1">
    <w:p w14:paraId="6F90A935" w14:textId="77777777" w:rsidR="00577B80" w:rsidRDefault="00577B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DEBFDFF" w:rsidR="003C7552" w:rsidRPr="00662BDC" w:rsidRDefault="00FD591E" w:rsidP="000A590A">
    <w:pPr>
      <w:pStyle w:val="NoSpacing"/>
      <w:tabs>
        <w:tab w:val="left" w:pos="7920"/>
      </w:tabs>
    </w:pPr>
    <w:r>
      <w:t xml:space="preserve">October </w:t>
    </w:r>
    <w:r w:rsidR="00500A68">
      <w:t>10</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086"/>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A0"/>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7178"/>
    <w:rsid w:val="003E7189"/>
    <w:rsid w:val="003E75BA"/>
    <w:rsid w:val="003E7617"/>
    <w:rsid w:val="003E77A1"/>
    <w:rsid w:val="003E77AA"/>
    <w:rsid w:val="003E78B1"/>
    <w:rsid w:val="003E7991"/>
    <w:rsid w:val="003E7C1F"/>
    <w:rsid w:val="003E7D11"/>
    <w:rsid w:val="003F0546"/>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287"/>
    <w:rsid w:val="004D2559"/>
    <w:rsid w:val="004D25E8"/>
    <w:rsid w:val="004D2776"/>
    <w:rsid w:val="004D2C78"/>
    <w:rsid w:val="004D2D40"/>
    <w:rsid w:val="004D3918"/>
    <w:rsid w:val="004D3A1F"/>
    <w:rsid w:val="004D429B"/>
    <w:rsid w:val="004D4A02"/>
    <w:rsid w:val="004D4C53"/>
    <w:rsid w:val="004D505C"/>
    <w:rsid w:val="004D5369"/>
    <w:rsid w:val="004D5373"/>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266"/>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AC3"/>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0E4"/>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shingtonpost.com/documents/4059a5dd-f3dc-4cf6-bf1f-9e0d98c2f8d9.pdf?itid=lk_inline_manual_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8412</Characters>
  <Application>Microsoft Office Word</Application>
  <DocSecurity>0</DocSecurity>
  <Lines>145</Lines>
  <Paragraphs>50</Paragraphs>
  <ScaleCrop>false</ScaleCrop>
  <HeadingPairs>
    <vt:vector size="2" baseType="variant">
      <vt:variant>
        <vt:lpstr>Title</vt:lpstr>
      </vt:variant>
      <vt:variant>
        <vt:i4>1</vt:i4>
      </vt:variant>
    </vt:vector>
  </HeadingPairs>
  <TitlesOfParts>
    <vt:vector size="1" baseType="lpstr">
      <vt:lpstr>Federal Update: October 10, Government Affairs (CA Dept of Education)</vt:lpstr>
    </vt:vector>
  </TitlesOfParts>
  <Company/>
  <LinksUpToDate>false</LinksUpToDate>
  <CharactersWithSpaces>9896</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10 - Government Affairs (CA Dept of Education)</dc:title>
  <dc:subject>Federal Updates for October 10, 2025.</dc:subject>
  <dc:creator/>
  <cp:keywords/>
  <dc:description/>
  <cp:lastModifiedBy/>
  <cp:revision>1</cp:revision>
  <dcterms:created xsi:type="dcterms:W3CDTF">2025-11-19T16:42:00Z</dcterms:created>
  <dcterms:modified xsi:type="dcterms:W3CDTF">2025-11-19T16:42:00Z</dcterms:modified>
</cp:coreProperties>
</file>