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E7B6504" w:rsidR="0042468E" w:rsidRPr="005E2565" w:rsidRDefault="0042468E" w:rsidP="005E2565">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5E2565">
        <w:rPr>
          <w:rFonts w:ascii="Arial" w:eastAsia="Verdana" w:hAnsi="Arial" w:cs="Times New Roman"/>
          <w:b/>
          <w:bCs/>
          <w:color w:val="auto"/>
        </w:rPr>
        <w:t xml:space="preserve">The Federal Update for </w:t>
      </w:r>
      <w:bookmarkEnd w:id="0"/>
      <w:bookmarkEnd w:id="1"/>
      <w:bookmarkEnd w:id="2"/>
      <w:bookmarkEnd w:id="3"/>
      <w:bookmarkEnd w:id="4"/>
      <w:bookmarkEnd w:id="5"/>
      <w:r w:rsidR="00FD591E" w:rsidRPr="005E2565">
        <w:rPr>
          <w:rFonts w:ascii="Arial" w:eastAsia="Verdana" w:hAnsi="Arial" w:cs="Times New Roman"/>
          <w:b/>
          <w:bCs/>
          <w:color w:val="auto"/>
        </w:rPr>
        <w:t xml:space="preserve">October </w:t>
      </w:r>
      <w:r w:rsidR="00500A68" w:rsidRPr="005E2565">
        <w:rPr>
          <w:rFonts w:ascii="Arial" w:eastAsia="Verdana" w:hAnsi="Arial" w:cs="Times New Roman"/>
          <w:b/>
          <w:bCs/>
          <w:color w:val="auto"/>
        </w:rPr>
        <w:t>1</w:t>
      </w:r>
      <w:r w:rsidR="00925057" w:rsidRPr="005E2565">
        <w:rPr>
          <w:rFonts w:ascii="Arial" w:eastAsia="Verdana" w:hAnsi="Arial" w:cs="Times New Roman"/>
          <w:b/>
          <w:bCs/>
          <w:color w:val="auto"/>
        </w:rPr>
        <w:t>7</w:t>
      </w:r>
      <w:r w:rsidR="007C6E27" w:rsidRPr="005E2565">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60BCABB6" w:rsidR="0063135C" w:rsidRDefault="00D0389C" w:rsidP="009B424F">
      <w:pPr>
        <w:pStyle w:val="MessageHeader"/>
        <w:spacing w:after="240"/>
      </w:pPr>
      <w:r>
        <w:t>Date:</w:t>
      </w:r>
      <w:r>
        <w:tab/>
      </w:r>
      <w:r w:rsidR="00FD591E">
        <w:t xml:space="preserve">October </w:t>
      </w:r>
      <w:r w:rsidR="00500A68">
        <w:t>1</w:t>
      </w:r>
      <w:r w:rsidR="00925057">
        <w:t>7</w:t>
      </w:r>
      <w:r w:rsidR="559A70F6">
        <w:t>,</w:t>
      </w:r>
      <w:r w:rsidR="007C6E27">
        <w:t xml:space="preserve"> 2025</w:t>
      </w:r>
    </w:p>
    <w:p w14:paraId="04D17EDB" w14:textId="4ECCA828" w:rsidR="00EF6AA3"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1517649" w:history="1">
        <w:r w:rsidR="00EF6AA3" w:rsidRPr="00CC7619">
          <w:rPr>
            <w:rStyle w:val="Hyperlink"/>
          </w:rPr>
          <w:t>Legislation and Guidance</w:t>
        </w:r>
        <w:r w:rsidR="00EF6AA3">
          <w:rPr>
            <w:webHidden/>
          </w:rPr>
          <w:tab/>
        </w:r>
        <w:r w:rsidR="00EF6AA3">
          <w:rPr>
            <w:webHidden/>
          </w:rPr>
          <w:fldChar w:fldCharType="begin"/>
        </w:r>
        <w:r w:rsidR="00EF6AA3">
          <w:rPr>
            <w:webHidden/>
          </w:rPr>
          <w:instrText xml:space="preserve"> PAGEREF _Toc211517649 \h </w:instrText>
        </w:r>
        <w:r w:rsidR="00EF6AA3">
          <w:rPr>
            <w:webHidden/>
          </w:rPr>
        </w:r>
        <w:r w:rsidR="00EF6AA3">
          <w:rPr>
            <w:webHidden/>
          </w:rPr>
          <w:fldChar w:fldCharType="separate"/>
        </w:r>
        <w:r w:rsidR="00EF6AA3">
          <w:rPr>
            <w:webHidden/>
          </w:rPr>
          <w:t>1</w:t>
        </w:r>
        <w:r w:rsidR="00EF6AA3">
          <w:rPr>
            <w:webHidden/>
          </w:rPr>
          <w:fldChar w:fldCharType="end"/>
        </w:r>
      </w:hyperlink>
    </w:p>
    <w:p w14:paraId="73FC5CA4" w14:textId="0F3965F7" w:rsidR="00EF6AA3" w:rsidRDefault="00EF6AA3">
      <w:pPr>
        <w:pStyle w:val="TOC3"/>
        <w:rPr>
          <w:rFonts w:asciiTheme="minorHAnsi" w:eastAsiaTheme="minorEastAsia" w:hAnsiTheme="minorHAnsi" w:cstheme="minorBidi"/>
          <w:b w:val="0"/>
          <w:kern w:val="2"/>
          <w:sz w:val="24"/>
          <w:szCs w:val="24"/>
          <w14:ligatures w14:val="standardContextual"/>
        </w:rPr>
      </w:pPr>
      <w:hyperlink w:anchor="_Toc211517650" w:history="1">
        <w:r w:rsidRPr="00CC7619">
          <w:rPr>
            <w:rStyle w:val="Hyperlink"/>
          </w:rPr>
          <w:t>Government Shutdown Extends into Third Week</w:t>
        </w:r>
        <w:r>
          <w:rPr>
            <w:webHidden/>
          </w:rPr>
          <w:tab/>
        </w:r>
        <w:r>
          <w:rPr>
            <w:webHidden/>
          </w:rPr>
          <w:fldChar w:fldCharType="begin"/>
        </w:r>
        <w:r>
          <w:rPr>
            <w:webHidden/>
          </w:rPr>
          <w:instrText xml:space="preserve"> PAGEREF _Toc211517650 \h </w:instrText>
        </w:r>
        <w:r>
          <w:rPr>
            <w:webHidden/>
          </w:rPr>
        </w:r>
        <w:r>
          <w:rPr>
            <w:webHidden/>
          </w:rPr>
          <w:fldChar w:fldCharType="separate"/>
        </w:r>
        <w:r>
          <w:rPr>
            <w:webHidden/>
          </w:rPr>
          <w:t>1</w:t>
        </w:r>
        <w:r>
          <w:rPr>
            <w:webHidden/>
          </w:rPr>
          <w:fldChar w:fldCharType="end"/>
        </w:r>
      </w:hyperlink>
    </w:p>
    <w:p w14:paraId="337AEB8D" w14:textId="0F454485" w:rsidR="00EF6AA3" w:rsidRDefault="00EF6AA3">
      <w:pPr>
        <w:pStyle w:val="TOC2"/>
        <w:rPr>
          <w:rFonts w:asciiTheme="minorHAnsi" w:eastAsiaTheme="minorEastAsia" w:hAnsiTheme="minorHAnsi" w:cstheme="minorBidi"/>
          <w:b w:val="0"/>
          <w:kern w:val="2"/>
          <w:sz w:val="24"/>
          <w:szCs w:val="24"/>
          <w14:ligatures w14:val="standardContextual"/>
        </w:rPr>
      </w:pPr>
      <w:hyperlink w:anchor="_Toc211517651" w:history="1">
        <w:r w:rsidRPr="00CC7619">
          <w:rPr>
            <w:rStyle w:val="Hyperlink"/>
          </w:rPr>
          <w:t>News</w:t>
        </w:r>
        <w:r>
          <w:rPr>
            <w:webHidden/>
          </w:rPr>
          <w:tab/>
        </w:r>
        <w:r>
          <w:rPr>
            <w:webHidden/>
          </w:rPr>
          <w:fldChar w:fldCharType="begin"/>
        </w:r>
        <w:r>
          <w:rPr>
            <w:webHidden/>
          </w:rPr>
          <w:instrText xml:space="preserve"> PAGEREF _Toc211517651 \h </w:instrText>
        </w:r>
        <w:r>
          <w:rPr>
            <w:webHidden/>
          </w:rPr>
        </w:r>
        <w:r>
          <w:rPr>
            <w:webHidden/>
          </w:rPr>
          <w:fldChar w:fldCharType="separate"/>
        </w:r>
        <w:r>
          <w:rPr>
            <w:webHidden/>
          </w:rPr>
          <w:t>2</w:t>
        </w:r>
        <w:r>
          <w:rPr>
            <w:webHidden/>
          </w:rPr>
          <w:fldChar w:fldCharType="end"/>
        </w:r>
      </w:hyperlink>
    </w:p>
    <w:p w14:paraId="0DAB5053" w14:textId="2AFDB8DC" w:rsidR="00EF6AA3" w:rsidRDefault="00EF6AA3">
      <w:pPr>
        <w:pStyle w:val="TOC3"/>
        <w:rPr>
          <w:rFonts w:asciiTheme="minorHAnsi" w:eastAsiaTheme="minorEastAsia" w:hAnsiTheme="minorHAnsi" w:cstheme="minorBidi"/>
          <w:b w:val="0"/>
          <w:kern w:val="2"/>
          <w:sz w:val="24"/>
          <w:szCs w:val="24"/>
          <w14:ligatures w14:val="standardContextual"/>
        </w:rPr>
      </w:pPr>
      <w:hyperlink w:anchor="_Toc211517652" w:history="1">
        <w:r w:rsidRPr="00CC7619">
          <w:rPr>
            <w:rStyle w:val="Hyperlink"/>
          </w:rPr>
          <w:t>Judge Reinstates ED Staffers After Mass RIF</w:t>
        </w:r>
        <w:r>
          <w:rPr>
            <w:webHidden/>
          </w:rPr>
          <w:tab/>
        </w:r>
        <w:r>
          <w:rPr>
            <w:webHidden/>
          </w:rPr>
          <w:fldChar w:fldCharType="begin"/>
        </w:r>
        <w:r>
          <w:rPr>
            <w:webHidden/>
          </w:rPr>
          <w:instrText xml:space="preserve"> PAGEREF _Toc211517652 \h </w:instrText>
        </w:r>
        <w:r>
          <w:rPr>
            <w:webHidden/>
          </w:rPr>
        </w:r>
        <w:r>
          <w:rPr>
            <w:webHidden/>
          </w:rPr>
          <w:fldChar w:fldCharType="separate"/>
        </w:r>
        <w:r>
          <w:rPr>
            <w:webHidden/>
          </w:rPr>
          <w:t>2</w:t>
        </w:r>
        <w:r>
          <w:rPr>
            <w:webHidden/>
          </w:rPr>
          <w:fldChar w:fldCharType="end"/>
        </w:r>
      </w:hyperlink>
    </w:p>
    <w:p w14:paraId="00353A4D" w14:textId="1E44D928" w:rsidR="00EF6AA3" w:rsidRDefault="00EF6AA3">
      <w:pPr>
        <w:pStyle w:val="TOC3"/>
        <w:rPr>
          <w:rFonts w:asciiTheme="minorHAnsi" w:eastAsiaTheme="minorEastAsia" w:hAnsiTheme="minorHAnsi" w:cstheme="minorBidi"/>
          <w:b w:val="0"/>
          <w:kern w:val="2"/>
          <w:sz w:val="24"/>
          <w:szCs w:val="24"/>
          <w14:ligatures w14:val="standardContextual"/>
        </w:rPr>
      </w:pPr>
      <w:hyperlink w:anchor="_Toc211517653" w:history="1">
        <w:r w:rsidRPr="00CC7619">
          <w:rPr>
            <w:rStyle w:val="Hyperlink"/>
          </w:rPr>
          <w:t>Supreme Court Declines to Hear Parental Rights Dispute</w:t>
        </w:r>
        <w:r>
          <w:rPr>
            <w:webHidden/>
          </w:rPr>
          <w:tab/>
        </w:r>
        <w:r>
          <w:rPr>
            <w:webHidden/>
          </w:rPr>
          <w:fldChar w:fldCharType="begin"/>
        </w:r>
        <w:r>
          <w:rPr>
            <w:webHidden/>
          </w:rPr>
          <w:instrText xml:space="preserve"> PAGEREF _Toc211517653 \h </w:instrText>
        </w:r>
        <w:r>
          <w:rPr>
            <w:webHidden/>
          </w:rPr>
        </w:r>
        <w:r>
          <w:rPr>
            <w:webHidden/>
          </w:rPr>
          <w:fldChar w:fldCharType="separate"/>
        </w:r>
        <w:r>
          <w:rPr>
            <w:webHidden/>
          </w:rPr>
          <w:t>3</w:t>
        </w:r>
        <w:r>
          <w:rPr>
            <w:webHidden/>
          </w:rPr>
          <w:fldChar w:fldCharType="end"/>
        </w:r>
      </w:hyperlink>
    </w:p>
    <w:p w14:paraId="150A4DA7" w14:textId="39DA031E" w:rsidR="00EF6AA3" w:rsidRDefault="00EF6AA3">
      <w:pPr>
        <w:pStyle w:val="TOC3"/>
        <w:rPr>
          <w:rFonts w:asciiTheme="minorHAnsi" w:eastAsiaTheme="minorEastAsia" w:hAnsiTheme="minorHAnsi" w:cstheme="minorBidi"/>
          <w:b w:val="0"/>
          <w:kern w:val="2"/>
          <w:sz w:val="24"/>
          <w:szCs w:val="24"/>
          <w14:ligatures w14:val="standardContextual"/>
        </w:rPr>
      </w:pPr>
      <w:hyperlink w:anchor="_Toc211517654" w:history="1">
        <w:r w:rsidRPr="00CC7619">
          <w:rPr>
            <w:rStyle w:val="Hyperlink"/>
          </w:rPr>
          <w:t>Lawmakers Ask for Restoration of HSI Funding</w:t>
        </w:r>
        <w:r>
          <w:rPr>
            <w:webHidden/>
          </w:rPr>
          <w:tab/>
        </w:r>
        <w:r>
          <w:rPr>
            <w:webHidden/>
          </w:rPr>
          <w:fldChar w:fldCharType="begin"/>
        </w:r>
        <w:r>
          <w:rPr>
            <w:webHidden/>
          </w:rPr>
          <w:instrText xml:space="preserve"> PAGEREF _Toc211517654 \h </w:instrText>
        </w:r>
        <w:r>
          <w:rPr>
            <w:webHidden/>
          </w:rPr>
        </w:r>
        <w:r>
          <w:rPr>
            <w:webHidden/>
          </w:rPr>
          <w:fldChar w:fldCharType="separate"/>
        </w:r>
        <w:r>
          <w:rPr>
            <w:webHidden/>
          </w:rPr>
          <w:t>4</w:t>
        </w:r>
        <w:r>
          <w:rPr>
            <w:webHidden/>
          </w:rPr>
          <w:fldChar w:fldCharType="end"/>
        </w:r>
      </w:hyperlink>
    </w:p>
    <w:p w14:paraId="4751C38E" w14:textId="22032AA9" w:rsidR="00EF6AA3" w:rsidRDefault="00EF6AA3">
      <w:pPr>
        <w:pStyle w:val="TOC3"/>
        <w:rPr>
          <w:rFonts w:asciiTheme="minorHAnsi" w:eastAsiaTheme="minorEastAsia" w:hAnsiTheme="minorHAnsi" w:cstheme="minorBidi"/>
          <w:b w:val="0"/>
          <w:kern w:val="2"/>
          <w:sz w:val="24"/>
          <w:szCs w:val="24"/>
          <w14:ligatures w14:val="standardContextual"/>
        </w:rPr>
      </w:pPr>
      <w:hyperlink w:anchor="_Toc211517655" w:history="1">
        <w:r w:rsidRPr="00CC7619">
          <w:rPr>
            <w:rStyle w:val="Hyperlink"/>
          </w:rPr>
          <w:t>Stakeholder Groups Urge Caution Regarding AI Use</w:t>
        </w:r>
        <w:r>
          <w:rPr>
            <w:webHidden/>
          </w:rPr>
          <w:tab/>
        </w:r>
        <w:r>
          <w:rPr>
            <w:webHidden/>
          </w:rPr>
          <w:fldChar w:fldCharType="begin"/>
        </w:r>
        <w:r>
          <w:rPr>
            <w:webHidden/>
          </w:rPr>
          <w:instrText xml:space="preserve"> PAGEREF _Toc211517655 \h </w:instrText>
        </w:r>
        <w:r>
          <w:rPr>
            <w:webHidden/>
          </w:rPr>
        </w:r>
        <w:r>
          <w:rPr>
            <w:webHidden/>
          </w:rPr>
          <w:fldChar w:fldCharType="separate"/>
        </w:r>
        <w:r>
          <w:rPr>
            <w:webHidden/>
          </w:rPr>
          <w:t>4</w:t>
        </w:r>
        <w:r>
          <w:rPr>
            <w:webHidden/>
          </w:rPr>
          <w:fldChar w:fldCharType="end"/>
        </w:r>
      </w:hyperlink>
    </w:p>
    <w:p w14:paraId="553D207F" w14:textId="26C7F629"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1517649"/>
      <w:r>
        <w:t>Legislation and Guidance</w:t>
      </w:r>
      <w:bookmarkEnd w:id="6"/>
    </w:p>
    <w:p w14:paraId="6EA4CC5A" w14:textId="0FCF8AB4" w:rsidR="00433BCE" w:rsidRPr="00E65098" w:rsidRDefault="008A4BCA" w:rsidP="00E65098">
      <w:pPr>
        <w:pStyle w:val="Heading3"/>
      </w:pPr>
      <w:bookmarkStart w:id="7" w:name="_Toc211517650"/>
      <w:r>
        <w:t>Government Shutdown Extends into Third Week</w:t>
      </w:r>
      <w:bookmarkEnd w:id="7"/>
    </w:p>
    <w:p w14:paraId="14044DD2" w14:textId="2B55A490" w:rsidR="000F3B32" w:rsidRDefault="005605B8" w:rsidP="005605B8">
      <w:pPr>
        <w:rPr>
          <w:rFonts w:cs="Arial"/>
        </w:rPr>
      </w:pPr>
      <w:r w:rsidRPr="00965CE4">
        <w:rPr>
          <w:rFonts w:cs="Arial"/>
        </w:rPr>
        <w:t xml:space="preserve">The government shutdown has entered its third week, as lawmakers remain at an impasse on fiscal year (FY) 2026 funding legislation.  A tenth vote on the House-passed </w:t>
      </w:r>
      <w:r w:rsidR="00AA1407">
        <w:rPr>
          <w:rFonts w:cs="Arial"/>
        </w:rPr>
        <w:t>temporary</w:t>
      </w:r>
      <w:r w:rsidRPr="00965CE4">
        <w:rPr>
          <w:rFonts w:cs="Arial"/>
        </w:rPr>
        <w:t xml:space="preserve"> funding</w:t>
      </w:r>
      <w:r w:rsidR="00AA1407">
        <w:rPr>
          <w:rFonts w:cs="Arial"/>
        </w:rPr>
        <w:t xml:space="preserve"> measure</w:t>
      </w:r>
      <w:r w:rsidRPr="00965CE4">
        <w:rPr>
          <w:rFonts w:cs="Arial"/>
        </w:rPr>
        <w:t xml:space="preserve"> failed in the Senate </w:t>
      </w:r>
      <w:r w:rsidR="00AA1407">
        <w:rPr>
          <w:rFonts w:cs="Arial"/>
        </w:rPr>
        <w:t xml:space="preserve">again </w:t>
      </w:r>
      <w:r w:rsidRPr="00965CE4">
        <w:rPr>
          <w:rFonts w:cs="Arial"/>
        </w:rPr>
        <w:t xml:space="preserve">on Thursday, and the House remains in recess.  Tensions to reopen the government escalated last </w:t>
      </w:r>
      <w:r w:rsidR="000F3B32">
        <w:rPr>
          <w:rFonts w:cs="Arial"/>
        </w:rPr>
        <w:t>week</w:t>
      </w:r>
      <w:r w:rsidRPr="00965CE4">
        <w:rPr>
          <w:rFonts w:cs="Arial"/>
        </w:rPr>
        <w:t xml:space="preserve"> when the administration fired thousands of employees across federal agencies, including the U.S. Department of Education</w:t>
      </w:r>
      <w:r w:rsidR="000F3B32">
        <w:rPr>
          <w:rFonts w:cs="Arial"/>
        </w:rPr>
        <w:t xml:space="preserve">, and when the White House announced that federal workers </w:t>
      </w:r>
      <w:r w:rsidR="00836CA8">
        <w:rPr>
          <w:rFonts w:cs="Arial"/>
        </w:rPr>
        <w:t xml:space="preserve">may </w:t>
      </w:r>
      <w:r w:rsidR="000F3B32">
        <w:rPr>
          <w:rFonts w:cs="Arial"/>
        </w:rPr>
        <w:t>not</w:t>
      </w:r>
      <w:r w:rsidR="00836CA8">
        <w:rPr>
          <w:rFonts w:cs="Arial"/>
        </w:rPr>
        <w:t xml:space="preserve"> be</w:t>
      </w:r>
      <w:r w:rsidR="000F3B32">
        <w:rPr>
          <w:rFonts w:cs="Arial"/>
        </w:rPr>
        <w:t xml:space="preserve"> entitled to receive backpay under a bipartisan law passed in 2019.</w:t>
      </w:r>
    </w:p>
    <w:p w14:paraId="65487AD7" w14:textId="2E11B5DE" w:rsidR="000F3B32" w:rsidRDefault="000F3B32" w:rsidP="005605B8">
      <w:pPr>
        <w:rPr>
          <w:rFonts w:cs="Arial"/>
        </w:rPr>
      </w:pPr>
      <w:r>
        <w:rPr>
          <w:rFonts w:cs="Arial"/>
        </w:rPr>
        <w:t xml:space="preserve">Over 100 Congressional Democrats and one Republican, Senator Lisa Murkowski (R-AK), sent a letter to the administration this week </w:t>
      </w:r>
      <w:r w:rsidR="00836CA8">
        <w:rPr>
          <w:rFonts w:cs="Arial"/>
        </w:rPr>
        <w:t xml:space="preserve">requesting that the White House update its guidance on the government shutdown to state that federal employees are in fact guaranteed backpay when the government reopens.  The bipartisan bill passed in 2019, the </w:t>
      </w:r>
      <w:r w:rsidR="00836CA8" w:rsidRPr="00836CA8">
        <w:rPr>
          <w:rFonts w:cs="Arial"/>
        </w:rPr>
        <w:t>Government Employee Fair Treatment Act</w:t>
      </w:r>
      <w:r w:rsidR="00836CA8">
        <w:rPr>
          <w:rFonts w:cs="Arial"/>
        </w:rPr>
        <w:t xml:space="preserve">, and signed by President Trump under during his first term, eliminated the need for Congress to pass legislation authorizing backpay after each government shutdown.  But last week, the White House indicated that under its interpretation of that law, Congress must still take separate action to pay </w:t>
      </w:r>
      <w:r w:rsidR="00836CA8">
        <w:rPr>
          <w:rFonts w:cs="Arial"/>
        </w:rPr>
        <w:lastRenderedPageBreak/>
        <w:t>workers for the period of the shutdown.</w:t>
      </w:r>
    </w:p>
    <w:p w14:paraId="5126A110" w14:textId="0DABF85E" w:rsidR="005605B8" w:rsidRPr="00965CE4" w:rsidRDefault="005605B8" w:rsidP="005605B8">
      <w:pPr>
        <w:rPr>
          <w:rFonts w:cs="Arial"/>
        </w:rPr>
      </w:pPr>
      <w:r w:rsidRPr="00965CE4">
        <w:rPr>
          <w:rFonts w:cs="Arial"/>
        </w:rPr>
        <w:t xml:space="preserve">Although lawmakers have not yet reached an agreement to reopen the government, </w:t>
      </w:r>
      <w:r w:rsidR="00A07829">
        <w:rPr>
          <w:rFonts w:cs="Arial"/>
        </w:rPr>
        <w:t xml:space="preserve">on Thursday, </w:t>
      </w:r>
      <w:r w:rsidRPr="00965CE4">
        <w:rPr>
          <w:rFonts w:cs="Arial"/>
        </w:rPr>
        <w:t xml:space="preserve">Senate Majority Leader John Thune (R-SD) </w:t>
      </w:r>
      <w:r w:rsidR="00970904">
        <w:rPr>
          <w:rFonts w:cs="Arial"/>
        </w:rPr>
        <w:t>began attempts to</w:t>
      </w:r>
      <w:r w:rsidRPr="00965CE4">
        <w:rPr>
          <w:rFonts w:cs="Arial"/>
        </w:rPr>
        <w:t xml:space="preserve"> mov</w:t>
      </w:r>
      <w:r w:rsidR="00970904">
        <w:rPr>
          <w:rFonts w:cs="Arial"/>
        </w:rPr>
        <w:t>e</w:t>
      </w:r>
      <w:r w:rsidRPr="00965CE4">
        <w:rPr>
          <w:rFonts w:cs="Arial"/>
        </w:rPr>
        <w:t xml:space="preserve"> forward on certain individual appropriations bills that were passed out of committee with bipartisan support earlier this year. </w:t>
      </w:r>
      <w:r w:rsidR="00970904">
        <w:rPr>
          <w:rFonts w:cs="Arial"/>
        </w:rPr>
        <w:t xml:space="preserve"> A</w:t>
      </w:r>
      <w:r w:rsidR="00623C28">
        <w:rPr>
          <w:rFonts w:cs="Arial"/>
        </w:rPr>
        <w:t xml:space="preserve"> </w:t>
      </w:r>
      <w:r w:rsidR="00970904">
        <w:rPr>
          <w:rFonts w:cs="Arial"/>
        </w:rPr>
        <w:t>vote to advance the</w:t>
      </w:r>
      <w:r w:rsidR="00914794">
        <w:rPr>
          <w:rFonts w:cs="Arial"/>
        </w:rPr>
        <w:t xml:space="preserve"> FY 2026</w:t>
      </w:r>
      <w:r w:rsidR="00970904">
        <w:rPr>
          <w:rFonts w:cs="Arial"/>
        </w:rPr>
        <w:t xml:space="preserve"> Department of Defense spending bill failed Thursday afternoon</w:t>
      </w:r>
      <w:r w:rsidR="007D5D89">
        <w:rPr>
          <w:rFonts w:cs="Arial"/>
        </w:rPr>
        <w:t>,</w:t>
      </w:r>
      <w:r w:rsidR="00513B67">
        <w:rPr>
          <w:rFonts w:cs="Arial"/>
        </w:rPr>
        <w:t xml:space="preserve"> and it</w:t>
      </w:r>
      <w:r w:rsidR="00914794">
        <w:rPr>
          <w:rFonts w:cs="Arial"/>
        </w:rPr>
        <w:t xml:space="preserve"> is</w:t>
      </w:r>
      <w:r w:rsidR="00513B67">
        <w:rPr>
          <w:rFonts w:cs="Arial"/>
        </w:rPr>
        <w:t xml:space="preserve"> unclear whether the Majority Leader will bring others to a vote in the coming week.</w:t>
      </w:r>
      <w:r w:rsidRPr="00965CE4">
        <w:rPr>
          <w:rFonts w:cs="Arial"/>
        </w:rPr>
        <w:t xml:space="preserve"> </w:t>
      </w:r>
      <w:r w:rsidR="00513B67">
        <w:rPr>
          <w:rFonts w:cs="Arial"/>
        </w:rPr>
        <w:t xml:space="preserve"> </w:t>
      </w:r>
      <w:r w:rsidRPr="00965CE4">
        <w:rPr>
          <w:rFonts w:cs="Arial"/>
        </w:rPr>
        <w:t xml:space="preserve">However, even if </w:t>
      </w:r>
      <w:r w:rsidR="0013051C">
        <w:rPr>
          <w:rFonts w:cs="Arial"/>
        </w:rPr>
        <w:t>individual</w:t>
      </w:r>
      <w:r w:rsidRPr="00965CE4">
        <w:rPr>
          <w:rFonts w:cs="Arial"/>
        </w:rPr>
        <w:t xml:space="preserve"> bills pass the Senate, they </w:t>
      </w:r>
      <w:proofErr w:type="gramStart"/>
      <w:r w:rsidRPr="00965CE4">
        <w:rPr>
          <w:rFonts w:cs="Arial"/>
        </w:rPr>
        <w:t>would</w:t>
      </w:r>
      <w:proofErr w:type="gramEnd"/>
      <w:r w:rsidRPr="00965CE4">
        <w:rPr>
          <w:rFonts w:cs="Arial"/>
        </w:rPr>
        <w:t xml:space="preserve"> still need to be passed by the House, where lawmakers have proposed significantly different funding levels for </w:t>
      </w:r>
      <w:r w:rsidR="0013051C">
        <w:rPr>
          <w:rFonts w:cs="Arial"/>
        </w:rPr>
        <w:t>most federal</w:t>
      </w:r>
      <w:r w:rsidRPr="00965CE4">
        <w:rPr>
          <w:rFonts w:cs="Arial"/>
        </w:rPr>
        <w:t xml:space="preserve"> agencies</w:t>
      </w:r>
      <w:r w:rsidR="0013051C">
        <w:rPr>
          <w:rFonts w:cs="Arial"/>
        </w:rPr>
        <w:t xml:space="preserve"> compared to Senate legislation</w:t>
      </w:r>
      <w:r w:rsidRPr="00965CE4">
        <w:rPr>
          <w:rFonts w:cs="Arial"/>
        </w:rPr>
        <w:t xml:space="preserve">. </w:t>
      </w:r>
    </w:p>
    <w:p w14:paraId="51FDD647" w14:textId="1F3841C9" w:rsidR="005605B8" w:rsidRPr="00965CE4" w:rsidRDefault="005605B8" w:rsidP="005605B8">
      <w:pPr>
        <w:rPr>
          <w:rFonts w:cs="Arial"/>
        </w:rPr>
      </w:pPr>
      <w:r w:rsidRPr="00965CE4">
        <w:rPr>
          <w:rFonts w:cs="Arial"/>
        </w:rPr>
        <w:t xml:space="preserve">Senate Democrats are maintaining that they will not vote in support of a </w:t>
      </w:r>
      <w:r w:rsidR="003E7619">
        <w:rPr>
          <w:rFonts w:cs="Arial"/>
        </w:rPr>
        <w:t xml:space="preserve">broader </w:t>
      </w:r>
      <w:r w:rsidRPr="00965CE4">
        <w:rPr>
          <w:rFonts w:cs="Arial"/>
        </w:rPr>
        <w:t xml:space="preserve">funding extension until Congress reaches an agreement to extend expiring healthcare subsidies under the Affordable Care Act, while Republicans have stated they will have those discussions after the government is reopened.  There is no clear end in sight to the shutdown, as negotiations remain stalled.  </w:t>
      </w:r>
    </w:p>
    <w:p w14:paraId="651C8835" w14:textId="2CD27AF0" w:rsidR="005605B8" w:rsidRPr="00965CE4" w:rsidRDefault="005605B8" w:rsidP="005605B8">
      <w:pPr>
        <w:rPr>
          <w:rFonts w:cs="Arial"/>
        </w:rPr>
      </w:pPr>
      <w:r w:rsidRPr="00965CE4">
        <w:rPr>
          <w:rFonts w:cs="Arial"/>
        </w:rPr>
        <w:t>Author: KSC</w:t>
      </w:r>
    </w:p>
    <w:p w14:paraId="288B330C" w14:textId="28B48A80" w:rsidR="002E1045" w:rsidRDefault="0057426E" w:rsidP="0057426E">
      <w:pPr>
        <w:pStyle w:val="Heading2"/>
      </w:pPr>
      <w:bookmarkStart w:id="8" w:name="_Toc211517651"/>
      <w:r>
        <w:t>News</w:t>
      </w:r>
      <w:bookmarkEnd w:id="8"/>
    </w:p>
    <w:p w14:paraId="42D54820" w14:textId="77777777" w:rsidR="00F20F84" w:rsidRPr="0066152C" w:rsidRDefault="00F20F84" w:rsidP="00F20F84">
      <w:pPr>
        <w:pStyle w:val="Heading3"/>
      </w:pPr>
      <w:bookmarkStart w:id="9" w:name="_ggr13ial007m" w:colFirst="0" w:colLast="0"/>
      <w:bookmarkStart w:id="10" w:name="_Toc211517652"/>
      <w:bookmarkEnd w:id="9"/>
      <w:r w:rsidRPr="0066152C">
        <w:t>Judge Reinstates ED Staffers After Mass RIF</w:t>
      </w:r>
      <w:bookmarkEnd w:id="10"/>
    </w:p>
    <w:p w14:paraId="1BF5D44E" w14:textId="77777777" w:rsidR="009059D6" w:rsidRPr="0066152C" w:rsidRDefault="009059D6" w:rsidP="009059D6">
      <w:pPr>
        <w:rPr>
          <w:rFonts w:cs="Arial"/>
        </w:rPr>
      </w:pPr>
      <w:r w:rsidRPr="0066152C">
        <w:rPr>
          <w:rFonts w:cs="Arial"/>
        </w:rPr>
        <w:t>A federal judge has told the U.S. Department of Education (ED) it cannot fire the 466 staff who received a notice of a Reduction in Force (RIF) last Friday.</w:t>
      </w:r>
    </w:p>
    <w:p w14:paraId="40DE80D7" w14:textId="75D30AF5" w:rsidR="009059D6" w:rsidRPr="0066152C" w:rsidRDefault="009059D6" w:rsidP="009059D6">
      <w:pPr>
        <w:rPr>
          <w:rFonts w:cs="Arial"/>
        </w:rPr>
      </w:pPr>
      <w:r w:rsidRPr="0066152C">
        <w:rPr>
          <w:rFonts w:cs="Arial"/>
        </w:rPr>
        <w:t xml:space="preserve">Last Friday afternoon, hundreds of staff at ED and other federal agencies were told they would be fired.  Notices went out to </w:t>
      </w:r>
      <w:r w:rsidR="00266CAF">
        <w:rPr>
          <w:rFonts w:cs="Arial"/>
        </w:rPr>
        <w:t xml:space="preserve">both </w:t>
      </w:r>
      <w:r w:rsidRPr="0066152C">
        <w:rPr>
          <w:rFonts w:cs="Arial"/>
        </w:rPr>
        <w:t xml:space="preserve">staff who were furloughed during the shutdown as well as those who were working without pay as essential staff.  The additional layoffs would cut more than a fifth of ED’s remaining workforce, leaving the Office of Elementary and Secondary Education with </w:t>
      </w:r>
      <w:r w:rsidR="00266CAF">
        <w:rPr>
          <w:rFonts w:cs="Arial"/>
        </w:rPr>
        <w:t xml:space="preserve">a staff of </w:t>
      </w:r>
      <w:r w:rsidR="00B85E2A">
        <w:rPr>
          <w:rFonts w:cs="Arial"/>
        </w:rPr>
        <w:t xml:space="preserve">only </w:t>
      </w:r>
      <w:r w:rsidR="00266CAF">
        <w:rPr>
          <w:rFonts w:cs="Arial"/>
        </w:rPr>
        <w:t>15</w:t>
      </w:r>
      <w:r w:rsidRPr="0066152C">
        <w:rPr>
          <w:rFonts w:cs="Arial"/>
        </w:rPr>
        <w:t xml:space="preserve"> and the Office of Special Education Programs with only two</w:t>
      </w:r>
      <w:r w:rsidR="00266CAF">
        <w:rPr>
          <w:rFonts w:cs="Arial"/>
        </w:rPr>
        <w:t xml:space="preserve"> remaining staff members</w:t>
      </w:r>
      <w:r w:rsidRPr="0066152C">
        <w:rPr>
          <w:rFonts w:cs="Arial"/>
        </w:rPr>
        <w:t xml:space="preserve">.  The Office of Communications and Outreach, Office for Civil Rights, and Office of Postsecondary Education also </w:t>
      </w:r>
      <w:r w:rsidR="00266CAF">
        <w:rPr>
          <w:rFonts w:cs="Arial"/>
        </w:rPr>
        <w:t>experienced</w:t>
      </w:r>
      <w:r w:rsidR="00266CAF" w:rsidRPr="0066152C">
        <w:rPr>
          <w:rFonts w:cs="Arial"/>
        </w:rPr>
        <w:t xml:space="preserve"> </w:t>
      </w:r>
      <w:r w:rsidRPr="0066152C">
        <w:rPr>
          <w:rFonts w:cs="Arial"/>
        </w:rPr>
        <w:t>firings.</w:t>
      </w:r>
    </w:p>
    <w:p w14:paraId="33017D0A" w14:textId="610E2006" w:rsidR="009059D6" w:rsidRPr="0066152C" w:rsidRDefault="009059D6" w:rsidP="009059D6">
      <w:pPr>
        <w:rPr>
          <w:rFonts w:cs="Arial"/>
        </w:rPr>
      </w:pPr>
      <w:r w:rsidRPr="0066152C">
        <w:rPr>
          <w:rFonts w:cs="Arial"/>
        </w:rPr>
        <w:t>In court filings, the federal government noted they had also fired 600 staff at the</w:t>
      </w:r>
      <w:r w:rsidR="00B85E2A">
        <w:rPr>
          <w:rFonts w:cs="Arial"/>
        </w:rPr>
        <w:t xml:space="preserve"> </w:t>
      </w:r>
      <w:r w:rsidRPr="0066152C">
        <w:rPr>
          <w:rFonts w:cs="Arial"/>
        </w:rPr>
        <w:t>Department of Commerce, 179 at the Department of Energy, 1</w:t>
      </w:r>
      <w:r w:rsidR="00B85E2A">
        <w:rPr>
          <w:rFonts w:cs="Arial"/>
        </w:rPr>
        <w:t>,</w:t>
      </w:r>
      <w:r w:rsidRPr="0066152C">
        <w:rPr>
          <w:rFonts w:cs="Arial"/>
        </w:rPr>
        <w:t>377 at the</w:t>
      </w:r>
      <w:r w:rsidR="00B85E2A">
        <w:rPr>
          <w:rFonts w:cs="Arial"/>
        </w:rPr>
        <w:t xml:space="preserve"> </w:t>
      </w:r>
      <w:r w:rsidRPr="0066152C">
        <w:rPr>
          <w:rFonts w:cs="Arial"/>
        </w:rPr>
        <w:t>Department of Treasury, and 982 at the Department of Health and Human Services</w:t>
      </w:r>
      <w:r w:rsidR="00B85E2A">
        <w:rPr>
          <w:rFonts w:cs="Arial"/>
        </w:rPr>
        <w:t xml:space="preserve"> (HHS)</w:t>
      </w:r>
      <w:r w:rsidRPr="0066152C">
        <w:rPr>
          <w:rFonts w:cs="Arial"/>
        </w:rPr>
        <w:t xml:space="preserve">, among others.  A federal judge, temporarily enjoining the RIFs, said they were clearly politically motivated and intended to “punish the opposing party.”  She also focused on the impact, saying that staff do not know how exactly they will be impacted since human resources staff who might answer questions about healthcare or other issues are not working due </w:t>
      </w:r>
      <w:r w:rsidR="00266CAF">
        <w:rPr>
          <w:rFonts w:cs="Arial"/>
        </w:rPr>
        <w:t>to</w:t>
      </w:r>
      <w:r w:rsidR="00266CAF" w:rsidRPr="0066152C">
        <w:rPr>
          <w:rFonts w:cs="Arial"/>
        </w:rPr>
        <w:t xml:space="preserve"> </w:t>
      </w:r>
      <w:r w:rsidRPr="0066152C">
        <w:rPr>
          <w:rFonts w:cs="Arial"/>
        </w:rPr>
        <w:t>the shutdown.</w:t>
      </w:r>
    </w:p>
    <w:p w14:paraId="5B26C6AB" w14:textId="4E3BCB25" w:rsidR="009059D6" w:rsidRPr="0066152C" w:rsidRDefault="009059D6" w:rsidP="009059D6">
      <w:pPr>
        <w:rPr>
          <w:rFonts w:cs="Arial"/>
        </w:rPr>
      </w:pPr>
      <w:r w:rsidRPr="0066152C">
        <w:rPr>
          <w:rFonts w:cs="Arial"/>
        </w:rPr>
        <w:t xml:space="preserve">But </w:t>
      </w:r>
      <w:r w:rsidR="00B85E2A">
        <w:rPr>
          <w:rFonts w:cs="Arial"/>
        </w:rPr>
        <w:t>ED</w:t>
      </w:r>
      <w:r w:rsidRPr="0066152C">
        <w:rPr>
          <w:rFonts w:cs="Arial"/>
        </w:rPr>
        <w:t xml:space="preserve"> downplayed the impact, noting that some staff might be brought back if Congress passed an appropriations bill and </w:t>
      </w:r>
      <w:r w:rsidR="00266CAF">
        <w:rPr>
          <w:rFonts w:cs="Arial"/>
        </w:rPr>
        <w:t>claimed</w:t>
      </w:r>
      <w:r w:rsidR="00266CAF" w:rsidRPr="0066152C">
        <w:rPr>
          <w:rFonts w:cs="Arial"/>
        </w:rPr>
        <w:t xml:space="preserve"> </w:t>
      </w:r>
      <w:r w:rsidRPr="0066152C">
        <w:rPr>
          <w:rFonts w:cs="Arial"/>
        </w:rPr>
        <w:t xml:space="preserve">there would be no imminent harm because of the temporary nature of the layoffs.  In fact, many of the layoffs at </w:t>
      </w:r>
      <w:r w:rsidR="00B85E2A">
        <w:rPr>
          <w:rFonts w:cs="Arial"/>
        </w:rPr>
        <w:t>HHS</w:t>
      </w:r>
      <w:r w:rsidRPr="0066152C">
        <w:rPr>
          <w:rFonts w:cs="Arial"/>
        </w:rPr>
        <w:t xml:space="preserve"> were reversed earlier this week, with the government claiming they sent notices in error. </w:t>
      </w:r>
      <w:r w:rsidR="00B85E2A">
        <w:rPr>
          <w:rFonts w:cs="Arial"/>
        </w:rPr>
        <w:t xml:space="preserve"> </w:t>
      </w:r>
      <w:r w:rsidRPr="0066152C">
        <w:rPr>
          <w:rFonts w:cs="Arial"/>
        </w:rPr>
        <w:t>The judge dismissed these argument</w:t>
      </w:r>
      <w:r w:rsidR="00266CAF">
        <w:rPr>
          <w:rFonts w:cs="Arial"/>
        </w:rPr>
        <w:t>s</w:t>
      </w:r>
      <w:r w:rsidRPr="0066152C">
        <w:rPr>
          <w:rFonts w:cs="Arial"/>
        </w:rPr>
        <w:t xml:space="preserve">, citing likely public and personal impacts in the order </w:t>
      </w:r>
      <w:r w:rsidRPr="0066152C">
        <w:rPr>
          <w:rFonts w:cs="Arial"/>
        </w:rPr>
        <w:lastRenderedPageBreak/>
        <w:t>preventing the layoffs from going into effect while the case proceeds.</w:t>
      </w:r>
    </w:p>
    <w:p w14:paraId="79A06662" w14:textId="66ED1B70" w:rsidR="009059D6" w:rsidRPr="0066152C" w:rsidRDefault="009059D6" w:rsidP="009059D6">
      <w:pPr>
        <w:rPr>
          <w:rFonts w:cs="Arial"/>
        </w:rPr>
      </w:pPr>
      <w:r w:rsidRPr="0066152C">
        <w:rPr>
          <w:rFonts w:cs="Arial"/>
        </w:rPr>
        <w:t xml:space="preserve">Still, federal officials downplayed the impact of the RIF and the shutdown.  In a social media post this week, Secretary of Education Linda McMahon said that “[t]wo weeks in, millions of American students are still going to school, teachers are getting paid, and schools are operating as normal. </w:t>
      </w:r>
      <w:r w:rsidR="00B85E2A">
        <w:rPr>
          <w:rFonts w:cs="Arial"/>
        </w:rPr>
        <w:t xml:space="preserve"> </w:t>
      </w:r>
      <w:r w:rsidRPr="0066152C">
        <w:rPr>
          <w:rFonts w:cs="Arial"/>
        </w:rPr>
        <w:t>It confirms what the President has said: the federal Department of Education is unnecessary, and we should return education to the states.”  Before the judge issued her decision, the President said he would announce a new list of program</w:t>
      </w:r>
      <w:r w:rsidR="00266CAF">
        <w:rPr>
          <w:rFonts w:cs="Arial"/>
        </w:rPr>
        <w:t>s</w:t>
      </w:r>
      <w:r w:rsidRPr="0066152C">
        <w:rPr>
          <w:rFonts w:cs="Arial"/>
        </w:rPr>
        <w:t xml:space="preserve"> to cut should the shutdown continue.  “We’re closing up programs that are Democrat programs that we were opposed to,” he said Tuesday, calling some programs “the most egregious, socialist, semi communist” functions of the government.  “And they’re never going to come back in many cases.”</w:t>
      </w:r>
    </w:p>
    <w:p w14:paraId="1984BCC2" w14:textId="77777777" w:rsidR="009059D6" w:rsidRDefault="009059D6" w:rsidP="009059D6">
      <w:pPr>
        <w:rPr>
          <w:rFonts w:cs="Arial"/>
        </w:rPr>
      </w:pPr>
      <w:r w:rsidRPr="0066152C">
        <w:rPr>
          <w:rFonts w:cs="Arial"/>
        </w:rPr>
        <w:t>Author: JCM</w:t>
      </w:r>
    </w:p>
    <w:p w14:paraId="37D2601A" w14:textId="28C643B2" w:rsidR="003A72A0" w:rsidRDefault="003A72A0" w:rsidP="003A72A0">
      <w:pPr>
        <w:pStyle w:val="Heading3"/>
      </w:pPr>
      <w:bookmarkStart w:id="11" w:name="_Toc211517653"/>
      <w:r w:rsidRPr="006E75F9">
        <w:t>Supreme Court Declines to Hear Parental Rights Dispute</w:t>
      </w:r>
      <w:bookmarkEnd w:id="11"/>
    </w:p>
    <w:p w14:paraId="794DBFED" w14:textId="5F5894B3" w:rsidR="00A97F1B" w:rsidRDefault="00A97F1B" w:rsidP="00A97F1B">
      <w:pPr>
        <w:spacing w:after="240"/>
        <w:rPr>
          <w:rFonts w:eastAsia="Arial" w:cs="Arial"/>
        </w:rPr>
      </w:pPr>
      <w:r>
        <w:rPr>
          <w:rFonts w:eastAsia="Arial" w:cs="Arial"/>
        </w:rPr>
        <w:t xml:space="preserve">On Tuesday, the </w:t>
      </w:r>
      <w:r w:rsidR="00B85E2A">
        <w:rPr>
          <w:rFonts w:eastAsia="Arial" w:cs="Arial"/>
        </w:rPr>
        <w:t xml:space="preserve">U.S. </w:t>
      </w:r>
      <w:r>
        <w:rPr>
          <w:rFonts w:eastAsia="Arial" w:cs="Arial"/>
        </w:rPr>
        <w:t xml:space="preserve">Supreme Court declined to hear a case brought by parents arguing that a Colorado school district violated their constitutional rights by excluding them from discussions with students on gender identity. </w:t>
      </w:r>
    </w:p>
    <w:p w14:paraId="36C8DB2A" w14:textId="6CFC64CF" w:rsidR="00A97F1B" w:rsidRDefault="00A97F1B" w:rsidP="00A97F1B">
      <w:pPr>
        <w:spacing w:after="240"/>
        <w:rPr>
          <w:rFonts w:eastAsia="Arial" w:cs="Arial"/>
        </w:rPr>
      </w:pPr>
      <w:r>
        <w:rPr>
          <w:rFonts w:eastAsia="Arial" w:cs="Arial"/>
        </w:rPr>
        <w:t>Two sets of parents brought the case against Poudre School District R-1, which the parents say has policies that urge employees to conceal information about a student’s gender identity from parents.  According to the petition to the Court, district leaders directed staff to use a student’s preferred name or pronouns without informing the student’s parents.  Additionally, the parents say that their students were encouraged to attend after-school meetings of the</w:t>
      </w:r>
      <w:r w:rsidR="000F3B32">
        <w:rPr>
          <w:rFonts w:eastAsia="Arial" w:cs="Arial"/>
        </w:rPr>
        <w:t xml:space="preserve"> school’s</w:t>
      </w:r>
      <w:r>
        <w:rPr>
          <w:rFonts w:eastAsia="Arial" w:cs="Arial"/>
        </w:rPr>
        <w:t xml:space="preserve"> Gender and Sexualities Alliance</w:t>
      </w:r>
      <w:r w:rsidR="000F3B32">
        <w:rPr>
          <w:rFonts w:eastAsia="Arial" w:cs="Arial"/>
        </w:rPr>
        <w:t xml:space="preserve"> club</w:t>
      </w:r>
      <w:r>
        <w:rPr>
          <w:rFonts w:eastAsia="Arial" w:cs="Arial"/>
        </w:rPr>
        <w:t xml:space="preserve">.  During those meetings, students discussed gender identity, with some students sharing their own sexual orientation.  Teachers then </w:t>
      </w:r>
      <w:r w:rsidR="006D185F">
        <w:rPr>
          <w:rFonts w:eastAsia="Arial" w:cs="Arial"/>
        </w:rPr>
        <w:t xml:space="preserve">allegedly </w:t>
      </w:r>
      <w:r>
        <w:rPr>
          <w:rFonts w:eastAsia="Arial" w:cs="Arial"/>
        </w:rPr>
        <w:t>discouraged the students from discussing the content of the meetings with their parents.  When the parents reached out to the school’s principal, they were told that the meetings were intended to be private to ensure students felt that they had a safe space to share.  After this</w:t>
      </w:r>
      <w:r w:rsidR="006D185F">
        <w:rPr>
          <w:rFonts w:eastAsia="Arial" w:cs="Arial"/>
        </w:rPr>
        <w:t xml:space="preserve"> interaction</w:t>
      </w:r>
      <w:r>
        <w:rPr>
          <w:rFonts w:eastAsia="Arial" w:cs="Arial"/>
        </w:rPr>
        <w:t xml:space="preserve">, both sets of parents enrolled their children in private schools. </w:t>
      </w:r>
    </w:p>
    <w:p w14:paraId="528C9BAB" w14:textId="7B1BEB3E" w:rsidR="00A97F1B" w:rsidRDefault="00A97F1B" w:rsidP="00A97F1B">
      <w:pPr>
        <w:spacing w:after="240"/>
        <w:rPr>
          <w:rFonts w:eastAsia="Arial" w:cs="Arial"/>
        </w:rPr>
      </w:pPr>
      <w:r>
        <w:rPr>
          <w:rFonts w:eastAsia="Arial" w:cs="Arial"/>
        </w:rPr>
        <w:t xml:space="preserve">The parents filed the lawsuit in a district court, arguing that the district’s policies violated their parental rights under the Fourteenth Amendment.  The district court dismissed the case, finding that the parents </w:t>
      </w:r>
      <w:r w:rsidR="006D185F">
        <w:rPr>
          <w:rFonts w:eastAsia="Arial" w:cs="Arial"/>
        </w:rPr>
        <w:t>failed to provide</w:t>
      </w:r>
      <w:r>
        <w:rPr>
          <w:rFonts w:eastAsia="Arial" w:cs="Arial"/>
        </w:rPr>
        <w:t xml:space="preserve"> an official district policy that caused their injury.  The Tenth Circuit Court of Appeals upheld that decision.  The parents then petitioned the </w:t>
      </w:r>
      <w:r w:rsidR="006D185F">
        <w:rPr>
          <w:rFonts w:eastAsia="Arial" w:cs="Arial"/>
        </w:rPr>
        <w:t xml:space="preserve">Supreme </w:t>
      </w:r>
      <w:r>
        <w:rPr>
          <w:rFonts w:eastAsia="Arial" w:cs="Arial"/>
        </w:rPr>
        <w:t xml:space="preserve">Court and asked it to “clarify whether public schools may implement policies that effectively cancel the right of parents to determine the care, custody, and control of their children.” </w:t>
      </w:r>
    </w:p>
    <w:p w14:paraId="773CDEE9" w14:textId="3C5F8931" w:rsidR="00A97F1B" w:rsidRDefault="00A97F1B" w:rsidP="00A97F1B">
      <w:pPr>
        <w:spacing w:after="240"/>
        <w:rPr>
          <w:rFonts w:eastAsia="Arial" w:cs="Arial"/>
        </w:rPr>
      </w:pPr>
      <w:r>
        <w:rPr>
          <w:rFonts w:eastAsia="Arial" w:cs="Arial"/>
        </w:rPr>
        <w:t>While the Court declined to hear the case, Justice Samuel Alito, joined by</w:t>
      </w:r>
      <w:r>
        <w:rPr>
          <w:rFonts w:eastAsia="Arial" w:cs="Arial"/>
          <w:color w:val="101010"/>
          <w:highlight w:val="white"/>
        </w:rPr>
        <w:t xml:space="preserve"> Justices Clarence Thomas and Neil Gorsuch,</w:t>
      </w:r>
      <w:r>
        <w:rPr>
          <w:rFonts w:eastAsia="Arial" w:cs="Arial"/>
        </w:rPr>
        <w:t xml:space="preserve"> drafted a short statement regarding the Court’s decision.  Justice Alito wrote that although he agreed on the decision to decline review, he was concerned that courts have avoided the question of </w:t>
      </w:r>
      <w:r w:rsidR="00B85E2A">
        <w:rPr>
          <w:rFonts w:eastAsia="Arial" w:cs="Arial"/>
        </w:rPr>
        <w:t>“</w:t>
      </w:r>
      <w:r>
        <w:rPr>
          <w:rFonts w:eastAsia="Arial" w:cs="Arial"/>
        </w:rPr>
        <w:t xml:space="preserve">whether a school district violates parents’ fundamental rights ‘when, without parental knowledge or consent, it encourages a student to transition to a new gender or assists in that process.’”  He also </w:t>
      </w:r>
      <w:r>
        <w:rPr>
          <w:rFonts w:eastAsia="Arial" w:cs="Arial"/>
        </w:rPr>
        <w:lastRenderedPageBreak/>
        <w:t>mentions a claim made by the parents that almost 6,000 school districts around the country have implemented policies that “purposefully interfere with parents’ access to critical information about their children’s gender identity choices and school personnel’s involvement in and influence on those choices.”  Alito wrote that these were troubling and tragic allegations that present an important national question.</w:t>
      </w:r>
    </w:p>
    <w:p w14:paraId="75409125" w14:textId="77777777" w:rsidR="00A97F1B" w:rsidRDefault="00A97F1B" w:rsidP="00A97F1B">
      <w:pPr>
        <w:spacing w:after="0"/>
        <w:rPr>
          <w:rFonts w:eastAsia="Arial" w:cs="Arial"/>
        </w:rPr>
      </w:pPr>
      <w:r>
        <w:rPr>
          <w:rFonts w:eastAsia="Arial" w:cs="Arial"/>
        </w:rPr>
        <w:t xml:space="preserve">Resources: </w:t>
      </w:r>
    </w:p>
    <w:p w14:paraId="490D2610" w14:textId="77777777" w:rsidR="00A97F1B" w:rsidRDefault="00A97F1B" w:rsidP="00A97F1B">
      <w:pPr>
        <w:spacing w:before="0" w:after="0"/>
        <w:rPr>
          <w:rFonts w:eastAsia="Arial" w:cs="Arial"/>
        </w:rPr>
      </w:pPr>
      <w:r>
        <w:rPr>
          <w:rFonts w:eastAsia="Arial" w:cs="Arial"/>
        </w:rPr>
        <w:t xml:space="preserve">Bianca Quilantan, “Supreme Court refuses parental challenge to school district's gender identity policy,” </w:t>
      </w:r>
      <w:r>
        <w:rPr>
          <w:rFonts w:eastAsia="Arial" w:cs="Arial"/>
          <w:i/>
        </w:rPr>
        <w:t>Politico</w:t>
      </w:r>
      <w:r>
        <w:rPr>
          <w:rFonts w:eastAsia="Arial" w:cs="Arial"/>
        </w:rPr>
        <w:t xml:space="preserve">, October 14, 2025. </w:t>
      </w:r>
    </w:p>
    <w:p w14:paraId="181BB618" w14:textId="0F97CC2E" w:rsidR="003A72A0" w:rsidRPr="00A97F1B" w:rsidRDefault="00A97F1B" w:rsidP="00A97F1B">
      <w:pPr>
        <w:spacing w:before="0" w:after="0"/>
        <w:rPr>
          <w:rFonts w:eastAsia="Arial" w:cs="Arial"/>
        </w:rPr>
      </w:pPr>
      <w:r>
        <w:rPr>
          <w:rFonts w:eastAsia="Arial" w:cs="Arial"/>
        </w:rPr>
        <w:t xml:space="preserve">Author: BTW </w:t>
      </w:r>
    </w:p>
    <w:p w14:paraId="4083E018" w14:textId="4301245E" w:rsidR="00975697" w:rsidRDefault="00FE1F06" w:rsidP="00FE1F06">
      <w:pPr>
        <w:pStyle w:val="Heading3"/>
      </w:pPr>
      <w:bookmarkStart w:id="12" w:name="_Toc211517654"/>
      <w:r w:rsidRPr="0066152C">
        <w:t>Lawmakers Ask for Restoration of HSI Funding</w:t>
      </w:r>
      <w:bookmarkEnd w:id="12"/>
    </w:p>
    <w:p w14:paraId="01A94CED" w14:textId="796883ED" w:rsidR="007D3A12" w:rsidRPr="0066152C" w:rsidRDefault="007D3A12" w:rsidP="007D3A12">
      <w:pPr>
        <w:rPr>
          <w:rFonts w:cs="Arial"/>
        </w:rPr>
      </w:pPr>
      <w:r w:rsidRPr="0066152C">
        <w:rPr>
          <w:rFonts w:cs="Arial"/>
        </w:rPr>
        <w:t xml:space="preserve">Six Republican members of the Congressional Hispanic Conference have written to Secretary of Education Linda McMahon asking for funding for Hispanic Serving Institutions (HSIs) to be restored.  The </w:t>
      </w:r>
      <w:r w:rsidR="00B85E2A">
        <w:rPr>
          <w:rFonts w:cs="Arial"/>
        </w:rPr>
        <w:t xml:space="preserve">U.S. </w:t>
      </w:r>
      <w:r w:rsidRPr="0066152C">
        <w:rPr>
          <w:rFonts w:cs="Arial"/>
        </w:rPr>
        <w:t xml:space="preserve">Department of Education (ED) announced several weeks ago that it was using </w:t>
      </w:r>
      <w:r w:rsidR="00B85E2A">
        <w:rPr>
          <w:rFonts w:cs="Arial"/>
        </w:rPr>
        <w:t>it</w:t>
      </w:r>
      <w:r w:rsidRPr="0066152C">
        <w:rPr>
          <w:rFonts w:cs="Arial"/>
        </w:rPr>
        <w:t xml:space="preserve">s “statutory authority” to redirect $350 million for HSIs and other Minority Serving Institutions to </w:t>
      </w:r>
      <w:r w:rsidR="003155E9">
        <w:rPr>
          <w:rFonts w:cs="Arial"/>
        </w:rPr>
        <w:t>H</w:t>
      </w:r>
      <w:r w:rsidRPr="0066152C">
        <w:rPr>
          <w:rFonts w:cs="Arial"/>
        </w:rPr>
        <w:t xml:space="preserve">istorically Black </w:t>
      </w:r>
      <w:r w:rsidR="003155E9">
        <w:rPr>
          <w:rFonts w:cs="Arial"/>
        </w:rPr>
        <w:t>C</w:t>
      </w:r>
      <w:r w:rsidRPr="0066152C">
        <w:rPr>
          <w:rFonts w:cs="Arial"/>
        </w:rPr>
        <w:t xml:space="preserve">olleges </w:t>
      </w:r>
      <w:r w:rsidR="003155E9">
        <w:rPr>
          <w:rFonts w:cs="Arial"/>
        </w:rPr>
        <w:t xml:space="preserve">and Universities </w:t>
      </w:r>
      <w:r w:rsidRPr="0066152C">
        <w:rPr>
          <w:rFonts w:cs="Arial"/>
        </w:rPr>
        <w:t xml:space="preserve">and </w:t>
      </w:r>
      <w:proofErr w:type="gramStart"/>
      <w:r w:rsidR="003155E9">
        <w:rPr>
          <w:rFonts w:cs="Arial"/>
        </w:rPr>
        <w:t>T</w:t>
      </w:r>
      <w:r w:rsidRPr="0066152C">
        <w:rPr>
          <w:rFonts w:cs="Arial"/>
        </w:rPr>
        <w:t>ribally-</w:t>
      </w:r>
      <w:r w:rsidR="003155E9">
        <w:rPr>
          <w:rFonts w:cs="Arial"/>
        </w:rPr>
        <w:t>C</w:t>
      </w:r>
      <w:r w:rsidRPr="0066152C">
        <w:rPr>
          <w:rFonts w:cs="Arial"/>
        </w:rPr>
        <w:t>ontrolled</w:t>
      </w:r>
      <w:proofErr w:type="gramEnd"/>
      <w:r w:rsidRPr="0066152C">
        <w:rPr>
          <w:rFonts w:cs="Arial"/>
        </w:rPr>
        <w:t xml:space="preserve"> </w:t>
      </w:r>
      <w:r w:rsidR="003155E9">
        <w:rPr>
          <w:rFonts w:cs="Arial"/>
        </w:rPr>
        <w:t>C</w:t>
      </w:r>
      <w:r w:rsidRPr="0066152C">
        <w:rPr>
          <w:rFonts w:cs="Arial"/>
        </w:rPr>
        <w:t xml:space="preserve">olleges and </w:t>
      </w:r>
      <w:r w:rsidR="003155E9">
        <w:rPr>
          <w:rFonts w:cs="Arial"/>
        </w:rPr>
        <w:t>U</w:t>
      </w:r>
      <w:r w:rsidRPr="0066152C">
        <w:rPr>
          <w:rFonts w:cs="Arial"/>
        </w:rPr>
        <w:t>niversities.</w:t>
      </w:r>
    </w:p>
    <w:p w14:paraId="56F8CACE" w14:textId="6126020C" w:rsidR="007D3A12" w:rsidRPr="0066152C" w:rsidRDefault="007D3A12" w:rsidP="007D3A12">
      <w:pPr>
        <w:rPr>
          <w:rFonts w:cs="Arial"/>
        </w:rPr>
      </w:pPr>
      <w:r w:rsidRPr="0066152C">
        <w:rPr>
          <w:rFonts w:cs="Arial"/>
        </w:rPr>
        <w:t>ED said that the statutory provisions which define a Hispanic-Serving Institution as one with at least 25</w:t>
      </w:r>
      <w:r w:rsidR="003155E9">
        <w:rPr>
          <w:rFonts w:cs="Arial"/>
        </w:rPr>
        <w:t xml:space="preserve"> percent</w:t>
      </w:r>
      <w:r w:rsidRPr="0066152C">
        <w:rPr>
          <w:rFonts w:cs="Arial"/>
        </w:rPr>
        <w:t xml:space="preserve"> Hispanic undergraduates constitutes an unconstitutional racial quota, violating the </w:t>
      </w:r>
      <w:r w:rsidR="003155E9">
        <w:rPr>
          <w:rFonts w:cs="Arial"/>
        </w:rPr>
        <w:t>Fifth</w:t>
      </w:r>
      <w:r w:rsidRPr="0066152C">
        <w:rPr>
          <w:rFonts w:cs="Arial"/>
        </w:rPr>
        <w:t xml:space="preserve"> </w:t>
      </w:r>
      <w:r w:rsidR="003155E9">
        <w:rPr>
          <w:rFonts w:cs="Arial"/>
        </w:rPr>
        <w:t>A</w:t>
      </w:r>
      <w:r w:rsidRPr="0066152C">
        <w:rPr>
          <w:rFonts w:cs="Arial"/>
        </w:rPr>
        <w:t>mendment</w:t>
      </w:r>
      <w:r w:rsidR="003155E9">
        <w:rPr>
          <w:rFonts w:cs="Arial"/>
        </w:rPr>
        <w:t xml:space="preserve"> of the U.S. Constitution</w:t>
      </w:r>
      <w:r w:rsidRPr="0066152C">
        <w:rPr>
          <w:rFonts w:cs="Arial"/>
        </w:rPr>
        <w:t>.  Earlier this summer, the administration had declined to defend the program in a lawsuit brought by the State of Tennessee and the group Students for Fair Admission over this definition.</w:t>
      </w:r>
    </w:p>
    <w:p w14:paraId="21892F35" w14:textId="1086B902" w:rsidR="007D3A12" w:rsidRPr="0066152C" w:rsidRDefault="007D3A12" w:rsidP="007D3A12">
      <w:pPr>
        <w:rPr>
          <w:rFonts w:cs="Arial"/>
        </w:rPr>
      </w:pPr>
      <w:r w:rsidRPr="0066152C">
        <w:rPr>
          <w:rFonts w:cs="Arial"/>
        </w:rPr>
        <w:t>The letter says ED should differentiate between unconstitutional quotas created by institutions and eligibility thresholds set by Congress.  These institutions do not artificially seek to meet quotas to obtain federal funds,” the letter argues, citing institutions that are more than 50</w:t>
      </w:r>
      <w:r w:rsidR="003155E9">
        <w:rPr>
          <w:rFonts w:cs="Arial"/>
        </w:rPr>
        <w:t xml:space="preserve"> percent</w:t>
      </w:r>
      <w:r w:rsidRPr="0066152C">
        <w:rPr>
          <w:rFonts w:cs="Arial"/>
        </w:rPr>
        <w:t xml:space="preserve"> to 90</w:t>
      </w:r>
      <w:r w:rsidR="003155E9">
        <w:rPr>
          <w:rFonts w:cs="Arial"/>
        </w:rPr>
        <w:t xml:space="preserve"> percent</w:t>
      </w:r>
      <w:r w:rsidRPr="0066152C">
        <w:rPr>
          <w:rFonts w:cs="Arial"/>
        </w:rPr>
        <w:t xml:space="preserve"> Hispanic.  “[R]</w:t>
      </w:r>
      <w:proofErr w:type="spellStart"/>
      <w:r w:rsidRPr="0066152C">
        <w:rPr>
          <w:rFonts w:cs="Arial"/>
        </w:rPr>
        <w:t>ather</w:t>
      </w:r>
      <w:proofErr w:type="spellEnd"/>
      <w:r w:rsidRPr="0066152C">
        <w:rPr>
          <w:rFonts w:cs="Arial"/>
        </w:rPr>
        <w:t>, they serve the communities in which they are located.”  They continue to say it is about the community in which institutions are located, arguing that “[f]or these universities and many others serving predominantly Hispanic communities, failing to meet the 25 percent undergraduate population necessary for HSI designation would mean failing to serve their communities. Their eligibility is a byproduct of their mission—not a pursuit of quotas.”</w:t>
      </w:r>
    </w:p>
    <w:p w14:paraId="26E4D88D" w14:textId="6E57A88C" w:rsidR="007D3A12" w:rsidRPr="0066152C" w:rsidRDefault="007D3A12" w:rsidP="007D3A12">
      <w:pPr>
        <w:rPr>
          <w:rFonts w:cs="Arial"/>
        </w:rPr>
      </w:pPr>
      <w:r w:rsidRPr="0066152C">
        <w:rPr>
          <w:rFonts w:cs="Arial"/>
        </w:rPr>
        <w:t xml:space="preserve">The letter suggests that losing these funds undermines “critical investments in America’s workforce and research capacity” at institutions that are “directly advancing President Trump’s Agenda.”  </w:t>
      </w:r>
      <w:r w:rsidR="00276397">
        <w:rPr>
          <w:rFonts w:cs="Arial"/>
        </w:rPr>
        <w:t>The authors of the letter</w:t>
      </w:r>
      <w:r w:rsidR="00276397" w:rsidRPr="0066152C">
        <w:rPr>
          <w:rFonts w:cs="Arial"/>
        </w:rPr>
        <w:t xml:space="preserve"> </w:t>
      </w:r>
      <w:r w:rsidRPr="0066152C">
        <w:rPr>
          <w:rFonts w:cs="Arial"/>
        </w:rPr>
        <w:t>request that funding to those institutions be restored.</w:t>
      </w:r>
    </w:p>
    <w:p w14:paraId="345459F6" w14:textId="77777777" w:rsidR="007D3A12" w:rsidRPr="0066152C" w:rsidRDefault="007D3A12" w:rsidP="007D3A12">
      <w:pPr>
        <w:rPr>
          <w:rFonts w:cs="Arial"/>
        </w:rPr>
      </w:pPr>
      <w:hyperlink r:id="rId9" w:tooltip="letter on HSI funding" w:history="1">
        <w:r w:rsidRPr="0066152C">
          <w:rPr>
            <w:rStyle w:val="Hyperlink"/>
            <w:rFonts w:cs="Arial"/>
          </w:rPr>
          <w:t>The letter on HSI funding is here.</w:t>
        </w:r>
      </w:hyperlink>
    </w:p>
    <w:p w14:paraId="230C09D0" w14:textId="77777777" w:rsidR="007D3A12" w:rsidRDefault="007D3A12" w:rsidP="007D3A12">
      <w:pPr>
        <w:rPr>
          <w:rFonts w:cs="Arial"/>
        </w:rPr>
      </w:pPr>
      <w:r w:rsidRPr="0066152C">
        <w:rPr>
          <w:rFonts w:cs="Arial"/>
        </w:rPr>
        <w:t>Author: JCM</w:t>
      </w:r>
    </w:p>
    <w:p w14:paraId="5E215BB1" w14:textId="77777777" w:rsidR="001328DB" w:rsidRPr="009A4627" w:rsidRDefault="001328DB" w:rsidP="001328DB">
      <w:pPr>
        <w:pStyle w:val="Heading3"/>
      </w:pPr>
      <w:bookmarkStart w:id="13" w:name="_Toc211517655"/>
      <w:r w:rsidRPr="009A4627">
        <w:t>Stakeholder Groups Urge Caution Regarding AI Use</w:t>
      </w:r>
      <w:bookmarkEnd w:id="13"/>
    </w:p>
    <w:p w14:paraId="0C90C430" w14:textId="50ADF557" w:rsidR="00EF6AA3" w:rsidRPr="009A4627" w:rsidRDefault="00EF6AA3" w:rsidP="00EF6AA3">
      <w:pPr>
        <w:rPr>
          <w:rFonts w:cs="Arial"/>
        </w:rPr>
      </w:pPr>
      <w:r w:rsidRPr="009A4627">
        <w:rPr>
          <w:rFonts w:cs="Arial"/>
        </w:rPr>
        <w:t>The Center for Democracy and Technology (CDT)</w:t>
      </w:r>
      <w:r w:rsidR="003155E9">
        <w:rPr>
          <w:rFonts w:cs="Arial"/>
        </w:rPr>
        <w:t>,</w:t>
      </w:r>
      <w:r w:rsidRPr="009A4627">
        <w:rPr>
          <w:rFonts w:cs="Arial"/>
        </w:rPr>
        <w:t xml:space="preserve"> along with several other stakeholder organizations</w:t>
      </w:r>
      <w:r w:rsidR="003155E9">
        <w:rPr>
          <w:rFonts w:cs="Arial"/>
        </w:rPr>
        <w:t xml:space="preserve">, </w:t>
      </w:r>
      <w:r w:rsidRPr="009A4627">
        <w:rPr>
          <w:rFonts w:cs="Arial"/>
        </w:rPr>
        <w:t>issued a letter to Secretary of Education Linda McMahon on Oct</w:t>
      </w:r>
      <w:r w:rsidR="003155E9">
        <w:rPr>
          <w:rFonts w:cs="Arial"/>
        </w:rPr>
        <w:t>ober</w:t>
      </w:r>
      <w:r w:rsidRPr="009A4627">
        <w:rPr>
          <w:rFonts w:cs="Arial"/>
        </w:rPr>
        <w:t xml:space="preserve"> 7</w:t>
      </w:r>
      <w:r w:rsidRPr="009A4627">
        <w:rPr>
          <w:rFonts w:cs="Arial"/>
          <w:vertAlign w:val="superscript"/>
        </w:rPr>
        <w:t>th</w:t>
      </w:r>
      <w:r w:rsidRPr="009A4627">
        <w:rPr>
          <w:rFonts w:cs="Arial"/>
        </w:rPr>
        <w:t xml:space="preserve"> </w:t>
      </w:r>
      <w:r w:rsidRPr="009A4627">
        <w:rPr>
          <w:rFonts w:cs="Arial"/>
        </w:rPr>
        <w:lastRenderedPageBreak/>
        <w:t xml:space="preserve">warning about the growing risks of the use of Artificial Intelligence (AI) by students.  The letter notes the emphasis the current administration has placed on the use of AI by children and youth and cites </w:t>
      </w:r>
      <w:proofErr w:type="gramStart"/>
      <w:r w:rsidRPr="009A4627">
        <w:rPr>
          <w:rFonts w:cs="Arial"/>
        </w:rPr>
        <w:t>a number of</w:t>
      </w:r>
      <w:proofErr w:type="gramEnd"/>
      <w:r w:rsidRPr="009A4627">
        <w:rPr>
          <w:rFonts w:cs="Arial"/>
        </w:rPr>
        <w:t xml:space="preserve"> efforts to encourage its use.  Some of those efforts include the issuance of </w:t>
      </w:r>
      <w:r w:rsidR="003155E9">
        <w:rPr>
          <w:rFonts w:cs="Arial"/>
        </w:rPr>
        <w:t>“</w:t>
      </w:r>
      <w:hyperlink r:id="rId10" w:history="1">
        <w:r w:rsidRPr="003155E9">
          <w:rPr>
            <w:rStyle w:val="Hyperlink"/>
            <w:rFonts w:cs="Arial"/>
          </w:rPr>
          <w:t>Guidance on the Use of Federal Grant Funds to Improve Education Outcomes Using Artificial Intelligence (AI)</w:t>
        </w:r>
      </w:hyperlink>
      <w:r w:rsidRPr="009A4627">
        <w:rPr>
          <w:rFonts w:cs="Arial"/>
          <w:i/>
          <w:iCs/>
        </w:rPr>
        <w:t>,</w:t>
      </w:r>
      <w:r w:rsidR="003155E9">
        <w:rPr>
          <w:rFonts w:cs="Arial"/>
        </w:rPr>
        <w:t>”</w:t>
      </w:r>
      <w:r w:rsidRPr="009A4627">
        <w:rPr>
          <w:rFonts w:cs="Arial"/>
          <w:i/>
          <w:iCs/>
        </w:rPr>
        <w:t xml:space="preserve"> </w:t>
      </w:r>
      <w:r w:rsidRPr="009A4627">
        <w:rPr>
          <w:rFonts w:cs="Arial"/>
        </w:rPr>
        <w:t xml:space="preserve">soliciting comments on the </w:t>
      </w:r>
      <w:r w:rsidR="003155E9">
        <w:rPr>
          <w:rFonts w:cs="Arial"/>
        </w:rPr>
        <w:t>“</w:t>
      </w:r>
      <w:hyperlink r:id="rId11" w:history="1">
        <w:r w:rsidRPr="003155E9">
          <w:rPr>
            <w:rStyle w:val="Hyperlink"/>
            <w:rFonts w:cs="Arial"/>
          </w:rPr>
          <w:t>Secretary’s Supplemental Priority and Definitions on Advancing Artificial Intelligence in Education</w:t>
        </w:r>
      </w:hyperlink>
      <w:r w:rsidRPr="009A4627">
        <w:rPr>
          <w:rFonts w:cs="Arial"/>
          <w:i/>
          <w:iCs/>
        </w:rPr>
        <w:t>,</w:t>
      </w:r>
      <w:r w:rsidR="003155E9">
        <w:rPr>
          <w:rFonts w:cs="Arial"/>
        </w:rPr>
        <w:t>”</w:t>
      </w:r>
      <w:r w:rsidRPr="009A4627">
        <w:rPr>
          <w:rFonts w:cs="Arial"/>
          <w:i/>
          <w:iCs/>
        </w:rPr>
        <w:t xml:space="preserve"> </w:t>
      </w:r>
      <w:r w:rsidRPr="009A4627">
        <w:rPr>
          <w:rFonts w:cs="Arial"/>
        </w:rPr>
        <w:t xml:space="preserve">and the consideration of the </w:t>
      </w:r>
      <w:hyperlink r:id="rId12" w:history="1">
        <w:r w:rsidR="003155E9">
          <w:rPr>
            <w:rStyle w:val="Hyperlink"/>
            <w:rFonts w:cs="Arial"/>
          </w:rPr>
          <w:t>Recommending Artificial Intelligence Standards in Education, or RAISE, Act</w:t>
        </w:r>
      </w:hyperlink>
      <w:r w:rsidRPr="009A4627">
        <w:rPr>
          <w:rFonts w:cs="Arial"/>
        </w:rPr>
        <w:t xml:space="preserve"> in Congress which would encourage states to adopt academic standards related to AI and other emerging technologies.</w:t>
      </w:r>
    </w:p>
    <w:p w14:paraId="28C3292D" w14:textId="7FB20830" w:rsidR="00EF6AA3" w:rsidRPr="009A4627" w:rsidRDefault="00EF6AA3" w:rsidP="00EF6AA3">
      <w:pPr>
        <w:rPr>
          <w:rFonts w:cs="Arial"/>
        </w:rPr>
      </w:pPr>
      <w:r w:rsidRPr="009A4627">
        <w:rPr>
          <w:rFonts w:cs="Arial"/>
        </w:rPr>
        <w:t xml:space="preserve">While the letter discusses the potential benefits of AI use in the classroom, it also advises caution based on CDT research related to the ubiquitous use of AI by K-12 schools.  The research suggests there is a correlation between schools’ use of AI and detrimental effects on students’ real-life relationships.  CDT also </w:t>
      </w:r>
      <w:r w:rsidR="00276397" w:rsidRPr="009A4627">
        <w:rPr>
          <w:rFonts w:cs="Arial"/>
        </w:rPr>
        <w:t>highlight</w:t>
      </w:r>
      <w:r w:rsidR="00276397">
        <w:rPr>
          <w:rFonts w:cs="Arial"/>
        </w:rPr>
        <w:t>s</w:t>
      </w:r>
      <w:r w:rsidR="00276397" w:rsidRPr="009A4627">
        <w:rPr>
          <w:rFonts w:cs="Arial"/>
        </w:rPr>
        <w:t xml:space="preserve"> </w:t>
      </w:r>
      <w:r w:rsidRPr="009A4627">
        <w:rPr>
          <w:rFonts w:cs="Arial"/>
        </w:rPr>
        <w:t>concerns related to students’ relationships with AI tools.  This includes the use of AI for mental health or support, using it as an escape from real life, or even using AI to have a romantic relationship.  Additionally, CDT’s research demonstrates that the more students use AI in school settings, the more likely they are to be susceptible to data breaches, ransomware attacks, sexual harassment, and bullying.</w:t>
      </w:r>
    </w:p>
    <w:p w14:paraId="620F5E9D" w14:textId="75CF0B5D" w:rsidR="00EF6AA3" w:rsidRDefault="00EF6AA3" w:rsidP="00EF6AA3">
      <w:pPr>
        <w:rPr>
          <w:rFonts w:cs="Arial"/>
        </w:rPr>
      </w:pPr>
      <w:r w:rsidRPr="009A4627">
        <w:rPr>
          <w:rFonts w:cs="Arial"/>
        </w:rPr>
        <w:t xml:space="preserve">The letter calls on the </w:t>
      </w:r>
      <w:r w:rsidR="00D833DD">
        <w:rPr>
          <w:rFonts w:cs="Arial"/>
        </w:rPr>
        <w:t xml:space="preserve">U.S. </w:t>
      </w:r>
      <w:r w:rsidRPr="009A4627">
        <w:rPr>
          <w:rFonts w:cs="Arial"/>
        </w:rPr>
        <w:t xml:space="preserve">Department of Education to incorporate </w:t>
      </w:r>
      <w:r w:rsidR="003155E9">
        <w:rPr>
          <w:rFonts w:cs="Arial"/>
        </w:rPr>
        <w:t xml:space="preserve">the </w:t>
      </w:r>
      <w:r w:rsidRPr="003155E9">
        <w:rPr>
          <w:rFonts w:cs="Arial"/>
        </w:rPr>
        <w:t xml:space="preserve">Principles for Responsible Use </w:t>
      </w:r>
      <w:r w:rsidRPr="009A4627">
        <w:rPr>
          <w:rFonts w:cs="Arial"/>
        </w:rPr>
        <w:t xml:space="preserve">of AI outlined </w:t>
      </w:r>
      <w:r w:rsidR="00276397">
        <w:rPr>
          <w:rFonts w:cs="Arial"/>
        </w:rPr>
        <w:t xml:space="preserve">in </w:t>
      </w:r>
      <w:r w:rsidRPr="009A4627">
        <w:rPr>
          <w:rFonts w:cs="Arial"/>
        </w:rPr>
        <w:t xml:space="preserve">its </w:t>
      </w:r>
      <w:r w:rsidR="003155E9">
        <w:rPr>
          <w:rFonts w:cs="Arial"/>
        </w:rPr>
        <w:t>“</w:t>
      </w:r>
      <w:r w:rsidRPr="003155E9">
        <w:rPr>
          <w:rFonts w:cs="Arial"/>
        </w:rPr>
        <w:t>Guidance on the Use of Federal Grant Funds to Improve Education Outcomes Using Artificial Intelligence,</w:t>
      </w:r>
      <w:r w:rsidR="003155E9">
        <w:rPr>
          <w:rFonts w:cs="Arial"/>
        </w:rPr>
        <w:t>”</w:t>
      </w:r>
      <w:r w:rsidRPr="009A4627">
        <w:rPr>
          <w:rFonts w:cs="Arial"/>
        </w:rPr>
        <w:t xml:space="preserve"> and states that these principles are “critical to realizing the benefits of AI use in K-12 schools while minimizing harms to students.”</w:t>
      </w:r>
    </w:p>
    <w:p w14:paraId="02ADA0E1" w14:textId="77777777" w:rsidR="00EF6AA3" w:rsidRPr="009A4627" w:rsidRDefault="00EF6AA3" w:rsidP="00EF6AA3">
      <w:pPr>
        <w:rPr>
          <w:rFonts w:cs="Arial"/>
        </w:rPr>
      </w:pPr>
      <w:hyperlink r:id="rId13" w:tooltip="The letter on AI is available here" w:history="1">
        <w:r w:rsidRPr="009A4627">
          <w:rPr>
            <w:rStyle w:val="Hyperlink"/>
            <w:rFonts w:cs="Arial"/>
          </w:rPr>
          <w:t>The letter on AI is available here</w:t>
        </w:r>
      </w:hyperlink>
      <w:r>
        <w:rPr>
          <w:rFonts w:cs="Arial"/>
        </w:rPr>
        <w:t>.</w:t>
      </w:r>
    </w:p>
    <w:p w14:paraId="531DFFDA" w14:textId="17D90312" w:rsidR="001328DB" w:rsidRPr="00EF6AA3" w:rsidRDefault="00EF6AA3" w:rsidP="007D3A12">
      <w:r>
        <w:rPr>
          <w:rFonts w:cs="Arial"/>
        </w:rPr>
        <w:t>Author: SMM</w:t>
      </w:r>
      <w:r>
        <w:t xml:space="preserve"> </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EECA0C0"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xml:space="preserve">, </w:t>
      </w:r>
      <w:r w:rsidR="00AA1407">
        <w:rPr>
          <w:rFonts w:eastAsia="Times New Roman" w:cs="Arial"/>
        </w:rPr>
        <w:t xml:space="preserve">Shane Morrisey, </w:t>
      </w:r>
      <w:r w:rsidR="00441925">
        <w:rPr>
          <w:rFonts w:eastAsia="Times New Roman" w:cs="Arial"/>
        </w:rPr>
        <w:t>Brandi Wills</w:t>
      </w:r>
    </w:p>
    <w:p w14:paraId="0D2EA429" w14:textId="067F5F23" w:rsidR="001C510D" w:rsidRDefault="001C510D" w:rsidP="2193F663">
      <w:pPr>
        <w:spacing w:before="240" w:after="240"/>
        <w:rPr>
          <w:rFonts w:eastAsia="Times New Roman" w:cs="Arial"/>
        </w:rPr>
      </w:pPr>
      <w:r w:rsidRPr="001C510D">
        <w:rPr>
          <w:rFonts w:eastAsia="Times New Roman" w:cs="Arial"/>
        </w:rPr>
        <w:t>Posted by the California Department of Education, October 2025</w:t>
      </w:r>
    </w:p>
    <w:sectPr w:rsidR="001C510D" w:rsidSect="008C514B">
      <w:headerReference w:type="default" r:id="rId14"/>
      <w:footerReference w:type="default" r:id="rId15"/>
      <w:headerReference w:type="firs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7AC9" w14:textId="77777777" w:rsidR="003E6FE2" w:rsidRDefault="003E6FE2">
      <w:pPr>
        <w:spacing w:before="0" w:after="0"/>
      </w:pPr>
      <w:r>
        <w:separator/>
      </w:r>
    </w:p>
  </w:endnote>
  <w:endnote w:type="continuationSeparator" w:id="0">
    <w:p w14:paraId="5052D400" w14:textId="77777777" w:rsidR="003E6FE2" w:rsidRDefault="003E6FE2">
      <w:pPr>
        <w:spacing w:before="0" w:after="0"/>
      </w:pPr>
      <w:r>
        <w:continuationSeparator/>
      </w:r>
    </w:p>
  </w:endnote>
  <w:endnote w:type="continuationNotice" w:id="1">
    <w:p w14:paraId="3A721497" w14:textId="77777777" w:rsidR="003E6FE2" w:rsidRDefault="003E6F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D33F" w14:textId="77777777" w:rsidR="003E6FE2" w:rsidRDefault="003E6FE2">
      <w:pPr>
        <w:spacing w:before="0" w:after="0"/>
      </w:pPr>
      <w:r>
        <w:separator/>
      </w:r>
    </w:p>
  </w:footnote>
  <w:footnote w:type="continuationSeparator" w:id="0">
    <w:p w14:paraId="60CA0C5A" w14:textId="77777777" w:rsidR="003E6FE2" w:rsidRDefault="003E6FE2">
      <w:pPr>
        <w:spacing w:before="0" w:after="0"/>
      </w:pPr>
      <w:r>
        <w:continuationSeparator/>
      </w:r>
    </w:p>
  </w:footnote>
  <w:footnote w:type="continuationNotice" w:id="1">
    <w:p w14:paraId="7EF809C2" w14:textId="77777777" w:rsidR="003E6FE2" w:rsidRDefault="003E6F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6C75DC9" w:rsidR="003C7552" w:rsidRPr="00662BDC" w:rsidRDefault="00FD591E" w:rsidP="000A590A">
    <w:pPr>
      <w:pStyle w:val="NoSpacing"/>
      <w:tabs>
        <w:tab w:val="left" w:pos="7920"/>
      </w:tabs>
    </w:pPr>
    <w:r>
      <w:t xml:space="preserve">October </w:t>
    </w:r>
    <w:r w:rsidR="00500A68">
      <w:t>1</w:t>
    </w:r>
    <w:r w:rsidR="00925057">
      <w:t>7</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883"/>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10D"/>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178"/>
    <w:rsid w:val="003E7189"/>
    <w:rsid w:val="003E75BA"/>
    <w:rsid w:val="003E7617"/>
    <w:rsid w:val="003E7619"/>
    <w:rsid w:val="003E77A1"/>
    <w:rsid w:val="003E77AA"/>
    <w:rsid w:val="003E78B1"/>
    <w:rsid w:val="003E7991"/>
    <w:rsid w:val="003E7C1F"/>
    <w:rsid w:val="003E7D11"/>
    <w:rsid w:val="003F0546"/>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565"/>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981"/>
    <w:rsid w:val="00674B52"/>
    <w:rsid w:val="00675104"/>
    <w:rsid w:val="00675193"/>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AC3"/>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DCE"/>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48"/>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3774C"/>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t.org/wp-content/uploads/2025/10/CDT-AI_ED_FLOTUS-Sign-On-Letter-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sted.senate.gov/press-releases/husted-leads-bill-to-integrate-ai-in-classrooms-prepare-american-stud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5/07/21/2025-13650/proposed-priority-and-definitions-secretarys-supplemental-priority-and-definitions-on-advan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gov/media/document/opepd-ai-dear-colleague-letter-7222025-11042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nzales.house.gov/_cache/files/f/6/f6a5e84b-1f10-4d9d-b6d1-b3e6edd29202/A490840A27A5BA9639BEB01B0F58F807BC51EF819636FF773E453A1FA0EA339C.10.8.25-chc-hsi-funding-letter.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2261</Words>
  <Characters>12391</Characters>
  <Application>Microsoft Office Word</Application>
  <DocSecurity>0</DocSecurity>
  <Lines>213</Lines>
  <Paragraphs>74</Paragraphs>
  <ScaleCrop>false</ScaleCrop>
  <HeadingPairs>
    <vt:vector size="2" baseType="variant">
      <vt:variant>
        <vt:lpstr>Title</vt:lpstr>
      </vt:variant>
      <vt:variant>
        <vt:i4>1</vt:i4>
      </vt:variant>
    </vt:vector>
  </HeadingPairs>
  <TitlesOfParts>
    <vt:vector size="1" baseType="lpstr">
      <vt:lpstr>Federal Update: October 17, Government Affairs (CA Dept of Education)</vt:lpstr>
    </vt:vector>
  </TitlesOfParts>
  <Company/>
  <LinksUpToDate>false</LinksUpToDate>
  <CharactersWithSpaces>14578</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17 - Government Affairs (CA Dept of Education)</dc:title>
  <dc:subject>Federal Updates for October 17, 2025.</dc:subject>
  <dc:creator/>
  <cp:keywords/>
  <dc:description/>
  <cp:lastModifiedBy/>
  <cp:revision>1</cp:revision>
  <dcterms:created xsi:type="dcterms:W3CDTF">2025-11-19T16:41:00Z</dcterms:created>
  <dcterms:modified xsi:type="dcterms:W3CDTF">2025-11-19T16:41:00Z</dcterms:modified>
</cp:coreProperties>
</file>