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3E3F96DC" w:rsidR="0042468E" w:rsidRPr="00861A5A" w:rsidRDefault="0042468E" w:rsidP="00861A5A">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861A5A">
        <w:rPr>
          <w:rFonts w:ascii="Arial" w:eastAsia="Verdana" w:hAnsi="Arial" w:cs="Times New Roman"/>
          <w:b/>
          <w:bCs/>
          <w:color w:val="auto"/>
        </w:rPr>
        <w:t xml:space="preserve">The Federal Update for </w:t>
      </w:r>
      <w:bookmarkEnd w:id="0"/>
      <w:bookmarkEnd w:id="1"/>
      <w:bookmarkEnd w:id="2"/>
      <w:bookmarkEnd w:id="3"/>
      <w:bookmarkEnd w:id="4"/>
      <w:bookmarkEnd w:id="5"/>
      <w:r w:rsidR="00666BC7" w:rsidRPr="00861A5A">
        <w:rPr>
          <w:rFonts w:ascii="Arial" w:eastAsia="Verdana" w:hAnsi="Arial" w:cs="Times New Roman"/>
          <w:b/>
          <w:bCs/>
          <w:color w:val="auto"/>
        </w:rPr>
        <w:t xml:space="preserve">November </w:t>
      </w:r>
      <w:r w:rsidR="005170E2" w:rsidRPr="00861A5A">
        <w:rPr>
          <w:rFonts w:ascii="Arial" w:eastAsia="Verdana" w:hAnsi="Arial" w:cs="Times New Roman"/>
          <w:b/>
          <w:bCs/>
          <w:color w:val="auto"/>
        </w:rPr>
        <w:t>14</w:t>
      </w:r>
      <w:r w:rsidR="007C6E27" w:rsidRPr="00861A5A">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7454A401" w:rsidR="0063135C" w:rsidRDefault="00D0389C" w:rsidP="009B424F">
      <w:pPr>
        <w:pStyle w:val="MessageHeader"/>
        <w:spacing w:after="240"/>
      </w:pPr>
      <w:r>
        <w:t>Date:</w:t>
      </w:r>
      <w:r>
        <w:tab/>
      </w:r>
      <w:r w:rsidR="00666BC7">
        <w:t xml:space="preserve">November </w:t>
      </w:r>
      <w:r w:rsidR="005170E2">
        <w:t>14</w:t>
      </w:r>
      <w:r w:rsidR="559A70F6">
        <w:t>,</w:t>
      </w:r>
      <w:r w:rsidR="007C6E27">
        <w:t xml:space="preserve"> 2025</w:t>
      </w:r>
    </w:p>
    <w:p w14:paraId="0F6988B7" w14:textId="45B9768E" w:rsidR="000851DF"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4005662" w:history="1">
        <w:r w:rsidR="000851DF" w:rsidRPr="00094679">
          <w:rPr>
            <w:rStyle w:val="Hyperlink"/>
          </w:rPr>
          <w:t>Legislation and Guidance</w:t>
        </w:r>
        <w:r w:rsidR="000851DF">
          <w:rPr>
            <w:webHidden/>
          </w:rPr>
          <w:tab/>
        </w:r>
        <w:r w:rsidR="000851DF">
          <w:rPr>
            <w:webHidden/>
          </w:rPr>
          <w:fldChar w:fldCharType="begin"/>
        </w:r>
        <w:r w:rsidR="000851DF">
          <w:rPr>
            <w:webHidden/>
          </w:rPr>
          <w:instrText xml:space="preserve"> PAGEREF _Toc214005662 \h </w:instrText>
        </w:r>
        <w:r w:rsidR="000851DF">
          <w:rPr>
            <w:webHidden/>
          </w:rPr>
        </w:r>
        <w:r w:rsidR="000851DF">
          <w:rPr>
            <w:webHidden/>
          </w:rPr>
          <w:fldChar w:fldCharType="separate"/>
        </w:r>
        <w:r w:rsidR="000851DF">
          <w:rPr>
            <w:webHidden/>
          </w:rPr>
          <w:t>1</w:t>
        </w:r>
        <w:r w:rsidR="000851DF">
          <w:rPr>
            <w:webHidden/>
          </w:rPr>
          <w:fldChar w:fldCharType="end"/>
        </w:r>
      </w:hyperlink>
    </w:p>
    <w:p w14:paraId="5EAE99A3" w14:textId="3B027755" w:rsidR="000851DF" w:rsidRDefault="000851DF">
      <w:pPr>
        <w:pStyle w:val="TOC3"/>
        <w:rPr>
          <w:rFonts w:asciiTheme="minorHAnsi" w:eastAsiaTheme="minorEastAsia" w:hAnsiTheme="minorHAnsi" w:cstheme="minorBidi"/>
          <w:b w:val="0"/>
          <w:kern w:val="2"/>
          <w:sz w:val="24"/>
          <w:szCs w:val="24"/>
          <w14:ligatures w14:val="standardContextual"/>
        </w:rPr>
      </w:pPr>
      <w:hyperlink w:anchor="_Toc214005663" w:history="1">
        <w:r w:rsidRPr="00094679">
          <w:rPr>
            <w:rStyle w:val="Hyperlink"/>
          </w:rPr>
          <w:t>Government Shutdown Ends After 44 Days</w:t>
        </w:r>
        <w:r>
          <w:rPr>
            <w:webHidden/>
          </w:rPr>
          <w:tab/>
        </w:r>
        <w:r>
          <w:rPr>
            <w:webHidden/>
          </w:rPr>
          <w:fldChar w:fldCharType="begin"/>
        </w:r>
        <w:r>
          <w:rPr>
            <w:webHidden/>
          </w:rPr>
          <w:instrText xml:space="preserve"> PAGEREF _Toc214005663 \h </w:instrText>
        </w:r>
        <w:r>
          <w:rPr>
            <w:webHidden/>
          </w:rPr>
        </w:r>
        <w:r>
          <w:rPr>
            <w:webHidden/>
          </w:rPr>
          <w:fldChar w:fldCharType="separate"/>
        </w:r>
        <w:r>
          <w:rPr>
            <w:webHidden/>
          </w:rPr>
          <w:t>1</w:t>
        </w:r>
        <w:r>
          <w:rPr>
            <w:webHidden/>
          </w:rPr>
          <w:fldChar w:fldCharType="end"/>
        </w:r>
      </w:hyperlink>
    </w:p>
    <w:p w14:paraId="6B48F527" w14:textId="2E969C1F" w:rsidR="000851DF" w:rsidRDefault="000851DF">
      <w:pPr>
        <w:pStyle w:val="TOC2"/>
        <w:rPr>
          <w:rFonts w:asciiTheme="minorHAnsi" w:eastAsiaTheme="minorEastAsia" w:hAnsiTheme="minorHAnsi" w:cstheme="minorBidi"/>
          <w:b w:val="0"/>
          <w:kern w:val="2"/>
          <w:sz w:val="24"/>
          <w:szCs w:val="24"/>
          <w14:ligatures w14:val="standardContextual"/>
        </w:rPr>
      </w:pPr>
      <w:hyperlink w:anchor="_Toc214005664" w:history="1">
        <w:r w:rsidRPr="00094679">
          <w:rPr>
            <w:rStyle w:val="Hyperlink"/>
          </w:rPr>
          <w:t>News</w:t>
        </w:r>
        <w:r>
          <w:rPr>
            <w:webHidden/>
          </w:rPr>
          <w:tab/>
        </w:r>
        <w:r>
          <w:rPr>
            <w:webHidden/>
          </w:rPr>
          <w:fldChar w:fldCharType="begin"/>
        </w:r>
        <w:r>
          <w:rPr>
            <w:webHidden/>
          </w:rPr>
          <w:instrText xml:space="preserve"> PAGEREF _Toc214005664 \h </w:instrText>
        </w:r>
        <w:r>
          <w:rPr>
            <w:webHidden/>
          </w:rPr>
        </w:r>
        <w:r>
          <w:rPr>
            <w:webHidden/>
          </w:rPr>
          <w:fldChar w:fldCharType="separate"/>
        </w:r>
        <w:r>
          <w:rPr>
            <w:webHidden/>
          </w:rPr>
          <w:t>2</w:t>
        </w:r>
        <w:r>
          <w:rPr>
            <w:webHidden/>
          </w:rPr>
          <w:fldChar w:fldCharType="end"/>
        </w:r>
      </w:hyperlink>
    </w:p>
    <w:p w14:paraId="68F1CB6E" w14:textId="31876391" w:rsidR="000851DF" w:rsidRDefault="000851DF">
      <w:pPr>
        <w:pStyle w:val="TOC3"/>
        <w:rPr>
          <w:rFonts w:asciiTheme="minorHAnsi" w:eastAsiaTheme="minorEastAsia" w:hAnsiTheme="minorHAnsi" w:cstheme="minorBidi"/>
          <w:b w:val="0"/>
          <w:kern w:val="2"/>
          <w:sz w:val="24"/>
          <w:szCs w:val="24"/>
          <w14:ligatures w14:val="standardContextual"/>
        </w:rPr>
      </w:pPr>
      <w:hyperlink w:anchor="_Toc214005665" w:history="1">
        <w:r w:rsidRPr="00094679">
          <w:rPr>
            <w:rStyle w:val="Hyperlink"/>
          </w:rPr>
          <w:t>ED Issues New FIPSE Grant Competitions</w:t>
        </w:r>
        <w:r>
          <w:rPr>
            <w:webHidden/>
          </w:rPr>
          <w:tab/>
        </w:r>
        <w:r>
          <w:rPr>
            <w:webHidden/>
          </w:rPr>
          <w:fldChar w:fldCharType="begin"/>
        </w:r>
        <w:r>
          <w:rPr>
            <w:webHidden/>
          </w:rPr>
          <w:instrText xml:space="preserve"> PAGEREF _Toc214005665 \h </w:instrText>
        </w:r>
        <w:r>
          <w:rPr>
            <w:webHidden/>
          </w:rPr>
        </w:r>
        <w:r>
          <w:rPr>
            <w:webHidden/>
          </w:rPr>
          <w:fldChar w:fldCharType="separate"/>
        </w:r>
        <w:r>
          <w:rPr>
            <w:webHidden/>
          </w:rPr>
          <w:t>2</w:t>
        </w:r>
        <w:r>
          <w:rPr>
            <w:webHidden/>
          </w:rPr>
          <w:fldChar w:fldCharType="end"/>
        </w:r>
      </w:hyperlink>
    </w:p>
    <w:p w14:paraId="1F163B51" w14:textId="4DF7CE05" w:rsidR="000851DF" w:rsidRDefault="000851DF">
      <w:pPr>
        <w:pStyle w:val="TOC3"/>
        <w:rPr>
          <w:rFonts w:asciiTheme="minorHAnsi" w:eastAsiaTheme="minorEastAsia" w:hAnsiTheme="minorHAnsi" w:cstheme="minorBidi"/>
          <w:b w:val="0"/>
          <w:kern w:val="2"/>
          <w:sz w:val="24"/>
          <w:szCs w:val="24"/>
          <w14:ligatures w14:val="standardContextual"/>
        </w:rPr>
      </w:pPr>
      <w:hyperlink w:anchor="_Toc214005666" w:history="1">
        <w:r w:rsidRPr="00094679">
          <w:rPr>
            <w:rStyle w:val="Hyperlink"/>
          </w:rPr>
          <w:t>Supreme Court Sets Date for Sports Cases</w:t>
        </w:r>
        <w:r>
          <w:rPr>
            <w:webHidden/>
          </w:rPr>
          <w:tab/>
        </w:r>
        <w:r>
          <w:rPr>
            <w:webHidden/>
          </w:rPr>
          <w:fldChar w:fldCharType="begin"/>
        </w:r>
        <w:r>
          <w:rPr>
            <w:webHidden/>
          </w:rPr>
          <w:instrText xml:space="preserve"> PAGEREF _Toc214005666 \h </w:instrText>
        </w:r>
        <w:r>
          <w:rPr>
            <w:webHidden/>
          </w:rPr>
        </w:r>
        <w:r>
          <w:rPr>
            <w:webHidden/>
          </w:rPr>
          <w:fldChar w:fldCharType="separate"/>
        </w:r>
        <w:r>
          <w:rPr>
            <w:webHidden/>
          </w:rPr>
          <w:t>3</w:t>
        </w:r>
        <w:r>
          <w:rPr>
            <w:webHidden/>
          </w:rPr>
          <w:fldChar w:fldCharType="end"/>
        </w:r>
      </w:hyperlink>
    </w:p>
    <w:p w14:paraId="32EE4BAC" w14:textId="517BC5CE" w:rsidR="000851DF" w:rsidRDefault="000851DF">
      <w:pPr>
        <w:pStyle w:val="TOC3"/>
        <w:rPr>
          <w:rFonts w:asciiTheme="minorHAnsi" w:eastAsiaTheme="minorEastAsia" w:hAnsiTheme="minorHAnsi" w:cstheme="minorBidi"/>
          <w:b w:val="0"/>
          <w:kern w:val="2"/>
          <w:sz w:val="24"/>
          <w:szCs w:val="24"/>
          <w14:ligatures w14:val="standardContextual"/>
        </w:rPr>
      </w:pPr>
      <w:hyperlink w:anchor="_Toc214005667" w:history="1">
        <w:r w:rsidRPr="00094679">
          <w:rPr>
            <w:rStyle w:val="Hyperlink"/>
          </w:rPr>
          <w:t>President Designates New Acting ED IG</w:t>
        </w:r>
        <w:r>
          <w:rPr>
            <w:webHidden/>
          </w:rPr>
          <w:tab/>
        </w:r>
        <w:r>
          <w:rPr>
            <w:webHidden/>
          </w:rPr>
          <w:fldChar w:fldCharType="begin"/>
        </w:r>
        <w:r>
          <w:rPr>
            <w:webHidden/>
          </w:rPr>
          <w:instrText xml:space="preserve"> PAGEREF _Toc214005667 \h </w:instrText>
        </w:r>
        <w:r>
          <w:rPr>
            <w:webHidden/>
          </w:rPr>
        </w:r>
        <w:r>
          <w:rPr>
            <w:webHidden/>
          </w:rPr>
          <w:fldChar w:fldCharType="separate"/>
        </w:r>
        <w:r>
          <w:rPr>
            <w:webHidden/>
          </w:rPr>
          <w:t>3</w:t>
        </w:r>
        <w:r>
          <w:rPr>
            <w:webHidden/>
          </w:rPr>
          <w:fldChar w:fldCharType="end"/>
        </w:r>
      </w:hyperlink>
    </w:p>
    <w:p w14:paraId="553D207F" w14:textId="7AD9D6A1" w:rsidR="003F0F36" w:rsidRDefault="2B7AD178" w:rsidP="00B54051">
      <w:pPr>
        <w:pStyle w:val="TOC3"/>
      </w:pPr>
      <w:r>
        <w:fldChar w:fldCharType="end"/>
      </w:r>
    </w:p>
    <w:p w14:paraId="282666D4" w14:textId="210FA7A7" w:rsidR="00AA464C" w:rsidRDefault="00834042" w:rsidP="00861A5A">
      <w:pPr>
        <w:jc w:val="center"/>
      </w:pPr>
      <w:bookmarkStart w:id="6" w:name="_Toc214005662"/>
      <w:r>
        <w:t>Legislation and Guidance</w:t>
      </w:r>
      <w:bookmarkEnd w:id="6"/>
    </w:p>
    <w:p w14:paraId="7F0A4427" w14:textId="67D2E297" w:rsidR="00BE2D0D" w:rsidRPr="00FE78E3" w:rsidRDefault="0019109A" w:rsidP="0019109A">
      <w:pPr>
        <w:pStyle w:val="Heading3"/>
      </w:pPr>
      <w:bookmarkStart w:id="7" w:name="_Toc214005663"/>
      <w:r>
        <w:t>Government Shutdo</w:t>
      </w:r>
      <w:r w:rsidR="009D5B2A">
        <w:t>wn Ends After 44 Days</w:t>
      </w:r>
      <w:bookmarkEnd w:id="7"/>
    </w:p>
    <w:p w14:paraId="5829F79D" w14:textId="77777777" w:rsidR="00DC6034" w:rsidRPr="00441D2B" w:rsidRDefault="00DC6034" w:rsidP="00DC6034">
      <w:pPr>
        <w:rPr>
          <w:rFonts w:cs="Arial"/>
        </w:rPr>
      </w:pPr>
      <w:r w:rsidRPr="00441D2B">
        <w:rPr>
          <w:rFonts w:cs="Arial"/>
        </w:rPr>
        <w:t>The President signed into law a continuing resolution (CR) on Wednesday night that will reopen the federal government and extend fiscal year 2025 funding levels through January 30</w:t>
      </w:r>
      <w:r w:rsidRPr="00441D2B">
        <w:rPr>
          <w:rFonts w:cs="Arial"/>
          <w:vertAlign w:val="superscript"/>
        </w:rPr>
        <w:t>th</w:t>
      </w:r>
      <w:r w:rsidRPr="00441D2B">
        <w:rPr>
          <w:rFonts w:cs="Arial"/>
        </w:rPr>
        <w:t xml:space="preserve"> for most federal agencies.  The legislative package also included three full-year spending bills for fiscal year 2026, including the Agriculture-Federal Drug Administration, Military Construction-Veterans Affairs, and Legislative Branch funding bills.  </w:t>
      </w:r>
    </w:p>
    <w:p w14:paraId="5D0D308E" w14:textId="43D5A1AF" w:rsidR="00DC6034" w:rsidRPr="00441D2B" w:rsidRDefault="00DC6034" w:rsidP="00DC6034">
      <w:pPr>
        <w:rPr>
          <w:rFonts w:cs="Arial"/>
        </w:rPr>
      </w:pPr>
      <w:r w:rsidRPr="00441D2B">
        <w:rPr>
          <w:rFonts w:cs="Arial"/>
        </w:rPr>
        <w:t xml:space="preserve">The deal to end the 44-day government shutdown came together over the past week, with the Senate taking votes starting Sunday and final House passage on Wednesday.  Democrats’ key demand of extending healthcare subsidies under the Affordable Care Act was not included in the package, but Republican leaders have promised a vote </w:t>
      </w:r>
      <w:r w:rsidR="002515AF">
        <w:rPr>
          <w:rFonts w:cs="Arial"/>
        </w:rPr>
        <w:t xml:space="preserve">in the Senate </w:t>
      </w:r>
      <w:r w:rsidRPr="00441D2B">
        <w:rPr>
          <w:rFonts w:cs="Arial"/>
        </w:rPr>
        <w:t xml:space="preserve">on the extension in the coming weeks.  </w:t>
      </w:r>
      <w:r w:rsidR="002515AF">
        <w:rPr>
          <w:rFonts w:cs="Arial"/>
        </w:rPr>
        <w:t xml:space="preserve">House Republicans have not made a similar promise.  </w:t>
      </w:r>
      <w:r w:rsidRPr="00441D2B">
        <w:rPr>
          <w:rFonts w:cs="Arial"/>
        </w:rPr>
        <w:t xml:space="preserve">In addition to the three full-year spending bills, which </w:t>
      </w:r>
      <w:r w:rsidR="006D696D">
        <w:rPr>
          <w:rFonts w:cs="Arial"/>
        </w:rPr>
        <w:t xml:space="preserve">will </w:t>
      </w:r>
      <w:r w:rsidRPr="00441D2B">
        <w:rPr>
          <w:rFonts w:cs="Arial"/>
        </w:rPr>
        <w:t xml:space="preserve">ensure food benefit programs do not face another lapse in FY 2026, the legislation passed this week guarantees back pay for federal workers, reverses all reduction in force </w:t>
      </w:r>
      <w:r w:rsidR="002515AF">
        <w:rPr>
          <w:rFonts w:cs="Arial"/>
        </w:rPr>
        <w:t xml:space="preserve">(RIF) </w:t>
      </w:r>
      <w:r w:rsidRPr="00441D2B">
        <w:rPr>
          <w:rFonts w:cs="Arial"/>
        </w:rPr>
        <w:t>action</w:t>
      </w:r>
      <w:r w:rsidR="002515AF">
        <w:rPr>
          <w:rFonts w:cs="Arial"/>
        </w:rPr>
        <w:t>s</w:t>
      </w:r>
      <w:r w:rsidRPr="00441D2B">
        <w:rPr>
          <w:rFonts w:cs="Arial"/>
        </w:rPr>
        <w:t xml:space="preserve"> taken since October 1</w:t>
      </w:r>
      <w:r w:rsidRPr="00441D2B">
        <w:rPr>
          <w:rFonts w:cs="Arial"/>
          <w:vertAlign w:val="superscript"/>
        </w:rPr>
        <w:t>st</w:t>
      </w:r>
      <w:r w:rsidRPr="00441D2B">
        <w:rPr>
          <w:rFonts w:cs="Arial"/>
        </w:rPr>
        <w:t xml:space="preserve">, and prohibits the administration from engaging in additional </w:t>
      </w:r>
      <w:r w:rsidR="002515AF">
        <w:rPr>
          <w:rFonts w:cs="Arial"/>
        </w:rPr>
        <w:t>RIFs</w:t>
      </w:r>
      <w:r w:rsidRPr="00441D2B">
        <w:rPr>
          <w:rFonts w:cs="Arial"/>
        </w:rPr>
        <w:t xml:space="preserve"> for the duration of the CR.  </w:t>
      </w:r>
    </w:p>
    <w:p w14:paraId="5E0C8E5A" w14:textId="110BAD2B" w:rsidR="00DC6034" w:rsidRPr="00441D2B" w:rsidRDefault="00DC6034" w:rsidP="00DC6034">
      <w:pPr>
        <w:rPr>
          <w:rFonts w:cs="Arial"/>
        </w:rPr>
      </w:pPr>
      <w:r w:rsidRPr="00441D2B">
        <w:rPr>
          <w:rFonts w:cs="Arial"/>
        </w:rPr>
        <w:lastRenderedPageBreak/>
        <w:t xml:space="preserve">The </w:t>
      </w:r>
      <w:r w:rsidR="002515AF">
        <w:rPr>
          <w:rFonts w:cs="Arial"/>
        </w:rPr>
        <w:t>RIF</w:t>
      </w:r>
      <w:r w:rsidRPr="00441D2B">
        <w:rPr>
          <w:rFonts w:cs="Arial"/>
        </w:rPr>
        <w:t xml:space="preserve"> reversal impacts 466 employees from the U.S. Department of Education who were fired in October, though a federal court temporarily halted the firings last month.  </w:t>
      </w:r>
      <w:r w:rsidR="002515AF">
        <w:rPr>
          <w:rFonts w:cs="Arial"/>
        </w:rPr>
        <w:t>However, a</w:t>
      </w:r>
      <w:r w:rsidRPr="00441D2B">
        <w:rPr>
          <w:rFonts w:cs="Arial"/>
        </w:rPr>
        <w:t xml:space="preserve"> representative for the federal government’s largest union noted the lack of clarity surrounding the provision in the spending bill and questioned whether it would require agencies to return those individuals to work or simply keep them on the payroll</w:t>
      </w:r>
      <w:r w:rsidR="002515AF">
        <w:rPr>
          <w:rFonts w:cs="Arial"/>
        </w:rPr>
        <w:t xml:space="preserve"> while placing them on administrative leave.</w:t>
      </w:r>
      <w:r w:rsidRPr="00441D2B">
        <w:rPr>
          <w:rFonts w:cs="Arial"/>
        </w:rPr>
        <w:t xml:space="preserve"> </w:t>
      </w:r>
    </w:p>
    <w:p w14:paraId="22BDF993" w14:textId="77777777" w:rsidR="00DC6034" w:rsidRPr="00441D2B" w:rsidRDefault="00DC6034" w:rsidP="00DC6034">
      <w:pPr>
        <w:rPr>
          <w:rFonts w:cs="Arial"/>
        </w:rPr>
      </w:pPr>
      <w:r w:rsidRPr="00441D2B">
        <w:rPr>
          <w:rFonts w:cs="Arial"/>
        </w:rPr>
        <w:t xml:space="preserve">Senate Majority Leader John Thune (R-SD) said this week that he plans to push forward on other full-year appropriations bills beginning next week, including the bill to fund the U.S. Departments of Labor, Health and Human Services, and Education.  That legislation, which was passed by the Senate Appropriations Committee with bipartisan support earlier this year, mostly level-funds education programs.  It also includes “bill strengthening” language to require funds to be disbursed on time and to restrict ED’s ability to shift the administration of programs to other federal agencies.  However, the version passed by the House Appropriations Committee this summer differs significantly from the Senate legislation, likely setting up lawmakers for challenging negotiations.  The House and Senate would have to agree on a compromise bill before the legislation could be passed into law. </w:t>
      </w:r>
    </w:p>
    <w:p w14:paraId="6D1C3EF0" w14:textId="77777777" w:rsidR="00DC6034" w:rsidRPr="00441D2B" w:rsidRDefault="00DC6034" w:rsidP="00DC6034">
      <w:pPr>
        <w:rPr>
          <w:rFonts w:cs="Arial"/>
        </w:rPr>
      </w:pPr>
      <w:r w:rsidRPr="00441D2B">
        <w:rPr>
          <w:rFonts w:cs="Arial"/>
        </w:rPr>
        <w:t>Author: KSC</w:t>
      </w:r>
    </w:p>
    <w:p w14:paraId="288B330C" w14:textId="28B48A80" w:rsidR="002E1045" w:rsidRPr="00BE2D0D" w:rsidRDefault="0057426E" w:rsidP="00BE2D0D">
      <w:pPr>
        <w:pStyle w:val="Heading2"/>
      </w:pPr>
      <w:bookmarkStart w:id="8" w:name="_Toc214005664"/>
      <w:r>
        <w:t>News</w:t>
      </w:r>
      <w:bookmarkEnd w:id="8"/>
    </w:p>
    <w:p w14:paraId="6C0F7A0B" w14:textId="6A17A07B" w:rsidR="00F52118" w:rsidRDefault="00101888" w:rsidP="00F52118">
      <w:pPr>
        <w:pStyle w:val="Heading3"/>
      </w:pPr>
      <w:bookmarkStart w:id="9" w:name="_ggr13ial007m" w:colFirst="0" w:colLast="0"/>
      <w:bookmarkStart w:id="10" w:name="_Toc214005665"/>
      <w:bookmarkEnd w:id="9"/>
      <w:r>
        <w:t>ED Issues New FIPSE Grant Competitions</w:t>
      </w:r>
      <w:bookmarkEnd w:id="10"/>
    </w:p>
    <w:p w14:paraId="60F83222" w14:textId="77777777" w:rsidR="00532705" w:rsidRPr="00011B1D" w:rsidRDefault="00532705" w:rsidP="00532705">
      <w:pPr>
        <w:rPr>
          <w:rFonts w:cs="Arial"/>
        </w:rPr>
      </w:pPr>
      <w:r w:rsidRPr="00011B1D">
        <w:rPr>
          <w:rFonts w:cs="Arial"/>
        </w:rPr>
        <w:t>The U.S. Department of Education (ED) has posted notices for new competitions under the Fund for the Improvement of Postsecondary Education (FIPSE).  The four new competitions, funded with federal fiscal year 2025 funds, will focus on seven grant priorities.</w:t>
      </w:r>
    </w:p>
    <w:p w14:paraId="2CA819F2" w14:textId="77777777" w:rsidR="00532705" w:rsidRPr="00011B1D" w:rsidRDefault="00532705" w:rsidP="00532705">
      <w:pPr>
        <w:rPr>
          <w:rFonts w:cs="Arial"/>
        </w:rPr>
      </w:pPr>
      <w:r w:rsidRPr="00011B1D">
        <w:rPr>
          <w:rFonts w:cs="Arial"/>
        </w:rPr>
        <w:t>First, the administration is putting $50 million into grants designed to leverage artificial intelligence (AI) technology in schools.  One priority focuses on projects that use AI to “enhance learning, teaching, and student success,” and another is designed to expand access to education on AI and computer science.</w:t>
      </w:r>
    </w:p>
    <w:p w14:paraId="47F8195A" w14:textId="490415FE" w:rsidR="00532705" w:rsidRPr="00011B1D" w:rsidRDefault="00532705" w:rsidP="00532705">
      <w:pPr>
        <w:rPr>
          <w:rFonts w:cs="Arial"/>
        </w:rPr>
      </w:pPr>
      <w:r w:rsidRPr="00011B1D">
        <w:rPr>
          <w:rFonts w:cs="Arial"/>
        </w:rPr>
        <w:t xml:space="preserve">Institutions of higher education will also be able to compete for $60 million in grants under the priority of “Promoting Civil Discourse on College and University Campuses.”  An announcement from the </w:t>
      </w:r>
      <w:r w:rsidR="00EC25D0">
        <w:rPr>
          <w:rFonts w:cs="Arial"/>
        </w:rPr>
        <w:t xml:space="preserve">U.S. </w:t>
      </w:r>
      <w:r w:rsidRPr="00011B1D">
        <w:rPr>
          <w:rFonts w:cs="Arial"/>
        </w:rPr>
        <w:t>Department of Education said that these funds will be used for seminars, speaker series, conferences, debates, and other events that “include a range of viewpoints.”</w:t>
      </w:r>
    </w:p>
    <w:p w14:paraId="13F173A1" w14:textId="77777777" w:rsidR="00532705" w:rsidRPr="00011B1D" w:rsidRDefault="00532705" w:rsidP="00532705">
      <w:pPr>
        <w:rPr>
          <w:rFonts w:cs="Arial"/>
        </w:rPr>
      </w:pPr>
      <w:proofErr w:type="gramStart"/>
      <w:r w:rsidRPr="00011B1D">
        <w:rPr>
          <w:rFonts w:cs="Arial"/>
        </w:rPr>
        <w:t>In order to</w:t>
      </w:r>
      <w:proofErr w:type="gramEnd"/>
      <w:r w:rsidRPr="00011B1D">
        <w:rPr>
          <w:rFonts w:cs="Arial"/>
        </w:rPr>
        <w:t xml:space="preserve"> implement the short-term Pell grant program passed by Congress this summer, ED will provide two sets of grants totaling $50 million: one to support the development of new short-term workforce development courses that meet the requirements of the new Pell program, and another to support the expansion of existing programs.  Institutions might find this priority challenging, however, as negotiated rulemaking on the program will not begin until next month, and rules likely won’t be finalized until the new year.</w:t>
      </w:r>
    </w:p>
    <w:p w14:paraId="30EDAA7A" w14:textId="77777777" w:rsidR="00532705" w:rsidRDefault="00532705" w:rsidP="00532705">
      <w:pPr>
        <w:rPr>
          <w:rFonts w:cs="Arial"/>
        </w:rPr>
      </w:pPr>
      <w:r w:rsidRPr="00011B1D">
        <w:rPr>
          <w:rFonts w:cs="Arial"/>
        </w:rPr>
        <w:t xml:space="preserve">Finally, two grants will focus on changes in accreditation: one to help schools change </w:t>
      </w:r>
      <w:r w:rsidRPr="00011B1D">
        <w:rPr>
          <w:rFonts w:cs="Arial"/>
        </w:rPr>
        <w:lastRenderedPageBreak/>
        <w:t>accreditors where the switch would otherwise be cost-prohibitive, and another to help create new accrediting agencies.  These grants will total $7 million.</w:t>
      </w:r>
    </w:p>
    <w:p w14:paraId="126C4BE0" w14:textId="3C905CF5" w:rsidR="00323E3D" w:rsidRPr="00011B1D" w:rsidRDefault="00323E3D" w:rsidP="00532705">
      <w:pPr>
        <w:rPr>
          <w:rFonts w:cs="Arial"/>
        </w:rPr>
      </w:pPr>
      <w:r>
        <w:rPr>
          <w:rFonts w:cs="Arial"/>
        </w:rPr>
        <w:t>Notably, the new grants do not include</w:t>
      </w:r>
      <w:r w:rsidR="00D36D6D">
        <w:rPr>
          <w:rFonts w:cs="Arial"/>
        </w:rPr>
        <w:t xml:space="preserve"> funding for the </w:t>
      </w:r>
      <w:r w:rsidR="00ED6E46">
        <w:rPr>
          <w:rFonts w:cs="Arial"/>
        </w:rPr>
        <w:t xml:space="preserve">Basic Needs Grants, </w:t>
      </w:r>
      <w:r w:rsidR="007B2850">
        <w:rPr>
          <w:rFonts w:cs="Arial"/>
        </w:rPr>
        <w:t xml:space="preserve">Minority-Serving Institutions Research and Development Grants, </w:t>
      </w:r>
      <w:r w:rsidR="00CE6B88" w:rsidRPr="00CE6B88">
        <w:rPr>
          <w:rFonts w:cs="Arial"/>
        </w:rPr>
        <w:t>Transitioning Gang-Involved Youth to Higher Ed; Rural Postsecondary and Economic Development Grant</w:t>
      </w:r>
      <w:r w:rsidR="00CE6B88">
        <w:rPr>
          <w:rFonts w:cs="Arial"/>
        </w:rPr>
        <w:t xml:space="preserve">, </w:t>
      </w:r>
      <w:r w:rsidR="00ED6E46">
        <w:rPr>
          <w:rFonts w:cs="Arial"/>
        </w:rPr>
        <w:t>or other grants that focus on postsecondary success for disadvantaged students.</w:t>
      </w:r>
    </w:p>
    <w:p w14:paraId="28B1CCA2" w14:textId="26038B79" w:rsidR="00532705" w:rsidRPr="00011B1D" w:rsidRDefault="00532705" w:rsidP="00532705">
      <w:pPr>
        <w:rPr>
          <w:rFonts w:cs="Arial"/>
        </w:rPr>
      </w:pPr>
      <w:r w:rsidRPr="00011B1D">
        <w:rPr>
          <w:rFonts w:cs="Arial"/>
        </w:rPr>
        <w:t xml:space="preserve">Grantees will be able to apply for multiple grants.  Applications are due December 3, with decisions expected December 31.  </w:t>
      </w:r>
      <w:hyperlink r:id="rId9" w:tooltip="full notice of applications is available here" w:history="1">
        <w:r w:rsidRPr="000A4D65">
          <w:rPr>
            <w:rStyle w:val="Hyperlink"/>
            <w:rFonts w:cs="Arial"/>
          </w:rPr>
          <w:t>The full notice of applications is available here</w:t>
        </w:r>
      </w:hyperlink>
      <w:r w:rsidRPr="00011B1D">
        <w:rPr>
          <w:rFonts w:cs="Arial"/>
        </w:rPr>
        <w:t>.</w:t>
      </w:r>
    </w:p>
    <w:p w14:paraId="6571D0A6" w14:textId="2D84E3A6" w:rsidR="00FD250B" w:rsidRPr="00532705" w:rsidRDefault="00532705" w:rsidP="00532705">
      <w:pPr>
        <w:rPr>
          <w:rFonts w:cs="Arial"/>
        </w:rPr>
      </w:pPr>
      <w:r w:rsidRPr="00011B1D">
        <w:rPr>
          <w:rFonts w:cs="Arial"/>
        </w:rPr>
        <w:t>Author: JCM</w:t>
      </w:r>
    </w:p>
    <w:p w14:paraId="7AB122B0" w14:textId="44BE7B8B" w:rsidR="00B156F9" w:rsidRDefault="00532705" w:rsidP="00B156F9">
      <w:pPr>
        <w:pStyle w:val="Heading3"/>
      </w:pPr>
      <w:bookmarkStart w:id="11" w:name="_Toc214005666"/>
      <w:r>
        <w:t>Supreme Court Sets Date for Sports Cases</w:t>
      </w:r>
      <w:bookmarkEnd w:id="11"/>
    </w:p>
    <w:p w14:paraId="46034093" w14:textId="77777777" w:rsidR="00526CE6" w:rsidRPr="00011B1D" w:rsidRDefault="00526CE6" w:rsidP="00526CE6">
      <w:pPr>
        <w:rPr>
          <w:rFonts w:cs="Arial"/>
        </w:rPr>
      </w:pPr>
      <w:r w:rsidRPr="00011B1D">
        <w:rPr>
          <w:rFonts w:cs="Arial"/>
        </w:rPr>
        <w:t xml:space="preserve">The U.S. Supreme Court will hear oral arguments in January on two cases regarding whether transgender students must be allowed to play sports that align with their gender identity rather than their sex at birth.  The cases center on two laws – one in Idaho and one in West Virginia – that ban transgender women and girls from playing on teams that align with their gender identity and, in the case of Idaho, require testing if an athlete’s sex is unclear.  </w:t>
      </w:r>
    </w:p>
    <w:p w14:paraId="05D12092" w14:textId="650F6306" w:rsidR="00526CE6" w:rsidRPr="00011B1D" w:rsidRDefault="00526CE6" w:rsidP="00526CE6">
      <w:pPr>
        <w:rPr>
          <w:rFonts w:cs="Arial"/>
        </w:rPr>
      </w:pPr>
      <w:r w:rsidRPr="00011B1D">
        <w:rPr>
          <w:rFonts w:cs="Arial"/>
        </w:rPr>
        <w:t xml:space="preserve">The administration has said that it supports the State </w:t>
      </w:r>
      <w:r w:rsidR="00E24C2B" w:rsidRPr="00011B1D">
        <w:rPr>
          <w:rFonts w:cs="Arial"/>
        </w:rPr>
        <w:t>laws and</w:t>
      </w:r>
      <w:r w:rsidRPr="00011B1D">
        <w:rPr>
          <w:rFonts w:cs="Arial"/>
        </w:rPr>
        <w:t xml:space="preserve"> has previously argued that Title IX of the Education Amendments of 1972, which prohibits discrimination </w:t>
      </w:r>
      <w:proofErr w:type="gramStart"/>
      <w:r w:rsidRPr="00011B1D">
        <w:rPr>
          <w:rFonts w:cs="Arial"/>
        </w:rPr>
        <w:t>on the basis of</w:t>
      </w:r>
      <w:proofErr w:type="gramEnd"/>
      <w:r w:rsidRPr="00011B1D">
        <w:rPr>
          <w:rFonts w:cs="Arial"/>
        </w:rPr>
        <w:t xml:space="preserve"> sex, does not extend its protections to gender identity.  A prior Supreme Court case decided in 2020, </w:t>
      </w:r>
      <w:r w:rsidRPr="00011B1D">
        <w:rPr>
          <w:rFonts w:cs="Arial"/>
          <w:i/>
          <w:iCs/>
        </w:rPr>
        <w:t>Bostock v. Clayton County</w:t>
      </w:r>
      <w:r w:rsidR="00301E19">
        <w:rPr>
          <w:rFonts w:cs="Arial"/>
          <w:i/>
          <w:iCs/>
        </w:rPr>
        <w:t>,</w:t>
      </w:r>
      <w:r w:rsidRPr="00011B1D">
        <w:rPr>
          <w:rFonts w:cs="Arial"/>
        </w:rPr>
        <w:t xml:space="preserve"> </w:t>
      </w:r>
      <w:r w:rsidR="00431E3D">
        <w:rPr>
          <w:rFonts w:cs="Arial"/>
        </w:rPr>
        <w:t>ruled</w:t>
      </w:r>
      <w:r w:rsidR="00431E3D" w:rsidRPr="00011B1D">
        <w:rPr>
          <w:rFonts w:cs="Arial"/>
        </w:rPr>
        <w:t xml:space="preserve"> </w:t>
      </w:r>
      <w:r w:rsidRPr="00011B1D">
        <w:rPr>
          <w:rFonts w:cs="Arial"/>
        </w:rPr>
        <w:t xml:space="preserve">that in the </w:t>
      </w:r>
      <w:r w:rsidR="00431E3D">
        <w:rPr>
          <w:rFonts w:cs="Arial"/>
        </w:rPr>
        <w:t>context of an individual’s employment</w:t>
      </w:r>
      <w:r w:rsidRPr="00011B1D">
        <w:rPr>
          <w:rFonts w:cs="Arial"/>
        </w:rPr>
        <w:t xml:space="preserve"> </w:t>
      </w:r>
      <w:r w:rsidR="00071C18">
        <w:rPr>
          <w:rFonts w:cs="Arial"/>
        </w:rPr>
        <w:t>their</w:t>
      </w:r>
      <w:r w:rsidRPr="00011B1D">
        <w:rPr>
          <w:rFonts w:cs="Arial"/>
        </w:rPr>
        <w:t xml:space="preserve"> treatment based on their gender identity is inextricable from the concept of their sex and how the two align – or don’t – and thus gender identity protections were covered by antidiscrimination statutes.  Regulations issued by the Biden administration which sought to expand this principle into education were overturned by a court earlier this year.</w:t>
      </w:r>
    </w:p>
    <w:p w14:paraId="42DB3A5C" w14:textId="2D0FF56A" w:rsidR="00526CE6" w:rsidRPr="00011B1D" w:rsidRDefault="00526CE6" w:rsidP="00526CE6">
      <w:pPr>
        <w:rPr>
          <w:rFonts w:cs="Arial"/>
        </w:rPr>
      </w:pPr>
      <w:r w:rsidRPr="00011B1D">
        <w:rPr>
          <w:rFonts w:cs="Arial"/>
        </w:rPr>
        <w:t>The court will hear oral arguments in both cases on January 13</w:t>
      </w:r>
      <w:r w:rsidR="00350687" w:rsidRPr="00350687">
        <w:rPr>
          <w:rFonts w:cs="Arial"/>
          <w:vertAlign w:val="superscript"/>
        </w:rPr>
        <w:t>th</w:t>
      </w:r>
      <w:r w:rsidRPr="00011B1D">
        <w:rPr>
          <w:rFonts w:cs="Arial"/>
        </w:rPr>
        <w:t>.</w:t>
      </w:r>
    </w:p>
    <w:p w14:paraId="6F5AB389" w14:textId="77777777" w:rsidR="00526CE6" w:rsidRDefault="00526CE6" w:rsidP="00526CE6">
      <w:pPr>
        <w:rPr>
          <w:rFonts w:cs="Arial"/>
        </w:rPr>
      </w:pPr>
      <w:r w:rsidRPr="00011B1D">
        <w:rPr>
          <w:rFonts w:cs="Arial"/>
        </w:rPr>
        <w:t>Author: JCM</w:t>
      </w:r>
    </w:p>
    <w:p w14:paraId="4784815D" w14:textId="13289B8D" w:rsidR="001440CD" w:rsidRDefault="001440CD" w:rsidP="001440CD">
      <w:pPr>
        <w:pStyle w:val="Heading3"/>
      </w:pPr>
      <w:bookmarkStart w:id="12" w:name="_Toc214005667"/>
      <w:r>
        <w:t>President Designates New Acting ED IG</w:t>
      </w:r>
      <w:bookmarkEnd w:id="12"/>
    </w:p>
    <w:p w14:paraId="4DC35165" w14:textId="6219BB7F" w:rsidR="00E36567" w:rsidRDefault="001440CD" w:rsidP="001440CD">
      <w:r>
        <w:t xml:space="preserve">The President recently designated Mark Priebe as the U.S. Department of Education’s </w:t>
      </w:r>
      <w:r w:rsidR="00E36567">
        <w:t xml:space="preserve">(ED’s) new </w:t>
      </w:r>
      <w:r>
        <w:t>Acting Inspector General</w:t>
      </w:r>
      <w:r w:rsidR="00E36567">
        <w:t xml:space="preserve"> (IG)</w:t>
      </w:r>
      <w:r>
        <w:t xml:space="preserve">.  </w:t>
      </w:r>
      <w:r w:rsidR="00E36567">
        <w:t>Priebe has worked at ED’s Office of Inspector General (OIG) for several years as the Director of the Non-Federal Audit Team.  Priebe is ED’s third acting IG since President Trump fired Sandra Bruce at the start of his term, along with nearly 20 IGs at other federal agencies.  It is unclear what prompted the President to replace the prior acting</w:t>
      </w:r>
      <w:r w:rsidR="00F90297">
        <w:t xml:space="preserve"> ED</w:t>
      </w:r>
      <w:r w:rsidR="00E36567">
        <w:t xml:space="preserve"> IG, Heidi Seimann. </w:t>
      </w:r>
    </w:p>
    <w:p w14:paraId="4388EECA" w14:textId="5878BA70" w:rsidR="00E36567" w:rsidRDefault="00E36567" w:rsidP="001440CD">
      <w:r>
        <w:t xml:space="preserve">IG offices have faced challenges under the new administration with firings, </w:t>
      </w:r>
      <w:r w:rsidR="00F90297">
        <w:t xml:space="preserve">difficulty in obtaining documentation from agency staff to conduct investigations, and most recently, the shuttering of several federal agencies’ IG websites, including ED OIG.  The administration decided to not apportion congressionally appropriated funds to the IG oversight group called the Council of Inspectors General on Integrity and Efficiency </w:t>
      </w:r>
      <w:r w:rsidR="00F90297">
        <w:lastRenderedPageBreak/>
        <w:t>earlier this year.  That Council’s website holds reports and other documentation for 72 IGs across the federal government.  The Council’s website and those of 28 IGs that are hosted through the Council’s website have been inaccessible since around October 1</w:t>
      </w:r>
      <w:r w:rsidR="00F90297" w:rsidRPr="00F90297">
        <w:rPr>
          <w:vertAlign w:val="superscript"/>
        </w:rPr>
        <w:t>st</w:t>
      </w:r>
      <w:r w:rsidR="00F90297">
        <w:t xml:space="preserve"> due to the lapse in funds, which is unrelated to the government shutdown that ended this week.  Without access to ED OIG’s website, stakeholders are unable to obtain recent reports and follow other actions taken by ED OIG.  </w:t>
      </w:r>
    </w:p>
    <w:p w14:paraId="3D683E89" w14:textId="5E03FA94" w:rsidR="00F90297" w:rsidRDefault="00F90297" w:rsidP="001440CD">
      <w:r>
        <w:t>President Trump has not appointed a permanent nominee to lead ED OIG since entering office in January, and it is not clear whether he will in the future.</w:t>
      </w:r>
    </w:p>
    <w:p w14:paraId="7062436F" w14:textId="6374DCC7" w:rsidR="00F90297" w:rsidRDefault="00F90297" w:rsidP="00F90297">
      <w:pPr>
        <w:spacing w:after="0"/>
      </w:pPr>
      <w:r>
        <w:t>Resources:</w:t>
      </w:r>
    </w:p>
    <w:p w14:paraId="58CD8475" w14:textId="5124B595" w:rsidR="00F90297" w:rsidRDefault="00F90297" w:rsidP="00F90297">
      <w:pPr>
        <w:spacing w:before="0" w:after="0"/>
      </w:pPr>
      <w:r>
        <w:t>Megan Mineiro, “</w:t>
      </w:r>
      <w:r w:rsidRPr="00F90297">
        <w:t>Trump Administration Defunds Federal Watchdog Office</w:t>
      </w:r>
      <w:r>
        <w:t xml:space="preserve">,” </w:t>
      </w:r>
      <w:r>
        <w:rPr>
          <w:i/>
          <w:iCs/>
        </w:rPr>
        <w:t>New York Times</w:t>
      </w:r>
      <w:r>
        <w:t xml:space="preserve">, September 30, 2025. </w:t>
      </w:r>
    </w:p>
    <w:p w14:paraId="0C7EB639" w14:textId="360E80E4" w:rsidR="00F90297" w:rsidRDefault="0016304F" w:rsidP="00F90297">
      <w:pPr>
        <w:spacing w:before="0" w:after="0"/>
      </w:pPr>
      <w:r>
        <w:t>Sean Michael Newhouse, “</w:t>
      </w:r>
      <w:r w:rsidRPr="0016304F">
        <w:t>New watchdog at Education Department may have shared pro-Trump social media posts</w:t>
      </w:r>
      <w:r>
        <w:t xml:space="preserve">,” </w:t>
      </w:r>
      <w:r>
        <w:rPr>
          <w:i/>
          <w:iCs/>
        </w:rPr>
        <w:t>Government Executive,</w:t>
      </w:r>
      <w:r>
        <w:t xml:space="preserve"> November 12, 2025.</w:t>
      </w:r>
    </w:p>
    <w:p w14:paraId="1B98A717" w14:textId="2271BB50" w:rsidR="0016304F" w:rsidRPr="0016304F" w:rsidRDefault="0016304F" w:rsidP="00F90297">
      <w:pPr>
        <w:spacing w:before="0" w:after="0"/>
      </w:pPr>
      <w:r>
        <w:t>Author: KSC</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7D4F6E01"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p>
    <w:p w14:paraId="2AECFEFD" w14:textId="1FED03FE" w:rsidR="00861A5A" w:rsidRDefault="00861A5A" w:rsidP="2193F663">
      <w:pPr>
        <w:spacing w:before="240" w:after="240"/>
        <w:rPr>
          <w:rFonts w:eastAsia="Times New Roman" w:cs="Arial"/>
        </w:rPr>
      </w:pPr>
      <w:r w:rsidRPr="00861A5A">
        <w:rPr>
          <w:rFonts w:eastAsia="Times New Roman" w:cs="Arial"/>
        </w:rPr>
        <w:t>Posted by the California Department of Education, November 2025</w:t>
      </w:r>
    </w:p>
    <w:sectPr w:rsidR="00861A5A" w:rsidSect="008C514B">
      <w:headerReference w:type="default" r:id="rId10"/>
      <w:footerReference w:type="default" r:id="rId11"/>
      <w:headerReference w:type="firs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61AE" w14:textId="77777777" w:rsidR="00674337" w:rsidRDefault="00674337">
      <w:pPr>
        <w:spacing w:before="0" w:after="0"/>
      </w:pPr>
      <w:r>
        <w:separator/>
      </w:r>
    </w:p>
  </w:endnote>
  <w:endnote w:type="continuationSeparator" w:id="0">
    <w:p w14:paraId="0017469A" w14:textId="77777777" w:rsidR="00674337" w:rsidRDefault="00674337">
      <w:pPr>
        <w:spacing w:before="0" w:after="0"/>
      </w:pPr>
      <w:r>
        <w:continuationSeparator/>
      </w:r>
    </w:p>
  </w:endnote>
  <w:endnote w:type="continuationNotice" w:id="1">
    <w:p w14:paraId="4016335E" w14:textId="77777777" w:rsidR="00674337" w:rsidRDefault="006743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120C" w14:textId="77777777" w:rsidR="00674337" w:rsidRDefault="00674337">
      <w:pPr>
        <w:spacing w:before="0" w:after="0"/>
      </w:pPr>
      <w:r>
        <w:separator/>
      </w:r>
    </w:p>
  </w:footnote>
  <w:footnote w:type="continuationSeparator" w:id="0">
    <w:p w14:paraId="1642A2E5" w14:textId="77777777" w:rsidR="00674337" w:rsidRDefault="00674337">
      <w:pPr>
        <w:spacing w:before="0" w:after="0"/>
      </w:pPr>
      <w:r>
        <w:continuationSeparator/>
      </w:r>
    </w:p>
  </w:footnote>
  <w:footnote w:type="continuationNotice" w:id="1">
    <w:p w14:paraId="038C8BF5" w14:textId="77777777" w:rsidR="00674337" w:rsidRDefault="006743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55B6919" w:rsidR="003C7552" w:rsidRPr="00662BDC" w:rsidRDefault="00666BC7" w:rsidP="000A590A">
    <w:pPr>
      <w:pStyle w:val="NoSpacing"/>
      <w:tabs>
        <w:tab w:val="left" w:pos="7920"/>
      </w:tabs>
    </w:pPr>
    <w:r>
      <w:t xml:space="preserve">November </w:t>
    </w:r>
    <w:r w:rsidR="005170E2">
      <w:t>14</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1C18"/>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5C83"/>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DF"/>
    <w:rsid w:val="000F37A7"/>
    <w:rsid w:val="000F3A5C"/>
    <w:rsid w:val="000F3B32"/>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20A8"/>
    <w:rsid w:val="00192296"/>
    <w:rsid w:val="00192385"/>
    <w:rsid w:val="001925F1"/>
    <w:rsid w:val="001926B9"/>
    <w:rsid w:val="00192B54"/>
    <w:rsid w:val="00192DCE"/>
    <w:rsid w:val="00192FE2"/>
    <w:rsid w:val="00193150"/>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883"/>
    <w:rsid w:val="001B09AE"/>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9A0"/>
    <w:rsid w:val="00323A16"/>
    <w:rsid w:val="00323E3D"/>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35B"/>
    <w:rsid w:val="003A7605"/>
    <w:rsid w:val="003A7DEE"/>
    <w:rsid w:val="003B10D4"/>
    <w:rsid w:val="003B13EC"/>
    <w:rsid w:val="003B15C1"/>
    <w:rsid w:val="003B18E4"/>
    <w:rsid w:val="003B214F"/>
    <w:rsid w:val="003B23CB"/>
    <w:rsid w:val="003B24E5"/>
    <w:rsid w:val="003B2CF0"/>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705"/>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06"/>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2F3"/>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337"/>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3CD3"/>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CD4"/>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A5A"/>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5D"/>
    <w:rsid w:val="00975697"/>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7F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6F9"/>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7D5"/>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5BFE"/>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7A6"/>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034"/>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698"/>
    <w:rsid w:val="00E56894"/>
    <w:rsid w:val="00E569B5"/>
    <w:rsid w:val="00E569D9"/>
    <w:rsid w:val="00E569ED"/>
    <w:rsid w:val="00E56F5B"/>
    <w:rsid w:val="00E57191"/>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29"/>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3774C"/>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A8"/>
    <w:rsid w:val="00F90282"/>
    <w:rsid w:val="00F90297"/>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inspection.federalregister.gov/2025-19843.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8197</Characters>
  <Application>Microsoft Office Word</Application>
  <DocSecurity>0</DocSecurity>
  <Lines>146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14 - Government Affairs (CA Dept of Education)</dc:title>
  <dc:subject>Federal Updates for November 14, 2025.</dc:subject>
  <dc:creator/>
  <cp:keywords/>
  <dc:description/>
  <cp:lastModifiedBy/>
  <cp:revision>1</cp:revision>
  <dcterms:created xsi:type="dcterms:W3CDTF">2026-01-14T18:45:00Z</dcterms:created>
  <dcterms:modified xsi:type="dcterms:W3CDTF">2026-01-14T18:45:00Z</dcterms:modified>
</cp:coreProperties>
</file>