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535AA7E" w:rsidR="0042468E" w:rsidRPr="00896108" w:rsidRDefault="0042468E" w:rsidP="00896108">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896108">
        <w:rPr>
          <w:rFonts w:ascii="Arial" w:eastAsia="Verdana" w:hAnsi="Arial" w:cs="Times New Roman"/>
          <w:b/>
          <w:bCs/>
          <w:color w:val="auto"/>
        </w:rPr>
        <w:t xml:space="preserve">The Federal Update for </w:t>
      </w:r>
      <w:bookmarkEnd w:id="0"/>
      <w:bookmarkEnd w:id="1"/>
      <w:bookmarkEnd w:id="2"/>
      <w:bookmarkEnd w:id="3"/>
      <w:bookmarkEnd w:id="4"/>
      <w:bookmarkEnd w:id="5"/>
      <w:r w:rsidR="00666BC7" w:rsidRPr="00896108">
        <w:rPr>
          <w:rFonts w:ascii="Arial" w:eastAsia="Verdana" w:hAnsi="Arial" w:cs="Times New Roman"/>
          <w:b/>
          <w:bCs/>
          <w:color w:val="auto"/>
        </w:rPr>
        <w:t xml:space="preserve">November </w:t>
      </w:r>
      <w:r w:rsidR="000D25EF" w:rsidRPr="00896108">
        <w:rPr>
          <w:rFonts w:ascii="Arial" w:eastAsia="Verdana" w:hAnsi="Arial" w:cs="Times New Roman"/>
          <w:b/>
          <w:bCs/>
          <w:color w:val="auto"/>
        </w:rPr>
        <w:t>21</w:t>
      </w:r>
      <w:r w:rsidR="007C6E27" w:rsidRPr="00896108">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534088BD" w:rsidR="0063135C" w:rsidRDefault="00D0389C" w:rsidP="009B424F">
      <w:pPr>
        <w:pStyle w:val="MessageHeader"/>
        <w:spacing w:after="240"/>
      </w:pPr>
      <w:r>
        <w:t>Date:</w:t>
      </w:r>
      <w:r>
        <w:tab/>
      </w:r>
      <w:r w:rsidR="00666BC7">
        <w:t>November</w:t>
      </w:r>
      <w:r w:rsidR="000D25EF">
        <w:t xml:space="preserve"> 21</w:t>
      </w:r>
      <w:r w:rsidR="559A70F6">
        <w:t>,</w:t>
      </w:r>
      <w:r w:rsidR="007C6E27">
        <w:t xml:space="preserve"> 2025</w:t>
      </w:r>
    </w:p>
    <w:p w14:paraId="627341B7" w14:textId="16B5A78F" w:rsidR="00C048FE"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4627935" w:history="1">
        <w:r w:rsidR="00C048FE" w:rsidRPr="007447E0">
          <w:rPr>
            <w:rStyle w:val="Hyperlink"/>
          </w:rPr>
          <w:t>Legislation and Guidance</w:t>
        </w:r>
        <w:r w:rsidR="00C048FE">
          <w:rPr>
            <w:webHidden/>
          </w:rPr>
          <w:tab/>
        </w:r>
        <w:r w:rsidR="00C048FE">
          <w:rPr>
            <w:webHidden/>
          </w:rPr>
          <w:fldChar w:fldCharType="begin"/>
        </w:r>
        <w:r w:rsidR="00C048FE">
          <w:rPr>
            <w:webHidden/>
          </w:rPr>
          <w:instrText xml:space="preserve"> PAGEREF _Toc214627935 \h </w:instrText>
        </w:r>
        <w:r w:rsidR="00C048FE">
          <w:rPr>
            <w:webHidden/>
          </w:rPr>
        </w:r>
        <w:r w:rsidR="00C048FE">
          <w:rPr>
            <w:webHidden/>
          </w:rPr>
          <w:fldChar w:fldCharType="separate"/>
        </w:r>
        <w:r w:rsidR="00C048FE">
          <w:rPr>
            <w:webHidden/>
          </w:rPr>
          <w:t>1</w:t>
        </w:r>
        <w:r w:rsidR="00C048FE">
          <w:rPr>
            <w:webHidden/>
          </w:rPr>
          <w:fldChar w:fldCharType="end"/>
        </w:r>
      </w:hyperlink>
    </w:p>
    <w:p w14:paraId="7AACE989" w14:textId="1196604C" w:rsidR="00C048FE" w:rsidRDefault="00C048FE">
      <w:pPr>
        <w:pStyle w:val="TOC3"/>
        <w:rPr>
          <w:rFonts w:asciiTheme="minorHAnsi" w:eastAsiaTheme="minorEastAsia" w:hAnsiTheme="minorHAnsi" w:cstheme="minorBidi"/>
          <w:b w:val="0"/>
          <w:kern w:val="2"/>
          <w:sz w:val="24"/>
          <w:szCs w:val="24"/>
          <w14:ligatures w14:val="standardContextual"/>
        </w:rPr>
      </w:pPr>
      <w:hyperlink w:anchor="_Toc214627936" w:history="1">
        <w:r w:rsidRPr="007447E0">
          <w:rPr>
            <w:rStyle w:val="Hyperlink"/>
          </w:rPr>
          <w:t>ED’s Interagency Agreements Leave Many Details Uncertain</w:t>
        </w:r>
        <w:r>
          <w:rPr>
            <w:webHidden/>
          </w:rPr>
          <w:tab/>
        </w:r>
        <w:r>
          <w:rPr>
            <w:webHidden/>
          </w:rPr>
          <w:fldChar w:fldCharType="begin"/>
        </w:r>
        <w:r>
          <w:rPr>
            <w:webHidden/>
          </w:rPr>
          <w:instrText xml:space="preserve"> PAGEREF _Toc214627936 \h </w:instrText>
        </w:r>
        <w:r>
          <w:rPr>
            <w:webHidden/>
          </w:rPr>
        </w:r>
        <w:r>
          <w:rPr>
            <w:webHidden/>
          </w:rPr>
          <w:fldChar w:fldCharType="separate"/>
        </w:r>
        <w:r>
          <w:rPr>
            <w:webHidden/>
          </w:rPr>
          <w:t>1</w:t>
        </w:r>
        <w:r>
          <w:rPr>
            <w:webHidden/>
          </w:rPr>
          <w:fldChar w:fldCharType="end"/>
        </w:r>
      </w:hyperlink>
    </w:p>
    <w:p w14:paraId="568827BA" w14:textId="7D259664" w:rsidR="00C048FE" w:rsidRDefault="00C048FE">
      <w:pPr>
        <w:pStyle w:val="TOC3"/>
        <w:rPr>
          <w:rFonts w:asciiTheme="minorHAnsi" w:eastAsiaTheme="minorEastAsia" w:hAnsiTheme="minorHAnsi" w:cstheme="minorBidi"/>
          <w:b w:val="0"/>
          <w:kern w:val="2"/>
          <w:sz w:val="24"/>
          <w:szCs w:val="24"/>
          <w14:ligatures w14:val="standardContextual"/>
        </w:rPr>
      </w:pPr>
      <w:hyperlink w:anchor="_Toc214627937" w:history="1">
        <w:r w:rsidRPr="007447E0">
          <w:rPr>
            <w:rStyle w:val="Hyperlink"/>
          </w:rPr>
          <w:t>HHS Publishes UGG Amendments</w:t>
        </w:r>
        <w:r>
          <w:rPr>
            <w:webHidden/>
          </w:rPr>
          <w:tab/>
        </w:r>
        <w:r>
          <w:rPr>
            <w:webHidden/>
          </w:rPr>
          <w:fldChar w:fldCharType="begin"/>
        </w:r>
        <w:r>
          <w:rPr>
            <w:webHidden/>
          </w:rPr>
          <w:instrText xml:space="preserve"> PAGEREF _Toc214627937 \h </w:instrText>
        </w:r>
        <w:r>
          <w:rPr>
            <w:webHidden/>
          </w:rPr>
        </w:r>
        <w:r>
          <w:rPr>
            <w:webHidden/>
          </w:rPr>
          <w:fldChar w:fldCharType="separate"/>
        </w:r>
        <w:r>
          <w:rPr>
            <w:webHidden/>
          </w:rPr>
          <w:t>2</w:t>
        </w:r>
        <w:r>
          <w:rPr>
            <w:webHidden/>
          </w:rPr>
          <w:fldChar w:fldCharType="end"/>
        </w:r>
      </w:hyperlink>
    </w:p>
    <w:p w14:paraId="4068E742" w14:textId="053444EB" w:rsidR="00C048FE" w:rsidRDefault="00C048FE">
      <w:pPr>
        <w:pStyle w:val="TOC3"/>
        <w:rPr>
          <w:rFonts w:asciiTheme="minorHAnsi" w:eastAsiaTheme="minorEastAsia" w:hAnsiTheme="minorHAnsi" w:cstheme="minorBidi"/>
          <w:b w:val="0"/>
          <w:kern w:val="2"/>
          <w:sz w:val="24"/>
          <w:szCs w:val="24"/>
          <w14:ligatures w14:val="standardContextual"/>
        </w:rPr>
      </w:pPr>
      <w:hyperlink w:anchor="_Toc214627938" w:history="1">
        <w:r w:rsidRPr="007447E0">
          <w:rPr>
            <w:rStyle w:val="Hyperlink"/>
          </w:rPr>
          <w:t>Administration to Revive Public Charge Rule</w:t>
        </w:r>
        <w:r>
          <w:rPr>
            <w:webHidden/>
          </w:rPr>
          <w:tab/>
        </w:r>
        <w:r>
          <w:rPr>
            <w:webHidden/>
          </w:rPr>
          <w:fldChar w:fldCharType="begin"/>
        </w:r>
        <w:r>
          <w:rPr>
            <w:webHidden/>
          </w:rPr>
          <w:instrText xml:space="preserve"> PAGEREF _Toc214627938 \h </w:instrText>
        </w:r>
        <w:r>
          <w:rPr>
            <w:webHidden/>
          </w:rPr>
        </w:r>
        <w:r>
          <w:rPr>
            <w:webHidden/>
          </w:rPr>
          <w:fldChar w:fldCharType="separate"/>
        </w:r>
        <w:r>
          <w:rPr>
            <w:webHidden/>
          </w:rPr>
          <w:t>3</w:t>
        </w:r>
        <w:r>
          <w:rPr>
            <w:webHidden/>
          </w:rPr>
          <w:fldChar w:fldCharType="end"/>
        </w:r>
      </w:hyperlink>
    </w:p>
    <w:p w14:paraId="137C9CE8" w14:textId="7EA8F25B" w:rsidR="00C048FE" w:rsidRDefault="00C048FE">
      <w:pPr>
        <w:pStyle w:val="TOC3"/>
        <w:rPr>
          <w:rFonts w:asciiTheme="minorHAnsi" w:eastAsiaTheme="minorEastAsia" w:hAnsiTheme="minorHAnsi" w:cstheme="minorBidi"/>
          <w:b w:val="0"/>
          <w:kern w:val="2"/>
          <w:sz w:val="24"/>
          <w:szCs w:val="24"/>
          <w14:ligatures w14:val="standardContextual"/>
        </w:rPr>
      </w:pPr>
      <w:hyperlink w:anchor="_Toc214627939" w:history="1">
        <w:r w:rsidRPr="007447E0">
          <w:rPr>
            <w:rStyle w:val="Hyperlink"/>
          </w:rPr>
          <w:t>Senate Passes Long-Awaited Whole Milk Bill</w:t>
        </w:r>
        <w:r>
          <w:rPr>
            <w:webHidden/>
          </w:rPr>
          <w:tab/>
        </w:r>
        <w:r>
          <w:rPr>
            <w:webHidden/>
          </w:rPr>
          <w:fldChar w:fldCharType="begin"/>
        </w:r>
        <w:r>
          <w:rPr>
            <w:webHidden/>
          </w:rPr>
          <w:instrText xml:space="preserve"> PAGEREF _Toc214627939 \h </w:instrText>
        </w:r>
        <w:r>
          <w:rPr>
            <w:webHidden/>
          </w:rPr>
        </w:r>
        <w:r>
          <w:rPr>
            <w:webHidden/>
          </w:rPr>
          <w:fldChar w:fldCharType="separate"/>
        </w:r>
        <w:r>
          <w:rPr>
            <w:webHidden/>
          </w:rPr>
          <w:t>4</w:t>
        </w:r>
        <w:r>
          <w:rPr>
            <w:webHidden/>
          </w:rPr>
          <w:fldChar w:fldCharType="end"/>
        </w:r>
      </w:hyperlink>
    </w:p>
    <w:p w14:paraId="2E9C2029" w14:textId="2417EB93" w:rsidR="00C048FE" w:rsidRDefault="00C048FE">
      <w:pPr>
        <w:pStyle w:val="TOC2"/>
        <w:rPr>
          <w:rFonts w:asciiTheme="minorHAnsi" w:eastAsiaTheme="minorEastAsia" w:hAnsiTheme="minorHAnsi" w:cstheme="minorBidi"/>
          <w:b w:val="0"/>
          <w:kern w:val="2"/>
          <w:sz w:val="24"/>
          <w:szCs w:val="24"/>
          <w14:ligatures w14:val="standardContextual"/>
        </w:rPr>
      </w:pPr>
      <w:hyperlink w:anchor="_Toc214627940" w:history="1">
        <w:r w:rsidRPr="007447E0">
          <w:rPr>
            <w:rStyle w:val="Hyperlink"/>
          </w:rPr>
          <w:t>News</w:t>
        </w:r>
        <w:r>
          <w:rPr>
            <w:webHidden/>
          </w:rPr>
          <w:tab/>
        </w:r>
        <w:r>
          <w:rPr>
            <w:webHidden/>
          </w:rPr>
          <w:fldChar w:fldCharType="begin"/>
        </w:r>
        <w:r>
          <w:rPr>
            <w:webHidden/>
          </w:rPr>
          <w:instrText xml:space="preserve"> PAGEREF _Toc214627940 \h </w:instrText>
        </w:r>
        <w:r>
          <w:rPr>
            <w:webHidden/>
          </w:rPr>
        </w:r>
        <w:r>
          <w:rPr>
            <w:webHidden/>
          </w:rPr>
          <w:fldChar w:fldCharType="separate"/>
        </w:r>
        <w:r>
          <w:rPr>
            <w:webHidden/>
          </w:rPr>
          <w:t>4</w:t>
        </w:r>
        <w:r>
          <w:rPr>
            <w:webHidden/>
          </w:rPr>
          <w:fldChar w:fldCharType="end"/>
        </w:r>
      </w:hyperlink>
    </w:p>
    <w:p w14:paraId="368AA15B" w14:textId="738634B5" w:rsidR="00C048FE" w:rsidRDefault="00C048FE">
      <w:pPr>
        <w:pStyle w:val="TOC3"/>
        <w:rPr>
          <w:rFonts w:asciiTheme="minorHAnsi" w:eastAsiaTheme="minorEastAsia" w:hAnsiTheme="minorHAnsi" w:cstheme="minorBidi"/>
          <w:b w:val="0"/>
          <w:kern w:val="2"/>
          <w:sz w:val="24"/>
          <w:szCs w:val="24"/>
          <w14:ligatures w14:val="standardContextual"/>
        </w:rPr>
      </w:pPr>
      <w:hyperlink w:anchor="_Toc214627941" w:history="1">
        <w:r w:rsidRPr="007447E0">
          <w:rPr>
            <w:rStyle w:val="Hyperlink"/>
          </w:rPr>
          <w:t>Brief From Congress Members Opposes Transgender Sports Bans</w:t>
        </w:r>
        <w:r>
          <w:rPr>
            <w:webHidden/>
          </w:rPr>
          <w:tab/>
        </w:r>
        <w:r>
          <w:rPr>
            <w:webHidden/>
          </w:rPr>
          <w:fldChar w:fldCharType="begin"/>
        </w:r>
        <w:r>
          <w:rPr>
            <w:webHidden/>
          </w:rPr>
          <w:instrText xml:space="preserve"> PAGEREF _Toc214627941 \h </w:instrText>
        </w:r>
        <w:r>
          <w:rPr>
            <w:webHidden/>
          </w:rPr>
        </w:r>
        <w:r>
          <w:rPr>
            <w:webHidden/>
          </w:rPr>
          <w:fldChar w:fldCharType="separate"/>
        </w:r>
        <w:r>
          <w:rPr>
            <w:webHidden/>
          </w:rPr>
          <w:t>4</w:t>
        </w:r>
        <w:r>
          <w:rPr>
            <w:webHidden/>
          </w:rPr>
          <w:fldChar w:fldCharType="end"/>
        </w:r>
      </w:hyperlink>
    </w:p>
    <w:p w14:paraId="553D207F" w14:textId="7F5CFF70" w:rsidR="003F0F36" w:rsidRDefault="2B7AD178" w:rsidP="00B54051">
      <w:pPr>
        <w:pStyle w:val="TOC3"/>
      </w:pPr>
      <w:r>
        <w:fldChar w:fldCharType="end"/>
      </w:r>
    </w:p>
    <w:p w14:paraId="74CD74AB" w14:textId="3AF0B476" w:rsidR="0053287A" w:rsidRDefault="0053287A" w:rsidP="00A80818">
      <w:pPr>
        <w:spacing w:after="0"/>
        <w:rPr>
          <w:i/>
          <w:iCs/>
        </w:rPr>
      </w:pPr>
      <w:r>
        <w:rPr>
          <w:i/>
          <w:iCs/>
        </w:rPr>
        <w:t>Due to the upcoming Thanksgiving holiday and The Bruman Group’s Fall Forum</w:t>
      </w:r>
      <w:r w:rsidR="00F5692C">
        <w:rPr>
          <w:i/>
          <w:iCs/>
        </w:rPr>
        <w:t xml:space="preserve"> from</w:t>
      </w:r>
      <w:r>
        <w:rPr>
          <w:i/>
          <w:iCs/>
        </w:rPr>
        <w:t xml:space="preserve"> December </w:t>
      </w:r>
      <w:r w:rsidR="00F90BD6">
        <w:rPr>
          <w:i/>
          <w:iCs/>
        </w:rPr>
        <w:t xml:space="preserve">3-5, the next issue of the Federal Update will be published on </w:t>
      </w:r>
      <w:r w:rsidR="00A80818">
        <w:rPr>
          <w:i/>
          <w:iCs/>
        </w:rPr>
        <w:t>December 12</w:t>
      </w:r>
      <w:r w:rsidR="00A80818" w:rsidRPr="00A80818">
        <w:rPr>
          <w:i/>
          <w:iCs/>
          <w:vertAlign w:val="superscript"/>
        </w:rPr>
        <w:t>th</w:t>
      </w:r>
      <w:r w:rsidR="00A80818">
        <w:rPr>
          <w:i/>
          <w:iCs/>
        </w:rPr>
        <w:t xml:space="preserve">. </w:t>
      </w:r>
    </w:p>
    <w:p w14:paraId="41ED52CA" w14:textId="77777777" w:rsidR="00A80818" w:rsidRPr="0053287A" w:rsidRDefault="00A80818" w:rsidP="00A80818">
      <w:pPr>
        <w:spacing w:before="0" w:after="0"/>
        <w:rPr>
          <w:i/>
          <w:iCs/>
        </w:rPr>
      </w:pPr>
    </w:p>
    <w:p w14:paraId="282666D4" w14:textId="210FA7A7" w:rsidR="00AA464C" w:rsidRDefault="00834042" w:rsidP="00A80818">
      <w:pPr>
        <w:pStyle w:val="Heading2"/>
        <w:spacing w:before="0"/>
      </w:pPr>
      <w:bookmarkStart w:id="6" w:name="_Toc214627935"/>
      <w:r>
        <w:t>Legislation and Guidance</w:t>
      </w:r>
      <w:bookmarkEnd w:id="6"/>
    </w:p>
    <w:p w14:paraId="7F0A4427" w14:textId="5403227F" w:rsidR="00BE2D0D" w:rsidRPr="00FE78E3" w:rsidRDefault="00975E84" w:rsidP="00975E84">
      <w:pPr>
        <w:pStyle w:val="Heading3"/>
      </w:pPr>
      <w:bookmarkStart w:id="7" w:name="_Toc214627936"/>
      <w:r w:rsidRPr="008411F1">
        <w:t>ED’s Interagency Agreements Leave Many Details Uncertain</w:t>
      </w:r>
      <w:bookmarkEnd w:id="7"/>
    </w:p>
    <w:p w14:paraId="14F30822" w14:textId="369FF3BC" w:rsidR="0082111D" w:rsidRPr="008411F1" w:rsidRDefault="0082111D" w:rsidP="0082111D">
      <w:pPr>
        <w:rPr>
          <w:rFonts w:cs="Arial"/>
        </w:rPr>
      </w:pPr>
      <w:r w:rsidRPr="008411F1">
        <w:rPr>
          <w:rFonts w:cs="Arial"/>
        </w:rPr>
        <w:t xml:space="preserve">The U.S. Department of Education (ED) announced earlier this week that it would enter into a new series of interagency agreements (IAAs) to offload functions of the </w:t>
      </w:r>
      <w:r w:rsidR="00726CA7">
        <w:rPr>
          <w:rFonts w:cs="Arial"/>
        </w:rPr>
        <w:t>D</w:t>
      </w:r>
      <w:r w:rsidRPr="008411F1">
        <w:rPr>
          <w:rFonts w:cs="Arial"/>
        </w:rPr>
        <w:t xml:space="preserve">epartment to other agencies.  </w:t>
      </w:r>
    </w:p>
    <w:p w14:paraId="4A8BB46D" w14:textId="315645A5" w:rsidR="0082111D" w:rsidRPr="008411F1" w:rsidRDefault="0082111D" w:rsidP="0082111D">
      <w:pPr>
        <w:rPr>
          <w:rFonts w:cs="Arial"/>
        </w:rPr>
      </w:pPr>
      <w:r w:rsidRPr="008411F1">
        <w:rPr>
          <w:rFonts w:cs="Arial"/>
        </w:rPr>
        <w:t>These agreements rely on existing legal frameworks – including statutes and regulations that allow for joint program funding and grants management, and interagency procurement – and seem to be modelled after the agreement to move workforce development and job training programs to the U.S. Department of Labor (DOL) earlier this year.</w:t>
      </w:r>
    </w:p>
    <w:p w14:paraId="6C959CA7" w14:textId="2F7BE41D" w:rsidR="0082111D" w:rsidRPr="008411F1" w:rsidRDefault="0082111D" w:rsidP="0082111D">
      <w:pPr>
        <w:rPr>
          <w:rFonts w:cs="Arial"/>
        </w:rPr>
      </w:pPr>
      <w:r w:rsidRPr="008411F1">
        <w:rPr>
          <w:rFonts w:cs="Arial"/>
        </w:rPr>
        <w:t xml:space="preserve">Under the agreements, most programs that provide funding to K-12 schools would be operated by the DOL’s Employment and Training Administration, including programs under the Elementary and Secondary Education Act (ESEA).  DOL would also manage </w:t>
      </w:r>
      <w:r w:rsidRPr="008411F1">
        <w:rPr>
          <w:rFonts w:cs="Arial"/>
        </w:rPr>
        <w:lastRenderedPageBreak/>
        <w:t xml:space="preserve">Impact Aid and Education for Homeless Children and Youth.  Funding </w:t>
      </w:r>
      <w:proofErr w:type="gramStart"/>
      <w:r w:rsidRPr="008411F1">
        <w:rPr>
          <w:rFonts w:cs="Arial"/>
        </w:rPr>
        <w:t>appropriated</w:t>
      </w:r>
      <w:proofErr w:type="gramEnd"/>
      <w:r w:rsidRPr="008411F1">
        <w:rPr>
          <w:rFonts w:cs="Arial"/>
        </w:rPr>
        <w:t xml:space="preserve"> for </w:t>
      </w:r>
      <w:r w:rsidR="001818AE">
        <w:rPr>
          <w:rFonts w:cs="Arial"/>
        </w:rPr>
        <w:t>ED</w:t>
      </w:r>
      <w:r w:rsidRPr="008411F1">
        <w:rPr>
          <w:rFonts w:cs="Arial"/>
        </w:rPr>
        <w:t xml:space="preserve"> programs would be transferred to DOL, which would take over the day-to-day management and guidance.  Some programs for Indian and Native American, Alaskan, and Hawaiian Native programs would be transferred to the Department of the Interior.  The administration has framed this transition as better preparing students for jobs and workforce demands.</w:t>
      </w:r>
    </w:p>
    <w:p w14:paraId="42A79174" w14:textId="07DE3C60" w:rsidR="0082111D" w:rsidRPr="008411F1" w:rsidRDefault="0082111D" w:rsidP="0082111D">
      <w:pPr>
        <w:rPr>
          <w:rFonts w:cs="Arial"/>
        </w:rPr>
      </w:pPr>
      <w:r w:rsidRPr="008411F1">
        <w:rPr>
          <w:rFonts w:cs="Arial"/>
        </w:rPr>
        <w:t xml:space="preserve">Institutions of </w:t>
      </w:r>
      <w:r w:rsidR="00726CA7">
        <w:rPr>
          <w:rFonts w:cs="Arial"/>
        </w:rPr>
        <w:t>h</w:t>
      </w:r>
      <w:r w:rsidRPr="008411F1">
        <w:rPr>
          <w:rFonts w:cs="Arial"/>
        </w:rPr>
        <w:t xml:space="preserve">igher </w:t>
      </w:r>
      <w:r w:rsidR="00726CA7">
        <w:rPr>
          <w:rFonts w:cs="Arial"/>
        </w:rPr>
        <w:t>e</w:t>
      </w:r>
      <w:r w:rsidRPr="008411F1">
        <w:rPr>
          <w:rFonts w:cs="Arial"/>
        </w:rPr>
        <w:t xml:space="preserve">ducation will likely have to deal with multiple agencies in this transition.  While institutional aid programs under the Higher Education Act (HEA) would be managed by DOL, federal student aid would remain, at least for the time being, at ED.  Programs for Tribally Controlled Colleges and Universities would be managed by </w:t>
      </w:r>
      <w:r w:rsidR="00112F7A">
        <w:rPr>
          <w:rFonts w:cs="Arial"/>
        </w:rPr>
        <w:t xml:space="preserve">the Department of the </w:t>
      </w:r>
      <w:r w:rsidRPr="008411F1">
        <w:rPr>
          <w:rFonts w:cs="Arial"/>
        </w:rPr>
        <w:t>Interior, and the Child Care Access Means Parents in Schools (CCAMPIS) program, a higher education daycare program, would be managed by the Department of Health and Human Services.</w:t>
      </w:r>
    </w:p>
    <w:p w14:paraId="3183E070" w14:textId="77777777" w:rsidR="0082111D" w:rsidRPr="008411F1" w:rsidRDefault="0082111D" w:rsidP="0082111D">
      <w:pPr>
        <w:rPr>
          <w:rFonts w:cs="Arial"/>
        </w:rPr>
      </w:pPr>
      <w:r w:rsidRPr="008411F1">
        <w:rPr>
          <w:rFonts w:cs="Arial"/>
        </w:rPr>
        <w:t>While ED must sustain certain positions and offices under the Department of Education Organization Act, the agency says it will continue to manage the implementation of its programs by DOL and other agencies, and will engage in some monitoring and risk assessment, ensuring it is fulfilling the requirements of law.</w:t>
      </w:r>
    </w:p>
    <w:p w14:paraId="2B46059A" w14:textId="6AE3E61C" w:rsidR="0082111D" w:rsidRDefault="0082111D" w:rsidP="0082111D">
      <w:pPr>
        <w:rPr>
          <w:rFonts w:cs="Arial"/>
        </w:rPr>
      </w:pPr>
      <w:r w:rsidRPr="008411F1">
        <w:rPr>
          <w:rFonts w:cs="Arial"/>
        </w:rPr>
        <w:t>Still, practical details for how grantees should manage this shift are yet to be released by the various agencies involved.  Primarily among these questions is when grants may be moved to other agencies, and whether subject-matter experts at ED will move with them.  Advocates have expressed concern for the potential increased administrative burden of managing relationships with multiple agencies, and the potential loss of institutional knowledge and potential devaluation of the educational component of programs at an agency not used to administering them.</w:t>
      </w:r>
    </w:p>
    <w:p w14:paraId="4153C4EF" w14:textId="7EA35634" w:rsidR="005B1F70" w:rsidRDefault="001E571B" w:rsidP="0082111D">
      <w:pPr>
        <w:rPr>
          <w:rFonts w:cs="Arial"/>
        </w:rPr>
      </w:pPr>
      <w:r>
        <w:rPr>
          <w:rFonts w:cs="Arial"/>
        </w:rPr>
        <w:t xml:space="preserve">Though ED cited the shift of career and technical education programs to DOL earlier this year as a demonstration that the move would go smoothly, </w:t>
      </w:r>
      <w:r w:rsidR="00A67F84">
        <w:rPr>
          <w:rFonts w:cs="Arial"/>
        </w:rPr>
        <w:t xml:space="preserve">lawmakers disagreed.  Representative Suzanne Bonamici (D-OR), speaking in a hearing this week, told her colleagues that those programs “are objectively worse off now they they’ve been moved to the Department of Labor” and that the move has “created more bureaucratic inefficiencies, not reduced them.  Senator Lisa Murkowski (R-AK) also expressed concerns </w:t>
      </w:r>
      <w:r w:rsidR="00FF4772">
        <w:rPr>
          <w:rFonts w:cs="Arial"/>
        </w:rPr>
        <w:t xml:space="preserve">about the move. </w:t>
      </w:r>
      <w:r w:rsidR="00FF4772" w:rsidRPr="00FF4772">
        <w:rPr>
          <w:rFonts w:cs="Arial"/>
        </w:rPr>
        <w:t xml:space="preserve">“The administration’s decision to transfer these congressionally mandated responsibilities and programs to other agencies that lack the necessary policy expertise may have lasting negative impacts on our young people,” </w:t>
      </w:r>
      <w:r w:rsidR="00FF4772">
        <w:rPr>
          <w:rFonts w:cs="Arial"/>
        </w:rPr>
        <w:t>she</w:t>
      </w:r>
      <w:r w:rsidR="00FF4772" w:rsidRPr="00FF4772">
        <w:rPr>
          <w:rFonts w:cs="Arial"/>
        </w:rPr>
        <w:t xml:space="preserve"> said in a social media post Thursday. </w:t>
      </w:r>
      <w:r w:rsidR="00FF4772">
        <w:rPr>
          <w:rFonts w:cs="Arial"/>
        </w:rPr>
        <w:t xml:space="preserve"> </w:t>
      </w:r>
      <w:r w:rsidR="00FF4772" w:rsidRPr="00FF4772">
        <w:rPr>
          <w:rFonts w:cs="Arial"/>
        </w:rPr>
        <w:t>“And simply moving the administration of these programs to other agencies will not return control of education to the states.”</w:t>
      </w:r>
    </w:p>
    <w:p w14:paraId="15F2F5A1" w14:textId="01C58F82" w:rsidR="005B1F70" w:rsidRPr="008411F1" w:rsidRDefault="005B1F70" w:rsidP="0082111D">
      <w:pPr>
        <w:rPr>
          <w:rFonts w:cs="Arial"/>
        </w:rPr>
      </w:pPr>
      <w:r>
        <w:rPr>
          <w:rFonts w:cs="Arial"/>
        </w:rPr>
        <w:t>Secretary of Education Linda McMahon dismissed concerns about the practical impacts of the shift, telling reporters “[t]</w:t>
      </w:r>
      <w:r w:rsidRPr="005B1F70">
        <w:rPr>
          <w:rFonts w:cs="Arial"/>
        </w:rPr>
        <w:t>he really good news is the Department of Labor has a more sophisticated system — technology system and grant fulfilling system — than the Department of Education does.”</w:t>
      </w:r>
    </w:p>
    <w:p w14:paraId="3851A16A" w14:textId="77777777" w:rsidR="0082111D" w:rsidRDefault="0082111D" w:rsidP="0082111D">
      <w:pPr>
        <w:rPr>
          <w:rFonts w:cs="Arial"/>
        </w:rPr>
      </w:pPr>
      <w:r w:rsidRPr="008411F1">
        <w:rPr>
          <w:rFonts w:cs="Arial"/>
        </w:rPr>
        <w:t>Author: JCM</w:t>
      </w:r>
    </w:p>
    <w:p w14:paraId="4FE567E4" w14:textId="77777777" w:rsidR="001B29EB" w:rsidRPr="0003710D" w:rsidRDefault="001B29EB" w:rsidP="001B29EB">
      <w:pPr>
        <w:pStyle w:val="Heading3"/>
      </w:pPr>
      <w:bookmarkStart w:id="8" w:name="_Toc214627937"/>
      <w:r w:rsidRPr="0003710D">
        <w:lastRenderedPageBreak/>
        <w:t>HHS Publishes UGG Amendments</w:t>
      </w:r>
      <w:bookmarkEnd w:id="8"/>
    </w:p>
    <w:p w14:paraId="0583FD4C" w14:textId="77777777" w:rsidR="00F945D3" w:rsidRPr="0003710D" w:rsidRDefault="00F945D3" w:rsidP="00F945D3">
      <w:pPr>
        <w:rPr>
          <w:rFonts w:cs="Arial"/>
        </w:rPr>
      </w:pPr>
      <w:r w:rsidRPr="0003710D">
        <w:rPr>
          <w:rFonts w:cs="Arial"/>
        </w:rPr>
        <w:t xml:space="preserve">The U.S. Department of Health and Human Services (HHS) published amendments to its adoption of the Uniform Grants Guidance (UGG) (2 CFR Part 200) this week.  The changes, which were published on </w:t>
      </w:r>
      <w:proofErr w:type="spellStart"/>
      <w:r w:rsidRPr="0003710D">
        <w:rPr>
          <w:rFonts w:cs="Arial"/>
        </w:rPr>
        <w:t>eCFR</w:t>
      </w:r>
      <w:proofErr w:type="spellEnd"/>
      <w:r w:rsidRPr="0003710D">
        <w:rPr>
          <w:rFonts w:cs="Arial"/>
        </w:rPr>
        <w:t xml:space="preserve">, were originally announced last year in a </w:t>
      </w:r>
      <w:r w:rsidRPr="0003710D">
        <w:rPr>
          <w:rFonts w:cs="Arial"/>
          <w:i/>
          <w:iCs/>
        </w:rPr>
        <w:t>Federal Register</w:t>
      </w:r>
      <w:r w:rsidRPr="0003710D">
        <w:rPr>
          <w:rFonts w:cs="Arial"/>
        </w:rPr>
        <w:t xml:space="preserve"> notice.  </w:t>
      </w:r>
    </w:p>
    <w:p w14:paraId="33990BB3" w14:textId="60DA267C" w:rsidR="00F945D3" w:rsidRPr="0003710D" w:rsidRDefault="00F945D3" w:rsidP="00F945D3">
      <w:pPr>
        <w:rPr>
          <w:rFonts w:cs="Arial"/>
        </w:rPr>
      </w:pPr>
      <w:r w:rsidRPr="0003710D">
        <w:rPr>
          <w:rFonts w:cs="Arial"/>
        </w:rPr>
        <w:t>HHS has historically maintained its own grants management regulations at 45 CFR Parts 74 and 75, but effective October 1</w:t>
      </w:r>
      <w:r w:rsidRPr="0003710D">
        <w:rPr>
          <w:rFonts w:cs="Arial"/>
          <w:vertAlign w:val="superscript"/>
        </w:rPr>
        <w:t>st</w:t>
      </w:r>
      <w:r w:rsidRPr="0003710D">
        <w:rPr>
          <w:rFonts w:cs="Arial"/>
        </w:rPr>
        <w:t>, the agency fully adopted the U</w:t>
      </w:r>
      <w:r w:rsidR="00423CA4">
        <w:rPr>
          <w:rFonts w:cs="Arial"/>
        </w:rPr>
        <w:t>GG</w:t>
      </w:r>
      <w:r w:rsidRPr="0003710D">
        <w:rPr>
          <w:rFonts w:cs="Arial"/>
        </w:rPr>
        <w:t xml:space="preserve"> regulations and moved away from its separate regulations under Title 45 to provide better alignment for grantees.  However, in the notice published last year, HHS included 12 modifications to the UGG that would be codified in 2 CFR Part 300.  These modifications reflect HHS-specific circumstances and practices and are the changes that were published in the </w:t>
      </w:r>
      <w:proofErr w:type="spellStart"/>
      <w:r w:rsidRPr="0003710D">
        <w:rPr>
          <w:rFonts w:cs="Arial"/>
        </w:rPr>
        <w:t>eCFR</w:t>
      </w:r>
      <w:proofErr w:type="spellEnd"/>
      <w:r w:rsidRPr="0003710D">
        <w:rPr>
          <w:rFonts w:cs="Arial"/>
        </w:rPr>
        <w:t xml:space="preserve"> this week.  One of the Part 300 inclusions is HHS’s limitation on indirect cost rates for training grants, which are capped at eight percent.  As part of HHS’s shift away from the Title 45 regulations for grants management, </w:t>
      </w:r>
      <w:hyperlink r:id="rId9" w:tooltip="the agency also adopted an updated version of its Grants Policy Statement last month." w:history="1">
        <w:r w:rsidRPr="0003710D">
          <w:rPr>
            <w:rStyle w:val="Hyperlink"/>
            <w:rFonts w:cs="Arial"/>
          </w:rPr>
          <w:t>the agency also adopted an updated version of its Grants Policy Statement last month</w:t>
        </w:r>
      </w:hyperlink>
      <w:r w:rsidRPr="0003710D">
        <w:rPr>
          <w:rFonts w:cs="Arial"/>
        </w:rPr>
        <w:t>, which includes updated citations based on HHS’s adoption of 2 CFR Part 200.</w:t>
      </w:r>
    </w:p>
    <w:p w14:paraId="1162A99F" w14:textId="34C6610A" w:rsidR="00F945D3" w:rsidRPr="0003710D" w:rsidRDefault="00F945D3" w:rsidP="00F945D3">
      <w:pPr>
        <w:rPr>
          <w:rFonts w:cs="Arial"/>
        </w:rPr>
      </w:pPr>
      <w:hyperlink r:id="rId10" w:tooltip="An overview of the changes implemented recently, including a cross reference chart from HHS’s prior Title 45 regulations to 2 CFR Parts 200 and 300, is available here" w:history="1">
        <w:r w:rsidRPr="0003710D">
          <w:rPr>
            <w:rStyle w:val="Hyperlink"/>
            <w:rFonts w:cs="Arial"/>
          </w:rPr>
          <w:t>An overview of the changes implemented recently, including a cross</w:t>
        </w:r>
        <w:r w:rsidR="00717C41">
          <w:rPr>
            <w:rStyle w:val="Hyperlink"/>
            <w:rFonts w:cs="Arial"/>
          </w:rPr>
          <w:t>-</w:t>
        </w:r>
        <w:r w:rsidRPr="0003710D">
          <w:rPr>
            <w:rStyle w:val="Hyperlink"/>
            <w:rFonts w:cs="Arial"/>
          </w:rPr>
          <w:t>reference chart between HHS’s prior Title 45 regulations and 2 CFR Parts 200 and 300, is available here</w:t>
        </w:r>
      </w:hyperlink>
      <w:r w:rsidRPr="0003710D">
        <w:rPr>
          <w:rFonts w:cs="Arial"/>
        </w:rPr>
        <w:t xml:space="preserve">. </w:t>
      </w:r>
      <w:hyperlink r:id="rId11" w:tooltip="The eCFR changes to 2 CFR Part 300 are available here." w:history="1">
        <w:r w:rsidRPr="0003710D">
          <w:rPr>
            <w:rStyle w:val="Hyperlink"/>
            <w:rFonts w:cs="Arial"/>
          </w:rPr>
          <w:t xml:space="preserve">The </w:t>
        </w:r>
        <w:proofErr w:type="spellStart"/>
        <w:r w:rsidRPr="0003710D">
          <w:rPr>
            <w:rStyle w:val="Hyperlink"/>
            <w:rFonts w:cs="Arial"/>
          </w:rPr>
          <w:t>eCFR</w:t>
        </w:r>
        <w:proofErr w:type="spellEnd"/>
        <w:r w:rsidRPr="0003710D">
          <w:rPr>
            <w:rStyle w:val="Hyperlink"/>
            <w:rFonts w:cs="Arial"/>
          </w:rPr>
          <w:t xml:space="preserve"> changes to 2 CFR Part 300 are available here.</w:t>
        </w:r>
      </w:hyperlink>
    </w:p>
    <w:p w14:paraId="2C4BD014" w14:textId="28F24963" w:rsidR="0082111D" w:rsidRDefault="00F945D3" w:rsidP="0082111D">
      <w:pPr>
        <w:rPr>
          <w:rFonts w:cs="Arial"/>
        </w:rPr>
      </w:pPr>
      <w:r w:rsidRPr="0003710D">
        <w:rPr>
          <w:rFonts w:cs="Arial"/>
        </w:rPr>
        <w:t>Author: KSC</w:t>
      </w:r>
    </w:p>
    <w:p w14:paraId="1B782D95" w14:textId="2EE89227" w:rsidR="00FA5231" w:rsidRDefault="00FA5231" w:rsidP="00FA5231">
      <w:pPr>
        <w:pStyle w:val="Heading3"/>
      </w:pPr>
      <w:bookmarkStart w:id="9" w:name="_Toc214627938"/>
      <w:r w:rsidRPr="008411F1">
        <w:t>Administration to Revive Public Charge Rule</w:t>
      </w:r>
      <w:bookmarkEnd w:id="9"/>
    </w:p>
    <w:p w14:paraId="7616D2A8" w14:textId="5304A549" w:rsidR="001221A5" w:rsidRPr="008411F1" w:rsidRDefault="001221A5" w:rsidP="001221A5">
      <w:pPr>
        <w:rPr>
          <w:rFonts w:cs="Arial"/>
        </w:rPr>
      </w:pPr>
      <w:r w:rsidRPr="008411F1">
        <w:rPr>
          <w:rFonts w:cs="Arial"/>
        </w:rPr>
        <w:t xml:space="preserve">On Monday, the Department of Homeland Security (DHS) proposed reissuing a regulation </w:t>
      </w:r>
      <w:r w:rsidR="00870B0B">
        <w:rPr>
          <w:rFonts w:cs="Arial"/>
        </w:rPr>
        <w:t>that</w:t>
      </w:r>
      <w:r w:rsidRPr="008411F1">
        <w:rPr>
          <w:rFonts w:cs="Arial"/>
        </w:rPr>
        <w:t xml:space="preserve"> could penalize noncitizens who use Medicaid and other income-based public benefit programs.  </w:t>
      </w:r>
    </w:p>
    <w:p w14:paraId="649C7EF3" w14:textId="2A059B7D" w:rsidR="001221A5" w:rsidRPr="008411F1" w:rsidRDefault="001221A5" w:rsidP="001221A5">
      <w:pPr>
        <w:rPr>
          <w:rFonts w:cs="Arial"/>
        </w:rPr>
      </w:pPr>
      <w:r w:rsidRPr="008411F1">
        <w:rPr>
          <w:rFonts w:cs="Arial"/>
        </w:rPr>
        <w:t>Under the “public charge rule,” immigration officials can deny applications for permanent residency or visa extensions if it is determine</w:t>
      </w:r>
      <w:r>
        <w:rPr>
          <w:rFonts w:cs="Arial"/>
        </w:rPr>
        <w:t>d</w:t>
      </w:r>
      <w:r w:rsidRPr="008411F1">
        <w:rPr>
          <w:rFonts w:cs="Arial"/>
        </w:rPr>
        <w:t xml:space="preserve"> they are likely to become a “public charge,” meaning that the</w:t>
      </w:r>
      <w:r w:rsidR="00EE4A0C">
        <w:rPr>
          <w:rFonts w:cs="Arial"/>
        </w:rPr>
        <w:t xml:space="preserve"> individual</w:t>
      </w:r>
      <w:r w:rsidRPr="008411F1">
        <w:rPr>
          <w:rFonts w:cs="Arial"/>
        </w:rPr>
        <w:t xml:space="preserve"> ha</w:t>
      </w:r>
      <w:r w:rsidR="00EE4A0C">
        <w:rPr>
          <w:rFonts w:cs="Arial"/>
        </w:rPr>
        <w:t>s</w:t>
      </w:r>
      <w:r w:rsidRPr="008411F1">
        <w:rPr>
          <w:rFonts w:cs="Arial"/>
        </w:rPr>
        <w:t xml:space="preserve"> received or could expect to receive certain other benefits.</w:t>
      </w:r>
    </w:p>
    <w:p w14:paraId="62BF1D4C" w14:textId="54B8406B" w:rsidR="001221A5" w:rsidRPr="008411F1" w:rsidRDefault="001221A5" w:rsidP="001221A5">
      <w:pPr>
        <w:rPr>
          <w:rFonts w:cs="Arial"/>
        </w:rPr>
      </w:pPr>
      <w:r w:rsidRPr="008411F1">
        <w:rPr>
          <w:rFonts w:cs="Arial"/>
        </w:rPr>
        <w:t xml:space="preserve">The new rule </w:t>
      </w:r>
      <w:r w:rsidR="00FE7F2A">
        <w:rPr>
          <w:rFonts w:cs="Arial"/>
        </w:rPr>
        <w:t xml:space="preserve">would rescind the 2022 regulations and </w:t>
      </w:r>
      <w:r w:rsidR="00237FFB">
        <w:rPr>
          <w:rFonts w:cs="Arial"/>
        </w:rPr>
        <w:t>broaden</w:t>
      </w:r>
      <w:r w:rsidRPr="008411F1">
        <w:rPr>
          <w:rFonts w:cs="Arial"/>
        </w:rPr>
        <w:t xml:space="preserve"> the scope of benefits that could be included in the determination of whether an immigrant is expected to become a public charge</w:t>
      </w:r>
      <w:r w:rsidR="00643A14">
        <w:rPr>
          <w:rFonts w:cs="Arial"/>
        </w:rPr>
        <w:t xml:space="preserve">. </w:t>
      </w:r>
      <w:r w:rsidR="00E57635">
        <w:rPr>
          <w:rFonts w:cs="Arial"/>
        </w:rPr>
        <w:t xml:space="preserve"> The text states that rescinding the 2022 regulations “would </w:t>
      </w:r>
      <w:r w:rsidR="00E57635" w:rsidRPr="00E57635">
        <w:rPr>
          <w:rFonts w:cs="Arial"/>
        </w:rPr>
        <w:t>restore broader discretion to evaluate all pertinent facts and align with long-standing policy that aliens in the United States should be self-reliant and government benefits should not incentivize immigration</w:t>
      </w:r>
      <w:r w:rsidR="00E57635">
        <w:rPr>
          <w:rFonts w:cs="Arial"/>
        </w:rPr>
        <w:t>.”</w:t>
      </w:r>
      <w:r w:rsidRPr="008411F1">
        <w:rPr>
          <w:rFonts w:cs="Arial"/>
        </w:rPr>
        <w:t xml:space="preserve"> </w:t>
      </w:r>
      <w:r w:rsidR="00E57635">
        <w:rPr>
          <w:rFonts w:cs="Arial"/>
        </w:rPr>
        <w:t xml:space="preserve"> The new rule would </w:t>
      </w:r>
      <w:r w:rsidR="00C87FAC">
        <w:rPr>
          <w:rFonts w:cs="Arial"/>
        </w:rPr>
        <w:t>allow immigration official</w:t>
      </w:r>
      <w:r w:rsidR="00F40245">
        <w:rPr>
          <w:rFonts w:cs="Arial"/>
        </w:rPr>
        <w:t xml:space="preserve">s significant leeway in deciding what could be included and excluded, leading </w:t>
      </w:r>
      <w:r w:rsidR="00536837">
        <w:rPr>
          <w:rFonts w:cs="Arial"/>
        </w:rPr>
        <w:t>advocates</w:t>
      </w:r>
      <w:r w:rsidR="00F40245">
        <w:rPr>
          <w:rFonts w:cs="Arial"/>
        </w:rPr>
        <w:t xml:space="preserve"> to express concern</w:t>
      </w:r>
      <w:r w:rsidR="00536837">
        <w:rPr>
          <w:rFonts w:cs="Arial"/>
        </w:rPr>
        <w:t>s</w:t>
      </w:r>
      <w:r w:rsidR="00F40245">
        <w:rPr>
          <w:rFonts w:cs="Arial"/>
        </w:rPr>
        <w:t xml:space="preserve"> that the decision </w:t>
      </w:r>
      <w:r w:rsidR="00536837">
        <w:rPr>
          <w:rFonts w:cs="Arial"/>
        </w:rPr>
        <w:t>could hinge on c</w:t>
      </w:r>
      <w:r w:rsidRPr="008411F1">
        <w:rPr>
          <w:rFonts w:cs="Arial"/>
        </w:rPr>
        <w:t xml:space="preserve">onsideration </w:t>
      </w:r>
      <w:r w:rsidR="00E57635">
        <w:rPr>
          <w:rFonts w:cs="Arial"/>
        </w:rPr>
        <w:t xml:space="preserve">of </w:t>
      </w:r>
      <w:r w:rsidR="00324970" w:rsidRPr="00324970">
        <w:rPr>
          <w:rFonts w:cs="Arial"/>
        </w:rPr>
        <w:t>Supplemental Nutrition Assistance Program</w:t>
      </w:r>
      <w:r w:rsidR="00324970">
        <w:rPr>
          <w:rFonts w:cs="Arial"/>
        </w:rPr>
        <w:t xml:space="preserve"> (</w:t>
      </w:r>
      <w:r w:rsidRPr="008411F1">
        <w:rPr>
          <w:rFonts w:cs="Arial"/>
        </w:rPr>
        <w:t>SNAP</w:t>
      </w:r>
      <w:r w:rsidR="00324970">
        <w:rPr>
          <w:rFonts w:cs="Arial"/>
        </w:rPr>
        <w:t>)</w:t>
      </w:r>
      <w:r w:rsidR="00726CA7">
        <w:rPr>
          <w:rFonts w:cs="Arial"/>
        </w:rPr>
        <w:t xml:space="preserve"> benefits</w:t>
      </w:r>
      <w:r w:rsidR="00A41B08">
        <w:rPr>
          <w:rFonts w:cs="Arial"/>
        </w:rPr>
        <w:t>,</w:t>
      </w:r>
      <w:r w:rsidR="00726CA7">
        <w:rPr>
          <w:rFonts w:cs="Arial"/>
        </w:rPr>
        <w:t xml:space="preserve"> </w:t>
      </w:r>
      <w:r w:rsidRPr="008411F1">
        <w:rPr>
          <w:rFonts w:cs="Arial"/>
        </w:rPr>
        <w:t>other nutrition programs</w:t>
      </w:r>
      <w:r w:rsidR="00E379BD">
        <w:rPr>
          <w:rFonts w:cs="Arial"/>
        </w:rPr>
        <w:t xml:space="preserve">, </w:t>
      </w:r>
      <w:r w:rsidR="00A41B08">
        <w:rPr>
          <w:rFonts w:cs="Arial"/>
        </w:rPr>
        <w:t xml:space="preserve">and </w:t>
      </w:r>
      <w:r w:rsidRPr="008411F1">
        <w:rPr>
          <w:rFonts w:cs="Arial"/>
        </w:rPr>
        <w:t>some Medicaid benefit</w:t>
      </w:r>
      <w:r w:rsidR="00726CA7">
        <w:rPr>
          <w:rFonts w:cs="Arial"/>
        </w:rPr>
        <w:t xml:space="preserve">s, as the regulations would </w:t>
      </w:r>
      <w:r w:rsidR="00536837">
        <w:rPr>
          <w:rFonts w:cs="Arial"/>
        </w:rPr>
        <w:t>not</w:t>
      </w:r>
      <w:r w:rsidR="00726CA7">
        <w:rPr>
          <w:rFonts w:cs="Arial"/>
        </w:rPr>
        <w:t xml:space="preserve"> expressly exclude those programs</w:t>
      </w:r>
      <w:r w:rsidR="00536837">
        <w:rPr>
          <w:rFonts w:cs="Arial"/>
        </w:rPr>
        <w:t xml:space="preserve"> </w:t>
      </w:r>
      <w:r w:rsidR="00BA45E3">
        <w:rPr>
          <w:rFonts w:cs="Arial"/>
        </w:rPr>
        <w:t>like</w:t>
      </w:r>
      <w:r w:rsidR="00536837">
        <w:rPr>
          <w:rFonts w:cs="Arial"/>
        </w:rPr>
        <w:t xml:space="preserve"> the 2019 version did</w:t>
      </w:r>
      <w:r w:rsidR="00A41B08">
        <w:rPr>
          <w:rFonts w:cs="Arial"/>
        </w:rPr>
        <w:t>.</w:t>
      </w:r>
    </w:p>
    <w:p w14:paraId="58D3D176" w14:textId="77777777" w:rsidR="001221A5" w:rsidRPr="008411F1" w:rsidRDefault="001221A5" w:rsidP="001221A5">
      <w:pPr>
        <w:rPr>
          <w:rFonts w:cs="Arial"/>
        </w:rPr>
      </w:pPr>
      <w:r w:rsidRPr="008411F1">
        <w:rPr>
          <w:rFonts w:cs="Arial"/>
        </w:rPr>
        <w:t xml:space="preserve">Advocates have noted that the policy discourages families from signing up for programs </w:t>
      </w:r>
      <w:r w:rsidRPr="008411F1">
        <w:rPr>
          <w:rFonts w:cs="Arial"/>
        </w:rPr>
        <w:lastRenderedPageBreak/>
        <w:t xml:space="preserve">they may need </w:t>
      </w:r>
      <w:proofErr w:type="gramStart"/>
      <w:r w:rsidRPr="008411F1">
        <w:rPr>
          <w:rFonts w:cs="Arial"/>
        </w:rPr>
        <w:t>in order to</w:t>
      </w:r>
      <w:proofErr w:type="gramEnd"/>
      <w:r w:rsidRPr="008411F1">
        <w:rPr>
          <w:rFonts w:cs="Arial"/>
        </w:rPr>
        <w:t xml:space="preserve"> avoid putting their immigration status at risk.  Anecdata from the last time the rule was in place, along with later studies, suggest that immigrant families avoided using health services.  The administration estimates the government would save nearly $9 billion annually in health costs because “aliens as well as U.S. citizens who are members of mixed-status households” would voluntarily leave Medicaid.  The analysis published in the </w:t>
      </w:r>
      <w:r w:rsidRPr="00726CA7">
        <w:rPr>
          <w:rFonts w:cs="Arial"/>
          <w:i/>
          <w:iCs/>
        </w:rPr>
        <w:t>Federal Register</w:t>
      </w:r>
      <w:r w:rsidRPr="008411F1">
        <w:rPr>
          <w:rFonts w:cs="Arial"/>
        </w:rPr>
        <w:t xml:space="preserve"> names additional potential “downstream effects on public health,” including “worse health outcomes,” “higher prevalence of communicable diseases,” “increased poverty, housing instability, reduced productivity, and lower educational attainment.”</w:t>
      </w:r>
    </w:p>
    <w:p w14:paraId="51178870" w14:textId="77777777" w:rsidR="001221A5" w:rsidRPr="008411F1" w:rsidRDefault="001221A5" w:rsidP="001221A5">
      <w:pPr>
        <w:rPr>
          <w:rFonts w:cs="Arial"/>
        </w:rPr>
      </w:pPr>
      <w:r w:rsidRPr="008411F1">
        <w:rPr>
          <w:rFonts w:cs="Arial"/>
        </w:rPr>
        <w:t xml:space="preserve">The rule has been </w:t>
      </w:r>
      <w:hyperlink r:id="rId12" w:tooltip="link to public charge rule for comment" w:history="1">
        <w:r w:rsidRPr="008411F1">
          <w:rPr>
            <w:rStyle w:val="Hyperlink"/>
            <w:rFonts w:cs="Arial"/>
          </w:rPr>
          <w:t>issued for public comment by DHS here</w:t>
        </w:r>
      </w:hyperlink>
      <w:r w:rsidRPr="008411F1">
        <w:rPr>
          <w:rFonts w:cs="Arial"/>
        </w:rPr>
        <w:t>; comments are due December 19</w:t>
      </w:r>
      <w:r w:rsidRPr="008411F1">
        <w:rPr>
          <w:rFonts w:cs="Arial"/>
          <w:vertAlign w:val="superscript"/>
        </w:rPr>
        <w:t>th</w:t>
      </w:r>
      <w:r w:rsidRPr="008411F1">
        <w:rPr>
          <w:rFonts w:cs="Arial"/>
        </w:rPr>
        <w:t xml:space="preserve">.  </w:t>
      </w:r>
    </w:p>
    <w:p w14:paraId="4EA7EE92" w14:textId="041620F0" w:rsidR="00FA5231" w:rsidRDefault="001221A5" w:rsidP="0082111D">
      <w:pPr>
        <w:rPr>
          <w:rFonts w:cs="Arial"/>
        </w:rPr>
      </w:pPr>
      <w:r w:rsidRPr="008411F1">
        <w:rPr>
          <w:rFonts w:cs="Arial"/>
        </w:rPr>
        <w:t>Author: JCM</w:t>
      </w:r>
    </w:p>
    <w:p w14:paraId="625B27FB" w14:textId="77777777" w:rsidR="000A2ACD" w:rsidRPr="0052448A" w:rsidRDefault="000A2ACD" w:rsidP="00810DB3">
      <w:pPr>
        <w:pStyle w:val="Heading3"/>
      </w:pPr>
      <w:bookmarkStart w:id="10" w:name="_Toc214627939"/>
      <w:r w:rsidRPr="0052448A">
        <w:t>Senate Passes Long-Awaited Whole Milk Bill</w:t>
      </w:r>
      <w:bookmarkEnd w:id="10"/>
    </w:p>
    <w:p w14:paraId="6526D7DE" w14:textId="1B6D6946" w:rsidR="000A2ACD" w:rsidRPr="000A2ACD" w:rsidRDefault="000A2ACD" w:rsidP="001B06D0">
      <w:pPr>
        <w:spacing w:before="0" w:after="240"/>
        <w:rPr>
          <w:rFonts w:cs="Arial"/>
        </w:rPr>
      </w:pPr>
      <w:r w:rsidRPr="000A2ACD">
        <w:rPr>
          <w:rFonts w:cs="Arial"/>
        </w:rPr>
        <w:t>The Senate passed bipartisan legislation this week to expand the uptake of whole milk in school meals.  The legislation — which was first brought to the Senate more than a year ago — would explicitly permit school meal programs to serve whole or whole</w:t>
      </w:r>
      <w:r w:rsidR="0027159C">
        <w:rPr>
          <w:rFonts w:cs="Arial"/>
        </w:rPr>
        <w:t>-</w:t>
      </w:r>
      <w:r w:rsidRPr="000A2ACD">
        <w:rPr>
          <w:rFonts w:cs="Arial"/>
        </w:rPr>
        <w:t xml:space="preserve">flavored </w:t>
      </w:r>
      <w:proofErr w:type="gramStart"/>
      <w:r w:rsidRPr="000A2ACD">
        <w:rPr>
          <w:rFonts w:cs="Arial"/>
        </w:rPr>
        <w:t>milk, and</w:t>
      </w:r>
      <w:proofErr w:type="gramEnd"/>
      <w:r w:rsidRPr="000A2ACD">
        <w:rPr>
          <w:rFonts w:cs="Arial"/>
        </w:rPr>
        <w:t xml:space="preserve"> would exclude milk fat from the total saturated fat calculations.  Saturated fat in school meals is capped by the U.S. Department of Agriculture.</w:t>
      </w:r>
    </w:p>
    <w:p w14:paraId="565FED21" w14:textId="70FFE55C" w:rsidR="000A2ACD" w:rsidRPr="000A2ACD" w:rsidRDefault="000A2ACD" w:rsidP="001B06D0">
      <w:pPr>
        <w:spacing w:before="0" w:after="240"/>
        <w:rPr>
          <w:rFonts w:cs="Arial"/>
        </w:rPr>
      </w:pPr>
      <w:r w:rsidRPr="000A2ACD">
        <w:rPr>
          <w:rFonts w:cs="Arial"/>
        </w:rPr>
        <w:t>Some Senators have expressed concern about how lactose intolerance is treated under the bill but agreed to pass the bill while a solution is negotiated.  A House version of the bill passed earlier in the year, but the House must now pass the Senate version before it goes to the President for signature.  It is likely the change will be implemented in time for the start of the 2026-27 school year.</w:t>
      </w:r>
    </w:p>
    <w:p w14:paraId="25089B6B" w14:textId="240EFD06" w:rsidR="003561CA" w:rsidRPr="008411F1" w:rsidRDefault="000A2ACD" w:rsidP="00726CA7">
      <w:pPr>
        <w:spacing w:before="0" w:after="240"/>
        <w:rPr>
          <w:rFonts w:cs="Arial"/>
        </w:rPr>
      </w:pPr>
      <w:r w:rsidRPr="000A2ACD">
        <w:rPr>
          <w:rFonts w:cs="Arial"/>
        </w:rPr>
        <w:t>Author:</w:t>
      </w:r>
      <w:r w:rsidR="00EC3E1C">
        <w:rPr>
          <w:rFonts w:cs="Arial"/>
        </w:rPr>
        <w:t xml:space="preserve"> </w:t>
      </w:r>
      <w:r w:rsidRPr="000A2ACD">
        <w:rPr>
          <w:rFonts w:cs="Arial"/>
        </w:rPr>
        <w:t>JCM</w:t>
      </w:r>
    </w:p>
    <w:p w14:paraId="288B330C" w14:textId="28B48A80" w:rsidR="002E1045" w:rsidRPr="00BE2D0D" w:rsidRDefault="0057426E" w:rsidP="00BE2D0D">
      <w:pPr>
        <w:pStyle w:val="Heading2"/>
      </w:pPr>
      <w:bookmarkStart w:id="11" w:name="_Toc214627940"/>
      <w:r>
        <w:t>News</w:t>
      </w:r>
      <w:bookmarkEnd w:id="11"/>
    </w:p>
    <w:p w14:paraId="27A19A99" w14:textId="75B679A7" w:rsidR="00D40D2F" w:rsidRPr="002E62B6" w:rsidRDefault="00D40D2F" w:rsidP="00D40D2F">
      <w:pPr>
        <w:pStyle w:val="Heading3"/>
      </w:pPr>
      <w:bookmarkStart w:id="12" w:name="_ggr13ial007m" w:colFirst="0" w:colLast="0"/>
      <w:bookmarkStart w:id="13" w:name="_Toc214627941"/>
      <w:bookmarkEnd w:id="12"/>
      <w:r>
        <w:t xml:space="preserve">Brief </w:t>
      </w:r>
      <w:r w:rsidR="00C048FE">
        <w:t>F</w:t>
      </w:r>
      <w:r>
        <w:t>rom Congress Members Opposes Transgender Sports Bans</w:t>
      </w:r>
      <w:bookmarkEnd w:id="13"/>
    </w:p>
    <w:p w14:paraId="1AB2226E" w14:textId="5D412754" w:rsidR="00840ECE" w:rsidRDefault="00840ECE" w:rsidP="00840ECE">
      <w:pPr>
        <w:spacing w:after="240"/>
        <w:rPr>
          <w:rFonts w:eastAsia="Arial" w:cs="Arial"/>
        </w:rPr>
      </w:pPr>
      <w:r>
        <w:rPr>
          <w:rFonts w:eastAsia="Arial" w:cs="Arial"/>
        </w:rPr>
        <w:t xml:space="preserve">A democratic coalition of </w:t>
      </w:r>
      <w:r w:rsidR="00726CA7">
        <w:rPr>
          <w:rFonts w:eastAsia="Arial" w:cs="Arial"/>
        </w:rPr>
        <w:t>nine</w:t>
      </w:r>
      <w:r>
        <w:rPr>
          <w:rFonts w:eastAsia="Arial" w:cs="Arial"/>
        </w:rPr>
        <w:t xml:space="preserve"> senators and 121 members of the House of Representatives filed an amicus brief this week, urging the </w:t>
      </w:r>
      <w:r w:rsidR="00726CA7">
        <w:rPr>
          <w:rFonts w:eastAsia="Arial" w:cs="Arial"/>
        </w:rPr>
        <w:t xml:space="preserve">U.S. </w:t>
      </w:r>
      <w:r>
        <w:rPr>
          <w:rFonts w:eastAsia="Arial" w:cs="Arial"/>
        </w:rPr>
        <w:t>Supreme Court to reject two state laws that categorically ban transgender students from participating in school sports consistent with their gender identity.  An amicus brief is a filing from someone who is not a party to the case, but that offers a perspective on the issues</w:t>
      </w:r>
      <w:r w:rsidR="001D5BD3">
        <w:rPr>
          <w:rFonts w:eastAsia="Arial" w:cs="Arial"/>
        </w:rPr>
        <w:t xml:space="preserve"> </w:t>
      </w:r>
      <w:r>
        <w:rPr>
          <w:rFonts w:eastAsia="Arial" w:cs="Arial"/>
        </w:rPr>
        <w:t xml:space="preserve">presented.  The </w:t>
      </w:r>
      <w:r w:rsidR="00632ADC">
        <w:rPr>
          <w:rFonts w:eastAsia="Arial" w:cs="Arial"/>
        </w:rPr>
        <w:t>m</w:t>
      </w:r>
      <w:r>
        <w:rPr>
          <w:rFonts w:eastAsia="Arial" w:cs="Arial"/>
        </w:rPr>
        <w:t>embers of Congress were led by Representatives Becca Balint (D-VT)</w:t>
      </w:r>
      <w:r w:rsidR="00726CA7">
        <w:rPr>
          <w:rFonts w:eastAsia="Arial" w:cs="Arial"/>
        </w:rPr>
        <w:t xml:space="preserve"> and</w:t>
      </w:r>
      <w:r>
        <w:rPr>
          <w:rFonts w:eastAsia="Arial" w:cs="Arial"/>
        </w:rPr>
        <w:t xml:space="preserve"> Teresa Leger Fernández (D-NM), and Senator Mazie Hirono (D-HI). </w:t>
      </w:r>
    </w:p>
    <w:p w14:paraId="3EDF902E" w14:textId="01AB4EE6" w:rsidR="00840ECE" w:rsidRDefault="00840ECE" w:rsidP="00840ECE">
      <w:pPr>
        <w:spacing w:after="240"/>
        <w:rPr>
          <w:rFonts w:eastAsia="Arial" w:cs="Arial"/>
        </w:rPr>
      </w:pPr>
      <w:r>
        <w:rPr>
          <w:rFonts w:eastAsia="Arial" w:cs="Arial"/>
        </w:rPr>
        <w:t xml:space="preserve">The Court is considering two cases, </w:t>
      </w:r>
      <w:r>
        <w:rPr>
          <w:rFonts w:eastAsia="Arial" w:cs="Arial"/>
          <w:i/>
          <w:iCs/>
        </w:rPr>
        <w:t>West Virginia v. B.P.J.</w:t>
      </w:r>
      <w:r>
        <w:rPr>
          <w:rFonts w:eastAsia="Arial" w:cs="Arial"/>
        </w:rPr>
        <w:t xml:space="preserve"> and </w:t>
      </w:r>
      <w:r>
        <w:rPr>
          <w:rFonts w:eastAsia="Arial" w:cs="Arial"/>
          <w:i/>
          <w:iCs/>
        </w:rPr>
        <w:t xml:space="preserve">Little v. Hecox, </w:t>
      </w:r>
      <w:r>
        <w:rPr>
          <w:rFonts w:eastAsia="Arial" w:cs="Arial"/>
        </w:rPr>
        <w:t>where impacted students and families are challenging state laws in West Virginia and Idaho.  Both laws require teams from public primary, secondary, and postsecondary institutions to be designated by biological sex</w:t>
      </w:r>
      <w:r w:rsidR="009E3757">
        <w:rPr>
          <w:rFonts w:eastAsia="Arial" w:cs="Arial"/>
        </w:rPr>
        <w:t xml:space="preserve">, preventing transgender students from participating on </w:t>
      </w:r>
      <w:r w:rsidR="009E3757">
        <w:rPr>
          <w:rFonts w:eastAsia="Arial" w:cs="Arial"/>
        </w:rPr>
        <w:lastRenderedPageBreak/>
        <w:t>girls’ sports teams</w:t>
      </w:r>
      <w:r>
        <w:rPr>
          <w:rFonts w:eastAsia="Arial" w:cs="Arial"/>
        </w:rPr>
        <w:t>.  The laws also specify how disputes</w:t>
      </w:r>
      <w:r w:rsidR="009E3757">
        <w:rPr>
          <w:rFonts w:eastAsia="Arial" w:cs="Arial"/>
        </w:rPr>
        <w:t xml:space="preserve"> over a student’s sex</w:t>
      </w:r>
      <w:r>
        <w:rPr>
          <w:rFonts w:eastAsia="Arial" w:cs="Arial"/>
        </w:rPr>
        <w:t xml:space="preserve"> are handled, with a student whose sex is questioned being required to provide </w:t>
      </w:r>
      <w:r w:rsidR="009E3757">
        <w:rPr>
          <w:rFonts w:eastAsia="Arial" w:cs="Arial"/>
        </w:rPr>
        <w:t xml:space="preserve">certain </w:t>
      </w:r>
      <w:r>
        <w:rPr>
          <w:rFonts w:eastAsia="Arial" w:cs="Arial"/>
        </w:rPr>
        <w:t xml:space="preserve">medical records. </w:t>
      </w:r>
    </w:p>
    <w:p w14:paraId="21AB13B9" w14:textId="2BF0E80E" w:rsidR="00840ECE" w:rsidRDefault="00840ECE" w:rsidP="00840ECE">
      <w:pPr>
        <w:spacing w:after="240"/>
        <w:rPr>
          <w:rFonts w:eastAsia="Arial" w:cs="Arial"/>
        </w:rPr>
      </w:pPr>
      <w:r>
        <w:rPr>
          <w:rFonts w:eastAsia="Arial" w:cs="Arial"/>
        </w:rPr>
        <w:t>In the brief, the members of Congress argue that the categorical bans lead to harassment, privacy intrusions, and harmful scrutiny of girls’ bodies.  They provide multiple instances where</w:t>
      </w:r>
      <w:r w:rsidR="00D80F1A">
        <w:rPr>
          <w:rFonts w:eastAsia="Arial" w:cs="Arial"/>
        </w:rPr>
        <w:t xml:space="preserve"> transgender and</w:t>
      </w:r>
      <w:r>
        <w:rPr>
          <w:rFonts w:eastAsia="Arial" w:cs="Arial"/>
        </w:rPr>
        <w:t xml:space="preserve"> cisgender girls were subject to examinations and investigations when others questioned their sex because they won multiple games or did not “look feminine enough.”  In one example, adults and students were asked to describe how </w:t>
      </w:r>
      <w:r w:rsidR="003B2D56">
        <w:rPr>
          <w:rFonts w:eastAsia="Arial" w:cs="Arial"/>
        </w:rPr>
        <w:t>a</w:t>
      </w:r>
      <w:r>
        <w:rPr>
          <w:rFonts w:eastAsia="Arial" w:cs="Arial"/>
        </w:rPr>
        <w:t xml:space="preserve"> student undressed as part of an investigation.  The members argue that these harmful incidents will continue and multiply if the laws are left in place. </w:t>
      </w:r>
    </w:p>
    <w:p w14:paraId="3B205FF9" w14:textId="0E6AEADC" w:rsidR="00840ECE" w:rsidRDefault="00840ECE" w:rsidP="00840ECE">
      <w:pPr>
        <w:spacing w:after="240"/>
        <w:rPr>
          <w:rFonts w:eastAsia="Arial" w:cs="Arial"/>
        </w:rPr>
      </w:pPr>
      <w:r>
        <w:rPr>
          <w:rFonts w:eastAsia="Arial" w:cs="Arial"/>
        </w:rPr>
        <w:t>The members also argue that the laws keep students from participating in sports and do not reduce the disparities that are already present within girls' and boys' sports.  The brief states, “</w:t>
      </w:r>
      <w:r w:rsidR="00632ADC">
        <w:rPr>
          <w:rFonts w:eastAsia="Arial" w:cs="Arial"/>
        </w:rPr>
        <w:t>[e]</w:t>
      </w:r>
      <w:proofErr w:type="spellStart"/>
      <w:r>
        <w:rPr>
          <w:rFonts w:eastAsia="Arial" w:cs="Arial"/>
        </w:rPr>
        <w:t>veryone</w:t>
      </w:r>
      <w:proofErr w:type="spellEnd"/>
      <w:r>
        <w:rPr>
          <w:rFonts w:eastAsia="Arial" w:cs="Arial"/>
        </w:rPr>
        <w:t xml:space="preserve"> wants sports to be fair, but categorical bans are not tailored to achieve that end. </w:t>
      </w:r>
      <w:r w:rsidR="00632ADC">
        <w:rPr>
          <w:rFonts w:eastAsia="Arial" w:cs="Arial"/>
        </w:rPr>
        <w:t xml:space="preserve"> </w:t>
      </w:r>
      <w:r>
        <w:rPr>
          <w:rFonts w:eastAsia="Arial" w:cs="Arial"/>
        </w:rPr>
        <w:t xml:space="preserve">In fact, they promote unfairness by precluding students from obtaining the benefits of youth sports </w:t>
      </w:r>
      <w:proofErr w:type="gramStart"/>
      <w:r>
        <w:rPr>
          <w:rFonts w:eastAsia="Arial" w:cs="Arial"/>
        </w:rPr>
        <w:t>on the basis of</w:t>
      </w:r>
      <w:proofErr w:type="gramEnd"/>
      <w:r>
        <w:rPr>
          <w:rFonts w:eastAsia="Arial" w:cs="Arial"/>
        </w:rPr>
        <w:t xml:space="preserve"> sex.”</w:t>
      </w:r>
    </w:p>
    <w:p w14:paraId="640E9D09" w14:textId="77777777" w:rsidR="00840ECE" w:rsidRDefault="00840ECE" w:rsidP="00840ECE">
      <w:pPr>
        <w:spacing w:after="240"/>
        <w:rPr>
          <w:rFonts w:eastAsia="Arial" w:cs="Arial"/>
        </w:rPr>
      </w:pPr>
      <w:r>
        <w:rPr>
          <w:rFonts w:eastAsia="Arial" w:cs="Arial"/>
        </w:rPr>
        <w:t xml:space="preserve">The bills are inconsistent with Title IX’s prohibition on sex discrimination, the members argue.  They also point to recent bill proposals that sought to amend Title IX by adding categorical bans, saying that the failed bills suggest that the language of Title IX already prohibits discrimination based on transgender status.  </w:t>
      </w:r>
    </w:p>
    <w:p w14:paraId="1FAB4A59" w14:textId="18B4D4A2" w:rsidR="00840ECE" w:rsidRDefault="00840ECE" w:rsidP="00840ECE">
      <w:pPr>
        <w:spacing w:after="240"/>
        <w:rPr>
          <w:rFonts w:eastAsia="Arial" w:cs="Arial"/>
        </w:rPr>
      </w:pPr>
      <w:r>
        <w:rPr>
          <w:rFonts w:eastAsia="Arial" w:cs="Arial"/>
        </w:rPr>
        <w:t xml:space="preserve">The brief follows another amicus brief filed by 48 </w:t>
      </w:r>
      <w:r w:rsidR="00632ADC">
        <w:rPr>
          <w:rFonts w:eastAsia="Arial" w:cs="Arial"/>
        </w:rPr>
        <w:t>R</w:t>
      </w:r>
      <w:r>
        <w:rPr>
          <w:rFonts w:eastAsia="Arial" w:cs="Arial"/>
        </w:rPr>
        <w:t xml:space="preserve">epublican members of Congress in September.  In that brief, the members argued that sex discrimination in Title IX does not refer to gender identity, and that only Congress has the authority to amend the definition in the statute. </w:t>
      </w:r>
    </w:p>
    <w:p w14:paraId="5BCE0215" w14:textId="582A3371" w:rsidR="00840ECE" w:rsidRPr="002E62B6" w:rsidRDefault="00840ECE" w:rsidP="00840ECE">
      <w:pPr>
        <w:spacing w:after="240"/>
        <w:rPr>
          <w:rFonts w:eastAsia="Arial" w:cs="Arial"/>
        </w:rPr>
      </w:pPr>
      <w:r w:rsidRPr="002E62B6">
        <w:rPr>
          <w:rFonts w:eastAsia="Arial" w:cs="Arial"/>
        </w:rPr>
        <w:t xml:space="preserve">The Court will hear the cases in January. </w:t>
      </w:r>
    </w:p>
    <w:p w14:paraId="0932CEAD" w14:textId="77777777" w:rsidR="00840ECE" w:rsidRPr="002E62B6" w:rsidRDefault="00840ECE" w:rsidP="00840ECE">
      <w:pPr>
        <w:spacing w:after="240"/>
        <w:rPr>
          <w:rStyle w:val="Hyperlink"/>
          <w:rFonts w:eastAsia="Arial" w:cs="Arial"/>
        </w:rPr>
      </w:pPr>
      <w:r>
        <w:rPr>
          <w:rFonts w:eastAsia="Arial" w:cs="Arial"/>
        </w:rPr>
        <w:fldChar w:fldCharType="begin"/>
      </w:r>
      <w:r>
        <w:rPr>
          <w:rFonts w:eastAsia="Arial" w:cs="Arial"/>
        </w:rPr>
        <w:instrText>HYPERLINK "https://www.supremecourt.gov/DocketPDF/24/24-38/384767/20251117145811114_MembersofCongressAmici.pdf" \o "This week’s amicus brief can be viewed here."</w:instrText>
      </w:r>
      <w:r>
        <w:rPr>
          <w:rFonts w:eastAsia="Arial" w:cs="Arial"/>
        </w:rPr>
      </w:r>
      <w:r>
        <w:rPr>
          <w:rFonts w:eastAsia="Arial" w:cs="Arial"/>
        </w:rPr>
        <w:fldChar w:fldCharType="separate"/>
      </w:r>
      <w:r w:rsidRPr="002E62B6">
        <w:rPr>
          <w:rStyle w:val="Hyperlink"/>
          <w:rFonts w:eastAsia="Arial" w:cs="Arial"/>
        </w:rPr>
        <w:t>This week’s amicus brief can be viewed here.</w:t>
      </w:r>
    </w:p>
    <w:p w14:paraId="7D2F7DAA" w14:textId="77777777" w:rsidR="00840ECE" w:rsidRDefault="00840ECE" w:rsidP="00840ECE">
      <w:pPr>
        <w:spacing w:after="240"/>
        <w:rPr>
          <w:rFonts w:eastAsia="Arial" w:cs="Arial"/>
        </w:rPr>
      </w:pPr>
      <w:r>
        <w:rPr>
          <w:rFonts w:eastAsia="Arial" w:cs="Arial"/>
        </w:rPr>
        <w:fldChar w:fldCharType="end"/>
      </w:r>
      <w:r>
        <w:rPr>
          <w:rFonts w:eastAsia="Arial" w:cs="Arial"/>
        </w:rPr>
        <w:t xml:space="preserve">Author: BTW </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23F2B82A"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208153B3" w14:textId="2C5DB228" w:rsidR="00896108" w:rsidRDefault="00896108" w:rsidP="2193F663">
      <w:pPr>
        <w:spacing w:before="240" w:after="240"/>
        <w:rPr>
          <w:rFonts w:eastAsia="Times New Roman" w:cs="Arial"/>
        </w:rPr>
      </w:pPr>
      <w:r w:rsidRPr="00896108">
        <w:rPr>
          <w:rFonts w:eastAsia="Times New Roman" w:cs="Arial"/>
        </w:rPr>
        <w:t>Posted by the California Department of Education, November 2025</w:t>
      </w:r>
    </w:p>
    <w:sectPr w:rsidR="00896108" w:rsidSect="008C514B">
      <w:headerReference w:type="default" r:id="rId13"/>
      <w:footerReference w:type="default" r:id="rId14"/>
      <w:headerReference w:type="first" r:id="rId15"/>
      <w:footerReference w:type="first" r:id="rId16"/>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4773" w14:textId="77777777" w:rsidR="0041520F" w:rsidRDefault="0041520F">
      <w:pPr>
        <w:spacing w:before="0" w:after="0"/>
      </w:pPr>
      <w:r>
        <w:separator/>
      </w:r>
    </w:p>
  </w:endnote>
  <w:endnote w:type="continuationSeparator" w:id="0">
    <w:p w14:paraId="09875D77" w14:textId="77777777" w:rsidR="0041520F" w:rsidRDefault="0041520F">
      <w:pPr>
        <w:spacing w:before="0" w:after="0"/>
      </w:pPr>
      <w:r>
        <w:continuationSeparator/>
      </w:r>
    </w:p>
  </w:endnote>
  <w:endnote w:type="continuationNotice" w:id="1">
    <w:p w14:paraId="4CB66F09" w14:textId="77777777" w:rsidR="0041520F" w:rsidRDefault="004152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AC16" w14:textId="77777777" w:rsidR="0041520F" w:rsidRDefault="0041520F">
      <w:pPr>
        <w:spacing w:before="0" w:after="0"/>
      </w:pPr>
      <w:r>
        <w:separator/>
      </w:r>
    </w:p>
  </w:footnote>
  <w:footnote w:type="continuationSeparator" w:id="0">
    <w:p w14:paraId="7FB418E2" w14:textId="77777777" w:rsidR="0041520F" w:rsidRDefault="0041520F">
      <w:pPr>
        <w:spacing w:before="0" w:after="0"/>
      </w:pPr>
      <w:r>
        <w:continuationSeparator/>
      </w:r>
    </w:p>
  </w:footnote>
  <w:footnote w:type="continuationNotice" w:id="1">
    <w:p w14:paraId="12547E89" w14:textId="77777777" w:rsidR="0041520F" w:rsidRDefault="004152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D5F631E" w:rsidR="003C7552" w:rsidRPr="00662BDC" w:rsidRDefault="00666BC7" w:rsidP="000A590A">
    <w:pPr>
      <w:pStyle w:val="NoSpacing"/>
      <w:tabs>
        <w:tab w:val="left" w:pos="7920"/>
      </w:tabs>
    </w:pPr>
    <w:r>
      <w:t xml:space="preserve">November </w:t>
    </w:r>
    <w:r w:rsidR="000D25EF">
      <w:t>21</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5DE"/>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1C18"/>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20A8"/>
    <w:rsid w:val="00192296"/>
    <w:rsid w:val="00192385"/>
    <w:rsid w:val="001925F1"/>
    <w:rsid w:val="001926B9"/>
    <w:rsid w:val="00192B54"/>
    <w:rsid w:val="00192DCE"/>
    <w:rsid w:val="00192FE2"/>
    <w:rsid w:val="00193150"/>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6CB"/>
    <w:rsid w:val="002C3803"/>
    <w:rsid w:val="002C40D1"/>
    <w:rsid w:val="002C4106"/>
    <w:rsid w:val="002C41B0"/>
    <w:rsid w:val="002C4280"/>
    <w:rsid w:val="002C43F3"/>
    <w:rsid w:val="002C464B"/>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39EA"/>
    <w:rsid w:val="00414020"/>
    <w:rsid w:val="00414293"/>
    <w:rsid w:val="00414853"/>
    <w:rsid w:val="00414BE7"/>
    <w:rsid w:val="004150B4"/>
    <w:rsid w:val="0041520F"/>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705"/>
    <w:rsid w:val="0053287A"/>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ADC"/>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337"/>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3CD3"/>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729"/>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CD4"/>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108"/>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453"/>
    <w:rsid w:val="009A06D6"/>
    <w:rsid w:val="009A1051"/>
    <w:rsid w:val="009A117D"/>
    <w:rsid w:val="009A1422"/>
    <w:rsid w:val="009A23AB"/>
    <w:rsid w:val="009A2452"/>
    <w:rsid w:val="009A248B"/>
    <w:rsid w:val="009A272D"/>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7F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7B"/>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6F9"/>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5BE"/>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5BFE"/>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5B7"/>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CF4"/>
    <w:rsid w:val="00DC5E16"/>
    <w:rsid w:val="00DC6034"/>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3C10"/>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5/11/19/2025-20278/public-charge-ground-of-inadmissi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ompare/2025-10-01/to/2025-09-30/title-2/subtitle-B/chapter-III/part-3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rsa.gov/sites/default/files/hrsa/grants/manage/hhs-regulation-changes-overview.pdf" TargetMode="External"/><Relationship Id="rId4" Type="http://schemas.openxmlformats.org/officeDocument/2006/relationships/settings" Target="settings.xml"/><Relationship Id="rId9" Type="http://schemas.openxmlformats.org/officeDocument/2006/relationships/hyperlink" Target="https://www.hhs.gov/sites/default/files/hhs-grants-policy-statement-oct-2025.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2163</Words>
  <Characters>11854</Characters>
  <Application>Microsoft Office Word</Application>
  <DocSecurity>0</DocSecurity>
  <Lines>207</Lines>
  <Paragraphs>71</Paragraphs>
  <ScaleCrop>false</ScaleCrop>
  <HeadingPairs>
    <vt:vector size="2" baseType="variant">
      <vt:variant>
        <vt:lpstr>Title</vt:lpstr>
      </vt:variant>
      <vt:variant>
        <vt:i4>1</vt:i4>
      </vt:variant>
    </vt:vector>
  </HeadingPairs>
  <TitlesOfParts>
    <vt:vector size="1" baseType="lpstr">
      <vt:lpstr>Federal Update: November 21 - Government Affairs (CA Dept of Education)</vt:lpstr>
    </vt:vector>
  </TitlesOfParts>
  <Company/>
  <LinksUpToDate>false</LinksUpToDate>
  <CharactersWithSpaces>13946</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21 - Government Affairs (CA Dept of Education)</dc:title>
  <dc:subject>Federal Updates for November 21, 2025.</dc:subject>
  <dc:creator/>
  <cp:keywords/>
  <dc:description/>
  <cp:lastModifiedBy/>
  <cp:revision>1</cp:revision>
  <dcterms:created xsi:type="dcterms:W3CDTF">2026-02-04T19:59:00Z</dcterms:created>
  <dcterms:modified xsi:type="dcterms:W3CDTF">2026-02-04T22:25:00Z</dcterms:modified>
</cp:coreProperties>
</file>