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C02E" w14:textId="3F9835E2" w:rsidR="00991830" w:rsidRDefault="006D66C1" w:rsidP="00DD1175">
      <w:pPr>
        <w:pStyle w:val="Heading1"/>
      </w:pPr>
      <w:r w:rsidRPr="00451AAA">
        <w:t>FINDING OF EMERGENCY</w:t>
      </w:r>
      <w:r w:rsidR="006A7938">
        <w:br/>
      </w:r>
      <w:r w:rsidR="00991830" w:rsidRPr="3D8EB197">
        <w:t>Readoption of Emergency Regulations</w:t>
      </w:r>
    </w:p>
    <w:p w14:paraId="4D57F7AB" w14:textId="7E299BBB" w:rsidR="006352F7" w:rsidRPr="006352F7" w:rsidRDefault="006352F7" w:rsidP="006352F7">
      <w:pPr>
        <w:jc w:val="center"/>
      </w:pPr>
      <w:r>
        <w:t>Physical Fitness Test</w:t>
      </w:r>
    </w:p>
    <w:p w14:paraId="6086361B" w14:textId="77777777" w:rsidR="006352F7" w:rsidRPr="006352F7" w:rsidRDefault="006352F7" w:rsidP="006352F7">
      <w:pPr>
        <w:jc w:val="center"/>
      </w:pPr>
    </w:p>
    <w:p w14:paraId="5B7DA77F" w14:textId="77777777" w:rsidR="00971610" w:rsidRPr="00451AAA" w:rsidRDefault="006D66C1" w:rsidP="006A7938">
      <w:pPr>
        <w:spacing w:after="240"/>
      </w:pPr>
      <w:r w:rsidRPr="00451AAA">
        <w:rPr>
          <w:rFonts w:cs="Arial"/>
        </w:rPr>
        <w:t>The State Board of Education (SBE) finds that an emergency exists and that the emergency regulations adopted are necessary to avoid serious harm to the public peace, health, safety, or general welfare, especially the welfare of students attending California’s public schools.</w:t>
      </w:r>
      <w:r w:rsidR="00971610" w:rsidRPr="00451AAA">
        <w:rPr>
          <w:rFonts w:cs="Arial"/>
        </w:rPr>
        <w:t xml:space="preserve"> </w:t>
      </w:r>
    </w:p>
    <w:p w14:paraId="79C73987" w14:textId="77777777" w:rsidR="006D66C1" w:rsidRPr="00451AAA" w:rsidRDefault="006D66C1" w:rsidP="00DD1175">
      <w:pPr>
        <w:pStyle w:val="Heading2"/>
      </w:pPr>
      <w:r w:rsidRPr="00451AAA">
        <w:t xml:space="preserve">SPECIFIC FACTS DEMONSTRATING THE EXISTENCE OF AN EMERGENCY AND THE NEED FOR IMMEDIATE ACTION </w:t>
      </w:r>
    </w:p>
    <w:p w14:paraId="775960F9" w14:textId="602A8A56" w:rsidR="00065A6B" w:rsidRPr="00C72973" w:rsidRDefault="00991830" w:rsidP="00065A6B">
      <w:pPr>
        <w:pStyle w:val="Heading3"/>
        <w:rPr>
          <w:bCs/>
        </w:rPr>
      </w:pPr>
      <w:r w:rsidRPr="3D8EB197">
        <w:rPr>
          <w:bCs/>
        </w:rPr>
        <w:t>Necessity for Readoption for Emergency regulations</w:t>
      </w:r>
    </w:p>
    <w:p w14:paraId="7495B176" w14:textId="69C0FF53" w:rsidR="001B119C" w:rsidRDefault="001B119C" w:rsidP="00AB552E">
      <w:pPr>
        <w:spacing w:line="256" w:lineRule="auto"/>
        <w:rPr>
          <w:rFonts w:eastAsia="Arial" w:cs="Arial"/>
          <w:iCs/>
          <w:noProof/>
        </w:rPr>
      </w:pPr>
      <w:r>
        <w:rPr>
          <w:rFonts w:eastAsia="Arial" w:cs="Arial"/>
          <w:iCs/>
          <w:noProof/>
        </w:rPr>
        <w:t xml:space="preserve">The proposed amendments to California Code of Regulations, title 5, section 1040 must be readopted on an emergency basis in order to maintain the consistency of reporting </w:t>
      </w:r>
      <w:r w:rsidR="000645B3">
        <w:rPr>
          <w:rFonts w:eastAsia="Arial" w:cs="Arial"/>
          <w:iCs/>
          <w:noProof/>
        </w:rPr>
        <w:t>results of the 2021-2022 administration of the Physical Fitness Test</w:t>
      </w:r>
      <w:r w:rsidR="0053493B">
        <w:rPr>
          <w:rFonts w:eastAsia="Arial" w:cs="Arial"/>
          <w:iCs/>
          <w:noProof/>
        </w:rPr>
        <w:t xml:space="preserve"> (PFT)</w:t>
      </w:r>
      <w:r w:rsidR="000645B3">
        <w:rPr>
          <w:rFonts w:eastAsia="Arial" w:cs="Arial"/>
          <w:iCs/>
          <w:noProof/>
        </w:rPr>
        <w:t>.</w:t>
      </w:r>
    </w:p>
    <w:p w14:paraId="1B39A032" w14:textId="77777777" w:rsidR="001B119C" w:rsidRDefault="001B119C" w:rsidP="00AB552E">
      <w:pPr>
        <w:spacing w:line="256" w:lineRule="auto"/>
        <w:rPr>
          <w:rFonts w:eastAsia="Arial" w:cs="Arial"/>
          <w:iCs/>
          <w:noProof/>
        </w:rPr>
      </w:pPr>
    </w:p>
    <w:p w14:paraId="48819A92" w14:textId="2340BF45" w:rsidR="00AB552E" w:rsidRDefault="00AB552E" w:rsidP="00AB552E">
      <w:pPr>
        <w:spacing w:line="256" w:lineRule="auto"/>
        <w:rPr>
          <w:rFonts w:eastAsia="Arial" w:cs="Arial"/>
          <w:noProof/>
        </w:rPr>
      </w:pPr>
      <w:r w:rsidRPr="0085601D">
        <w:rPr>
          <w:rFonts w:eastAsia="Arial" w:cs="Arial"/>
          <w:iCs/>
          <w:noProof/>
        </w:rPr>
        <w:t>Education Code</w:t>
      </w:r>
      <w:r w:rsidRPr="0005036E">
        <w:rPr>
          <w:rFonts w:eastAsia="Arial" w:cs="Arial"/>
          <w:iCs/>
          <w:noProof/>
        </w:rPr>
        <w:t xml:space="preserve"> (</w:t>
      </w:r>
      <w:r w:rsidRPr="0085601D">
        <w:rPr>
          <w:rFonts w:eastAsia="Arial" w:cs="Arial"/>
          <w:iCs/>
          <w:noProof/>
        </w:rPr>
        <w:t>EC</w:t>
      </w:r>
      <w:r w:rsidRPr="0005036E">
        <w:rPr>
          <w:rFonts w:eastAsia="Arial" w:cs="Arial"/>
          <w:iCs/>
          <w:noProof/>
        </w:rPr>
        <w:t xml:space="preserve">) </w:t>
      </w:r>
      <w:r>
        <w:rPr>
          <w:rFonts w:eastAsia="Arial" w:cs="Arial"/>
          <w:noProof/>
        </w:rPr>
        <w:t>s</w:t>
      </w:r>
      <w:r w:rsidRPr="0005036E">
        <w:rPr>
          <w:rFonts w:eastAsia="Arial" w:cs="Arial"/>
          <w:noProof/>
        </w:rPr>
        <w:t>ection 60800 requires that local educational agencies (LEAs) administer the PFT, designated by the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w:t>
      </w:r>
      <w:r w:rsidR="0053493B">
        <w:rPr>
          <w:rFonts w:eastAsia="Arial" w:cs="Arial"/>
          <w:noProof/>
        </w:rPr>
        <w:t xml:space="preserve">alifornia </w:t>
      </w:r>
      <w:r w:rsidRPr="0005036E">
        <w:rPr>
          <w:rFonts w:eastAsia="Arial" w:cs="Arial"/>
          <w:noProof/>
        </w:rPr>
        <w:t>D</w:t>
      </w:r>
      <w:r w:rsidR="0053493B">
        <w:rPr>
          <w:rFonts w:eastAsia="Arial" w:cs="Arial"/>
          <w:noProof/>
        </w:rPr>
        <w:t xml:space="preserve">epartment of </w:t>
      </w:r>
      <w:r w:rsidRPr="0005036E">
        <w:rPr>
          <w:rFonts w:eastAsia="Arial" w:cs="Arial"/>
          <w:noProof/>
        </w:rPr>
        <w:t>E</w:t>
      </w:r>
      <w:r w:rsidR="0053493B">
        <w:rPr>
          <w:rFonts w:eastAsia="Arial" w:cs="Arial"/>
          <w:noProof/>
        </w:rPr>
        <w:t>ducation (CDE)</w:t>
      </w:r>
      <w:r w:rsidRPr="0005036E">
        <w:rPr>
          <w:rFonts w:eastAsia="Arial" w:cs="Arial"/>
          <w:noProof/>
        </w:rPr>
        <w:t xml:space="preserve"> at least every two years.</w:t>
      </w:r>
    </w:p>
    <w:p w14:paraId="1024E19F" w14:textId="77777777" w:rsidR="00AB552E" w:rsidRPr="0005036E" w:rsidRDefault="00AB552E" w:rsidP="00AB552E">
      <w:pPr>
        <w:spacing w:line="256" w:lineRule="auto"/>
        <w:rPr>
          <w:rFonts w:cs="Arial"/>
        </w:rPr>
      </w:pPr>
    </w:p>
    <w:p w14:paraId="2F13BDBD" w14:textId="71F04369" w:rsidR="00AB552E" w:rsidRDefault="00AB552E" w:rsidP="00AB552E">
      <w:pPr>
        <w:spacing w:line="256" w:lineRule="auto"/>
        <w:rPr>
          <w:rFonts w:eastAsia="Arial" w:cs="Arial"/>
          <w:noProof/>
        </w:rPr>
      </w:pPr>
      <w:r w:rsidRPr="0005036E">
        <w:rPr>
          <w:rFonts w:eastAsia="Arial" w:cs="Arial"/>
          <w:noProof/>
        </w:rPr>
        <w:t>The FITNESSGRAM</w:t>
      </w:r>
      <w:r w:rsidRPr="0005036E">
        <w:rPr>
          <w:rFonts w:eastAsia="Arial" w:cs="Arial"/>
          <w:noProof/>
          <w:vertAlign w:val="superscript"/>
        </w:rPr>
        <w:t>®</w:t>
      </w:r>
      <w:r w:rsidRPr="0005036E">
        <w:rPr>
          <w:rFonts w:eastAsia="Arial" w:cs="Arial"/>
          <w:noProof/>
        </w:rPr>
        <w:t xml:space="preserve"> was designated by the SBE in February 1996 as the PFT for California schools. The FITNESSGRAM</w:t>
      </w:r>
      <w:r w:rsidRPr="0005036E">
        <w:rPr>
          <w:rFonts w:eastAsia="Arial" w:cs="Arial"/>
          <w:noProof/>
          <w:vertAlign w:val="superscript"/>
        </w:rPr>
        <w:t>®</w:t>
      </w:r>
      <w:r w:rsidRPr="0005036E">
        <w:rPr>
          <w:rFonts w:eastAsia="Arial" w:cs="Arial"/>
          <w:noProof/>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w:t>
      </w:r>
      <w:r>
        <w:rPr>
          <w:rFonts w:eastAsia="Arial" w:cs="Arial"/>
          <w:noProof/>
        </w:rPr>
        <w:t xml:space="preserve"> (HFZ)</w:t>
      </w:r>
      <w:r w:rsidRPr="0005036E">
        <w:rPr>
          <w:rFonts w:eastAsia="Arial" w:cs="Arial"/>
          <w:noProof/>
        </w:rPr>
        <w:t xml:space="preserve">. </w:t>
      </w:r>
    </w:p>
    <w:p w14:paraId="29570B42" w14:textId="77777777" w:rsidR="00AB552E" w:rsidRPr="0005036E" w:rsidRDefault="00AB552E" w:rsidP="00AB552E">
      <w:pPr>
        <w:spacing w:line="256" w:lineRule="auto"/>
        <w:rPr>
          <w:rFonts w:eastAsia="Arial" w:cs="Arial"/>
          <w:noProof/>
        </w:rPr>
      </w:pPr>
    </w:p>
    <w:p w14:paraId="2362C850" w14:textId="77777777" w:rsidR="00AB552E" w:rsidRPr="0005036E" w:rsidRDefault="00AB552E" w:rsidP="00AB552E">
      <w:pPr>
        <w:spacing w:line="256" w:lineRule="auto"/>
        <w:rPr>
          <w:rFonts w:cs="Arial"/>
        </w:rPr>
      </w:pPr>
      <w:r w:rsidRPr="0085601D">
        <w:rPr>
          <w:rFonts w:cs="Arial"/>
          <w:noProof/>
        </w:rPr>
        <w:t>EC</w:t>
      </w:r>
      <w:r w:rsidRPr="0005036E">
        <w:rPr>
          <w:rFonts w:cs="Arial"/>
          <w:noProof/>
        </w:rPr>
        <w:t xml:space="preserve"> </w:t>
      </w:r>
      <w:r>
        <w:rPr>
          <w:rFonts w:cs="Arial"/>
          <w:noProof/>
        </w:rPr>
        <w:t>s</w:t>
      </w:r>
      <w:r w:rsidRPr="0005036E">
        <w:rPr>
          <w:rFonts w:cs="Arial"/>
          <w:noProof/>
        </w:rPr>
        <w:t xml:space="preserve">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 </w:t>
      </w:r>
    </w:p>
    <w:p w14:paraId="313139C2" w14:textId="77777777" w:rsidR="00AB552E" w:rsidRDefault="00AB552E" w:rsidP="00DD1175">
      <w:pPr>
        <w:rPr>
          <w:rFonts w:eastAsia="Arial"/>
        </w:rPr>
      </w:pPr>
    </w:p>
    <w:p w14:paraId="5510A4CE" w14:textId="7165CF0C" w:rsidR="00AB552E" w:rsidRDefault="3D8EB197" w:rsidP="00DD1175">
      <w:pPr>
        <w:rPr>
          <w:rFonts w:eastAsia="Arial"/>
        </w:rPr>
      </w:pPr>
      <w:r w:rsidRPr="36E9F576">
        <w:rPr>
          <w:rFonts w:eastAsia="Arial"/>
        </w:rPr>
        <w:t xml:space="preserve">Based on Senate Bill No. 179, chapter 852 (Stats. 2017), relating to a nonbinary option for identification of persons, the CDE’s California Longitudinal Pupil Achievement Data System (CALPADS) addressed and then began to accommodate the option of a nonbinary gender student code for the 2019-2020 academic year. On April 22, 2020, in response to the COVID-19 pandemic, Executive Order N-56-20, Section 13, waived the administration of the PFT for the 2019-2020 school year. </w:t>
      </w:r>
    </w:p>
    <w:p w14:paraId="65AE63D4" w14:textId="77777777" w:rsidR="00AB552E" w:rsidRDefault="00AB552E" w:rsidP="00DD1175">
      <w:pPr>
        <w:rPr>
          <w:rFonts w:eastAsia="Arial"/>
        </w:rPr>
      </w:pPr>
    </w:p>
    <w:p w14:paraId="236D7E61" w14:textId="443F9810" w:rsidR="3D8EB197" w:rsidRDefault="3D8EB197" w:rsidP="0053493B">
      <w:pPr>
        <w:spacing w:line="256" w:lineRule="auto"/>
        <w:rPr>
          <w:rFonts w:eastAsia="Arial"/>
        </w:rPr>
      </w:pPr>
      <w:r w:rsidRPr="36E9F576">
        <w:rPr>
          <w:rFonts w:eastAsia="Arial"/>
        </w:rPr>
        <w:t xml:space="preserve">Later that year, </w:t>
      </w:r>
      <w:r w:rsidR="00AB552E" w:rsidRPr="0005036E">
        <w:rPr>
          <w:rFonts w:eastAsia="Arial" w:cs="Arial"/>
          <w:noProof/>
        </w:rPr>
        <w:t xml:space="preserve">the Legislature passed and the Governor approved </w:t>
      </w:r>
      <w:r w:rsidR="00AB552E" w:rsidRPr="36E9F576">
        <w:rPr>
          <w:rFonts w:eastAsia="Arial"/>
        </w:rPr>
        <w:t xml:space="preserve">Senate Bill No. 820 </w:t>
      </w:r>
      <w:r w:rsidR="00AB552E" w:rsidRPr="0005036E">
        <w:rPr>
          <w:rFonts w:eastAsia="Arial" w:cs="Arial"/>
          <w:noProof/>
        </w:rPr>
        <w:t>(Stats. 2020, ch. 110, § 68), which required the CDE to consult with experts and other interested partners, including, but not limited to, individuals with expertise in fitness, adapted physical education, gender identity, body image, and pupils with disabilities in order to provide recommendations regarding the purpose and administration of the PFT. On or before November 1, 2022, the State Superintendent of Public Instruction must submit a report with recommendations to the appropriate fiscal and policy committees of the Legislature, the Department of Finance</w:t>
      </w:r>
      <w:r w:rsidR="00AB552E" w:rsidRPr="00473E2A">
        <w:rPr>
          <w:rFonts w:eastAsia="Arial" w:cs="Arial"/>
          <w:noProof/>
        </w:rPr>
        <w:t>, and the SBE. In the interim, students are scheduled to take the PFT in spring 2022.</w:t>
      </w:r>
      <w:r w:rsidR="00AB552E">
        <w:rPr>
          <w:rFonts w:eastAsia="Arial" w:cs="Arial"/>
          <w:noProof/>
        </w:rPr>
        <w:t xml:space="preserve"> </w:t>
      </w:r>
      <w:r w:rsidRPr="36E9F576">
        <w:rPr>
          <w:rFonts w:eastAsia="Arial"/>
        </w:rPr>
        <w:t xml:space="preserve">Senate Bill No. 820 also suspended the PFT for the 2020-2021 school year because of the ongoing COVID-19 pandemic (Sen. Bill No. 820, Stats. 2020, ch. 110, § 68(a)). On June 30, 2021, Senate Bill No. 98 (Stats. 2020) expired of its own terms, ending the authorization for distance learning and returning students to in-person instruction (Ed. Code, § 43511(b)). Thereafter, while continuing to participate in the ongoing Senate Bill No. 820 study about the PFT and to monitor the ongoing pandemic, the CDE pursued a legislative extension of the PFT suspension for the 2021-2022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potentially permanent regulations. </w:t>
      </w:r>
    </w:p>
    <w:p w14:paraId="35CBE547" w14:textId="77777777" w:rsidR="006352F7" w:rsidRDefault="006352F7" w:rsidP="00DD1175"/>
    <w:p w14:paraId="2563B301" w14:textId="6CE927BF" w:rsidR="3D8EB197" w:rsidRDefault="3D8EB197" w:rsidP="006A7938">
      <w:pPr>
        <w:spacing w:after="240"/>
        <w:rPr>
          <w:rFonts w:eastAsia="Arial" w:cs="Arial"/>
        </w:rPr>
      </w:pPr>
      <w:r w:rsidRPr="3D8EB197">
        <w:rPr>
          <w:rFonts w:eastAsia="Arial" w:cs="Arial"/>
        </w:rPr>
        <w:t>Also, while the lack of HFZ performance standards will eliminate all students’ ability to satisfy the criteria for the exemption from physical education in E</w:t>
      </w:r>
      <w:r w:rsidR="006352F7">
        <w:rPr>
          <w:rFonts w:eastAsia="Arial" w:cs="Arial"/>
        </w:rPr>
        <w:t xml:space="preserve">ducation </w:t>
      </w:r>
      <w:r w:rsidRPr="3D8EB197">
        <w:rPr>
          <w:rFonts w:eastAsia="Arial" w:cs="Arial"/>
        </w:rPr>
        <w:t>C</w:t>
      </w:r>
      <w:r w:rsidR="006352F7">
        <w:rPr>
          <w:rFonts w:eastAsia="Arial" w:cs="Arial"/>
        </w:rPr>
        <w:t>ode</w:t>
      </w:r>
      <w:r w:rsidRPr="3D8EB197">
        <w:rPr>
          <w:rFonts w:eastAsia="Arial" w:cs="Arial"/>
        </w:rPr>
        <w:t xml:space="preserve"> section 51241(b)(1), it must be clarified that there remains the possibility that a local educational agency with the consent of a pupil could grant an exemption from physical education under that permissive section in a specific set of circumstances. That is, a student could volunteer (or a local educational agency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Education Code section 51241(b) if the local education agency chose to exercise that option. Although this regulatory action thus does not completely eliminate the potential equity issues that have been identified, it is not expected that many local education agencies will offer or many students will seek exemptions under Education Code section 51241(b)(1) following the spring 2022 administration of the PFT. Therefore, this regulatory action takes a substantial step towards reducing inequities and maintaining students’ mental and physical health.</w:t>
      </w:r>
    </w:p>
    <w:p w14:paraId="2C872DC1" w14:textId="56B9697D" w:rsidR="003F38D7" w:rsidRDefault="003F38D7" w:rsidP="006A7938">
      <w:pPr>
        <w:spacing w:after="240"/>
      </w:pPr>
      <w:r w:rsidRPr="3C8141BF">
        <w:rPr>
          <w:rStyle w:val="normaltextrun"/>
          <w:rFonts w:eastAsia="Arial" w:cs="Arial"/>
        </w:rPr>
        <w:t>Th</w:t>
      </w:r>
      <w:r>
        <w:rPr>
          <w:rStyle w:val="normaltextrun"/>
          <w:rFonts w:eastAsia="Arial" w:cs="Arial"/>
        </w:rPr>
        <w:t>e proposed</w:t>
      </w:r>
      <w:r w:rsidRPr="3C8141BF">
        <w:rPr>
          <w:rStyle w:val="normaltextrun"/>
          <w:rFonts w:eastAsia="Arial" w:cs="Arial"/>
        </w:rPr>
        <w:t xml:space="preserve"> amendment</w:t>
      </w:r>
      <w:r w:rsidR="00AB552E">
        <w:rPr>
          <w:rStyle w:val="normaltextrun"/>
          <w:rFonts w:eastAsia="Arial" w:cs="Arial"/>
        </w:rPr>
        <w:t>s</w:t>
      </w:r>
      <w:r>
        <w:rPr>
          <w:rStyle w:val="normaltextrun"/>
          <w:rFonts w:eastAsia="Arial" w:cs="Arial"/>
        </w:rPr>
        <w:t xml:space="preserve"> to these emergency regulations </w:t>
      </w:r>
      <w:r w:rsidR="00AB552E">
        <w:rPr>
          <w:rStyle w:val="normaltextrun"/>
          <w:rFonts w:eastAsia="Arial" w:cs="Arial"/>
        </w:rPr>
        <w:t>include</w:t>
      </w:r>
      <w:r>
        <w:rPr>
          <w:rStyle w:val="normaltextrun"/>
          <w:rFonts w:eastAsia="Arial" w:cs="Arial"/>
        </w:rPr>
        <w:t xml:space="preserve"> change</w:t>
      </w:r>
      <w:r w:rsidR="00AB552E">
        <w:rPr>
          <w:rStyle w:val="normaltextrun"/>
          <w:rFonts w:eastAsia="Arial" w:cs="Arial"/>
        </w:rPr>
        <w:t>s</w:t>
      </w:r>
      <w:r>
        <w:rPr>
          <w:rStyle w:val="normaltextrun"/>
          <w:rFonts w:eastAsia="Arial" w:cs="Arial"/>
        </w:rPr>
        <w:t xml:space="preserve"> to </w:t>
      </w:r>
      <w:r w:rsidRPr="0023301D">
        <w:rPr>
          <w:rStyle w:val="normaltextrun"/>
          <w:rFonts w:eastAsia="Arial" w:cs="Arial"/>
        </w:rPr>
        <w:t>5 CCR</w:t>
      </w:r>
      <w:r>
        <w:rPr>
          <w:rStyle w:val="normaltextrun"/>
          <w:rFonts w:eastAsia="Arial" w:cs="Arial"/>
        </w:rPr>
        <w:t xml:space="preserve"> section</w:t>
      </w:r>
      <w:r w:rsidR="00AB552E">
        <w:rPr>
          <w:rStyle w:val="normaltextrun"/>
          <w:rFonts w:eastAsia="Arial" w:cs="Arial"/>
        </w:rPr>
        <w:t>s</w:t>
      </w:r>
      <w:r>
        <w:rPr>
          <w:rStyle w:val="normaltextrun"/>
          <w:rFonts w:eastAsia="Arial" w:cs="Arial"/>
        </w:rPr>
        <w:t xml:space="preserve"> 1040</w:t>
      </w:r>
      <w:r w:rsidR="00AB552E">
        <w:rPr>
          <w:rStyle w:val="normaltextrun"/>
          <w:rFonts w:eastAsia="Arial" w:cs="Arial"/>
        </w:rPr>
        <w:t xml:space="preserve">(e) and </w:t>
      </w:r>
      <w:r>
        <w:rPr>
          <w:rStyle w:val="normaltextrun"/>
          <w:rFonts w:eastAsia="Arial" w:cs="Arial"/>
        </w:rPr>
        <w:t xml:space="preserve">(i). </w:t>
      </w:r>
      <w:r w:rsidR="00AB552E">
        <w:rPr>
          <w:rStyle w:val="normaltextrun"/>
          <w:rFonts w:eastAsia="Arial" w:cs="Arial"/>
        </w:rPr>
        <w:t xml:space="preserve">Section 1040(e) is amended to replace “the relevant” </w:t>
      </w:r>
      <w:r w:rsidR="000858DD">
        <w:rPr>
          <w:rStyle w:val="normaltextrun"/>
          <w:rFonts w:eastAsia="Arial" w:cs="Arial"/>
        </w:rPr>
        <w:t xml:space="preserve">with </w:t>
      </w:r>
      <w:r w:rsidR="00AB552E">
        <w:rPr>
          <w:rStyle w:val="normaltextrun"/>
          <w:rFonts w:eastAsia="Arial" w:cs="Arial"/>
        </w:rPr>
        <w:t xml:space="preserve"> “all” to clarify that all HFZ performance standards </w:t>
      </w:r>
      <w:r w:rsidR="000858DD">
        <w:rPr>
          <w:rStyle w:val="normaltextrun"/>
          <w:rFonts w:eastAsia="Arial" w:cs="Arial"/>
        </w:rPr>
        <w:t xml:space="preserve">are to be </w:t>
      </w:r>
      <w:r w:rsidR="00AB552E">
        <w:rPr>
          <w:rStyle w:val="normaltextrun"/>
          <w:rFonts w:eastAsia="Arial" w:cs="Arial"/>
        </w:rPr>
        <w:t xml:space="preserve">excluded from </w:t>
      </w:r>
      <w:r w:rsidR="00AB552E" w:rsidRPr="4225A70B">
        <w:rPr>
          <w:rFonts w:cs="Arial"/>
          <w:lang w:val="en"/>
        </w:rPr>
        <w:lastRenderedPageBreak/>
        <w:t>FITNESSGRAM</w:t>
      </w:r>
      <w:bookmarkStart w:id="0" w:name="_Hlk92723903"/>
      <w:r w:rsidR="00AB552E" w:rsidRPr="4225A70B">
        <w:rPr>
          <w:rFonts w:cs="Arial"/>
          <w:lang w:val="en"/>
        </w:rPr>
        <w:t>®</w:t>
      </w:r>
      <w:bookmarkEnd w:id="0"/>
      <w:r w:rsidR="00AB552E">
        <w:rPr>
          <w:rFonts w:cs="Arial"/>
          <w:lang w:val="en"/>
        </w:rPr>
        <w:t xml:space="preserve">. This change is necessary because HFZ </w:t>
      </w:r>
      <w:r w:rsidR="006B65B1">
        <w:rPr>
          <w:rFonts w:cs="Arial"/>
          <w:lang w:val="en"/>
        </w:rPr>
        <w:t>scores</w:t>
      </w:r>
      <w:r w:rsidR="00AB552E">
        <w:rPr>
          <w:rFonts w:cs="Arial"/>
          <w:lang w:val="en"/>
        </w:rPr>
        <w:t xml:space="preserve"> are based </w:t>
      </w:r>
      <w:r w:rsidR="006B65B1">
        <w:rPr>
          <w:rFonts w:cs="Arial"/>
          <w:lang w:val="en"/>
        </w:rPr>
        <w:t xml:space="preserve">on </w:t>
      </w:r>
      <w:r w:rsidR="00AB552E">
        <w:rPr>
          <w:rFonts w:cs="Arial"/>
          <w:lang w:val="en"/>
        </w:rPr>
        <w:t>a student’s</w:t>
      </w:r>
      <w:r w:rsidR="006B65B1">
        <w:rPr>
          <w:rFonts w:cs="Arial"/>
          <w:lang w:val="en"/>
        </w:rPr>
        <w:t xml:space="preserve"> biological sex at birth. E</w:t>
      </w:r>
      <w:r w:rsidR="006B65B1">
        <w:rPr>
          <w:color w:val="000000" w:themeColor="text1"/>
          <w:lang w:val="en"/>
        </w:rPr>
        <w:t>liminating the HFZ performance standards</w:t>
      </w:r>
      <w:r w:rsidR="006B65B1" w:rsidRPr="425F3F89">
        <w:rPr>
          <w:color w:val="000000" w:themeColor="text1"/>
          <w:lang w:val="en"/>
        </w:rPr>
        <w:t xml:space="preserve"> creates a test that is more inclusive</w:t>
      </w:r>
      <w:r w:rsidR="0053493B" w:rsidRPr="00A4324C">
        <w:rPr>
          <w:rFonts w:cs="Arial"/>
          <w:lang w:val="en"/>
        </w:rPr>
        <w:t xml:space="preserve">. </w:t>
      </w:r>
      <w:r w:rsidRPr="00A4324C">
        <w:rPr>
          <w:rStyle w:val="normaltextrun"/>
          <w:rFonts w:eastAsia="Arial" w:cs="Arial"/>
        </w:rPr>
        <w:t>S</w:t>
      </w:r>
      <w:r>
        <w:rPr>
          <w:rStyle w:val="normaltextrun"/>
          <w:rFonts w:eastAsia="Arial" w:cs="Arial"/>
        </w:rPr>
        <w:t>ection 10404(i) is amended to include “by subtest component and grade level” to clarify how data is to be submitted.</w:t>
      </w:r>
    </w:p>
    <w:p w14:paraId="68735BCB" w14:textId="77777777" w:rsidR="001919FF" w:rsidRDefault="00991830" w:rsidP="006352F7">
      <w:pPr>
        <w:pStyle w:val="Heading3"/>
      </w:pPr>
      <w:r>
        <w:t>Showing of Substantial Progress</w:t>
      </w:r>
    </w:p>
    <w:p w14:paraId="33F43288" w14:textId="114DEEB0" w:rsidR="4BFA8DE6" w:rsidRDefault="4BFA8DE6" w:rsidP="006A7938">
      <w:pPr>
        <w:spacing w:after="240"/>
        <w:rPr>
          <w:rFonts w:cs="Arial"/>
        </w:rPr>
      </w:pPr>
      <w:r w:rsidRPr="43F8714D">
        <w:rPr>
          <w:rFonts w:cs="Arial"/>
        </w:rPr>
        <w:t xml:space="preserve">The emergency regulations were approved by the SBE </w:t>
      </w:r>
      <w:r w:rsidR="000645B3">
        <w:rPr>
          <w:rFonts w:cs="Arial"/>
        </w:rPr>
        <w:t xml:space="preserve">at its January 2022. </w:t>
      </w:r>
      <w:r w:rsidRPr="43F8714D">
        <w:rPr>
          <w:rFonts w:cs="Arial"/>
        </w:rPr>
        <w:t>The readoption of emergency regulations and the</w:t>
      </w:r>
      <w:r w:rsidR="000645B3">
        <w:rPr>
          <w:rFonts w:cs="Arial"/>
        </w:rPr>
        <w:t xml:space="preserve"> the regular rulemaking package for</w:t>
      </w:r>
      <w:r w:rsidRPr="43F8714D">
        <w:rPr>
          <w:rFonts w:cs="Arial"/>
        </w:rPr>
        <w:t xml:space="preserve"> permanent regulations will be presented to the SBE </w:t>
      </w:r>
      <w:r w:rsidR="000645B3">
        <w:rPr>
          <w:rFonts w:cs="Arial"/>
        </w:rPr>
        <w:t>at its May 2022</w:t>
      </w:r>
      <w:r w:rsidRPr="43F8714D">
        <w:rPr>
          <w:rFonts w:cs="Arial"/>
        </w:rPr>
        <w:t xml:space="preserve"> for approval. However, the emergency regulations are due to expire </w:t>
      </w:r>
      <w:r w:rsidR="001B119C">
        <w:rPr>
          <w:rFonts w:cs="Arial"/>
        </w:rPr>
        <w:t xml:space="preserve">on </w:t>
      </w:r>
      <w:r w:rsidR="006352F7">
        <w:rPr>
          <w:rFonts w:cs="Arial"/>
        </w:rPr>
        <w:t>August 4</w:t>
      </w:r>
      <w:r w:rsidRPr="43F8714D">
        <w:rPr>
          <w:rFonts w:cs="Arial"/>
        </w:rPr>
        <w:t>, 2022 and</w:t>
      </w:r>
      <w:r w:rsidR="000645B3">
        <w:rPr>
          <w:rFonts w:cs="Arial"/>
        </w:rPr>
        <w:t xml:space="preserve"> </w:t>
      </w:r>
      <w:r w:rsidRPr="43F8714D">
        <w:rPr>
          <w:rFonts w:cs="Arial"/>
        </w:rPr>
        <w:t xml:space="preserve">permanent regulations </w:t>
      </w:r>
      <w:r w:rsidR="001B119C">
        <w:rPr>
          <w:rFonts w:cs="Arial"/>
        </w:rPr>
        <w:t>will</w:t>
      </w:r>
      <w:r w:rsidR="001B119C" w:rsidRPr="43F8714D">
        <w:rPr>
          <w:rFonts w:cs="Arial"/>
        </w:rPr>
        <w:t xml:space="preserve"> </w:t>
      </w:r>
      <w:r w:rsidRPr="43F8714D">
        <w:rPr>
          <w:rFonts w:cs="Arial"/>
        </w:rPr>
        <w:t xml:space="preserve">not </w:t>
      </w:r>
      <w:r w:rsidR="00AB552E">
        <w:rPr>
          <w:rFonts w:cs="Arial"/>
        </w:rPr>
        <w:t>be operative</w:t>
      </w:r>
      <w:r w:rsidRPr="43F8714D">
        <w:rPr>
          <w:rFonts w:cs="Arial"/>
        </w:rPr>
        <w:t xml:space="preserve"> until</w:t>
      </w:r>
      <w:r w:rsidR="0053493B">
        <w:rPr>
          <w:rFonts w:cs="Arial"/>
        </w:rPr>
        <w:t xml:space="preserve"> </w:t>
      </w:r>
      <w:r w:rsidR="003E4E14">
        <w:rPr>
          <w:rFonts w:cs="Arial"/>
        </w:rPr>
        <w:t>January</w:t>
      </w:r>
      <w:r w:rsidRPr="43F8714D">
        <w:rPr>
          <w:rFonts w:cs="Arial"/>
        </w:rPr>
        <w:t xml:space="preserve"> </w:t>
      </w:r>
      <w:r w:rsidR="003E4E14" w:rsidRPr="43F8714D">
        <w:rPr>
          <w:rFonts w:cs="Arial"/>
        </w:rPr>
        <w:t>202</w:t>
      </w:r>
      <w:r w:rsidR="003E4E14">
        <w:rPr>
          <w:rFonts w:cs="Arial"/>
        </w:rPr>
        <w:t>3</w:t>
      </w:r>
      <w:r w:rsidRPr="43F8714D">
        <w:rPr>
          <w:rFonts w:cs="Arial"/>
        </w:rPr>
        <w:t xml:space="preserve">. By enacting the readoption of the emergency regulations, the CDE will </w:t>
      </w:r>
      <w:r w:rsidR="006352F7">
        <w:rPr>
          <w:rFonts w:cs="Arial"/>
        </w:rPr>
        <w:t>avoid</w:t>
      </w:r>
      <w:r w:rsidRPr="43F8714D">
        <w:rPr>
          <w:rFonts w:cs="Arial"/>
        </w:rPr>
        <w:t xml:space="preserve"> reverting back to the original regulations the SBE authorized to change upon the approval of the emergency regulations.</w:t>
      </w:r>
    </w:p>
    <w:p w14:paraId="0E27B00A" w14:textId="0FAE9189" w:rsidR="00991830" w:rsidRDefault="00991830" w:rsidP="006A7938">
      <w:pPr>
        <w:spacing w:after="240"/>
        <w:rPr>
          <w:rFonts w:cs="Arial"/>
        </w:rPr>
      </w:pPr>
      <w:r w:rsidRPr="2A5DE957">
        <w:rPr>
          <w:rFonts w:cs="Arial"/>
        </w:rPr>
        <w:t>The following timeline illustrates the necessity of the readoption of the emergency regulations</w:t>
      </w:r>
      <w:r w:rsidR="001944DD" w:rsidRPr="2A5DE957">
        <w:rPr>
          <w:rFonts w:cs="Arial"/>
        </w:rPr>
        <w:t xml:space="preserve"> in order for the CDE to meet the requirements of the Education Code</w:t>
      </w:r>
      <w:r w:rsidRPr="2A5DE957">
        <w:rPr>
          <w:rFonts w:cs="Arial"/>
        </w:rPr>
        <w:t>:</w:t>
      </w:r>
    </w:p>
    <w:tbl>
      <w:tblPr>
        <w:tblStyle w:val="TableGrid"/>
        <w:tblW w:w="9648" w:type="dxa"/>
        <w:tblLook w:val="04A0" w:firstRow="1" w:lastRow="0" w:firstColumn="1" w:lastColumn="0" w:noHBand="0" w:noVBand="1"/>
        <w:tblDescription w:val="This table illustrates the emergency reulations timeline"/>
      </w:tblPr>
      <w:tblGrid>
        <w:gridCol w:w="5688"/>
        <w:gridCol w:w="3960"/>
      </w:tblGrid>
      <w:tr w:rsidR="00991830" w:rsidRPr="00FD19BD" w14:paraId="0B3AEACF" w14:textId="77777777" w:rsidTr="0094230B">
        <w:trPr>
          <w:cantSplit/>
          <w:tblHeader/>
        </w:trPr>
        <w:tc>
          <w:tcPr>
            <w:tcW w:w="5688" w:type="dxa"/>
            <w:shd w:val="clear" w:color="auto" w:fill="D9D9D9" w:themeFill="background1" w:themeFillShade="D9"/>
            <w:hideMark/>
          </w:tcPr>
          <w:p w14:paraId="7834B8D0" w14:textId="77777777" w:rsidR="00991830" w:rsidRPr="00FD19BD" w:rsidRDefault="00991830" w:rsidP="0085315C">
            <w:pPr>
              <w:tabs>
                <w:tab w:val="left" w:pos="1215"/>
              </w:tabs>
              <w:spacing w:before="120" w:after="120"/>
              <w:jc w:val="center"/>
              <w:rPr>
                <w:rFonts w:cs="Arial"/>
                <w:b/>
              </w:rPr>
            </w:pPr>
            <w:bookmarkStart w:id="1" w:name="_GoBack"/>
            <w:r w:rsidRPr="00FD19BD">
              <w:rPr>
                <w:rFonts w:cs="Arial"/>
                <w:b/>
              </w:rPr>
              <w:t>Action*</w:t>
            </w:r>
          </w:p>
        </w:tc>
        <w:tc>
          <w:tcPr>
            <w:tcW w:w="3960" w:type="dxa"/>
            <w:shd w:val="clear" w:color="auto" w:fill="D9D9D9" w:themeFill="background1" w:themeFillShade="D9"/>
            <w:hideMark/>
          </w:tcPr>
          <w:p w14:paraId="3A1D77E6" w14:textId="77777777" w:rsidR="00991830" w:rsidRPr="00FD19BD" w:rsidRDefault="00991830" w:rsidP="0085315C">
            <w:pPr>
              <w:spacing w:before="120" w:after="120"/>
              <w:jc w:val="center"/>
              <w:rPr>
                <w:rFonts w:cs="Arial"/>
                <w:b/>
              </w:rPr>
            </w:pPr>
            <w:r>
              <w:rPr>
                <w:rFonts w:cs="Arial"/>
                <w:b/>
              </w:rPr>
              <w:t xml:space="preserve">Completion Date or </w:t>
            </w:r>
            <w:r w:rsidRPr="00FD19BD">
              <w:rPr>
                <w:rFonts w:cs="Arial"/>
                <w:b/>
              </w:rPr>
              <w:t>Estimated Completion Date</w:t>
            </w:r>
          </w:p>
        </w:tc>
      </w:tr>
      <w:tr w:rsidR="00991830" w:rsidRPr="00FD19BD" w14:paraId="3FB187B3" w14:textId="77777777" w:rsidTr="0094230B">
        <w:trPr>
          <w:cantSplit/>
          <w:trHeight w:val="602"/>
        </w:trPr>
        <w:tc>
          <w:tcPr>
            <w:tcW w:w="5688" w:type="dxa"/>
            <w:hideMark/>
          </w:tcPr>
          <w:p w14:paraId="1642178A" w14:textId="749F4058" w:rsidR="00991830" w:rsidRPr="00FD19BD" w:rsidRDefault="00991830" w:rsidP="0085315C">
            <w:pPr>
              <w:spacing w:before="120" w:after="120"/>
              <w:ind w:left="180"/>
              <w:rPr>
                <w:rFonts w:cs="Arial"/>
              </w:rPr>
            </w:pPr>
            <w:r w:rsidRPr="43F8714D">
              <w:rPr>
                <w:rFonts w:cs="Arial"/>
              </w:rPr>
              <w:t>SBE approve</w:t>
            </w:r>
            <w:r w:rsidR="003E4E14">
              <w:rPr>
                <w:rFonts w:cs="Arial"/>
              </w:rPr>
              <w:t>d</w:t>
            </w:r>
            <w:r w:rsidRPr="43F8714D">
              <w:rPr>
                <w:rFonts w:cs="Arial"/>
              </w:rPr>
              <w:t xml:space="preserve"> the adoption of the emergency regulations and the commencement of the permanent rulemaking process</w:t>
            </w:r>
          </w:p>
        </w:tc>
        <w:tc>
          <w:tcPr>
            <w:tcW w:w="3960" w:type="dxa"/>
          </w:tcPr>
          <w:p w14:paraId="60061E4C" w14:textId="4C8AE00E" w:rsidR="00991830" w:rsidRPr="00FD19BD" w:rsidRDefault="4BFA8DE6" w:rsidP="0085315C">
            <w:pPr>
              <w:spacing w:before="120" w:after="120"/>
              <w:ind w:right="252"/>
              <w:jc w:val="center"/>
              <w:rPr>
                <w:rFonts w:cs="Arial"/>
              </w:rPr>
            </w:pPr>
            <w:r w:rsidRPr="19B917D4">
              <w:rPr>
                <w:rFonts w:cs="Arial"/>
              </w:rPr>
              <w:t>January 12, 2022</w:t>
            </w:r>
          </w:p>
        </w:tc>
      </w:tr>
      <w:tr w:rsidR="00991830" w:rsidRPr="00FD19BD" w14:paraId="28633B5D" w14:textId="2F9CB106" w:rsidTr="0094230B">
        <w:trPr>
          <w:cantSplit/>
        </w:trPr>
        <w:tc>
          <w:tcPr>
            <w:tcW w:w="5688" w:type="dxa"/>
          </w:tcPr>
          <w:p w14:paraId="7B80B4B4" w14:textId="50815BFF" w:rsidR="00991830" w:rsidRPr="00FD19BD" w:rsidRDefault="00991830" w:rsidP="0085315C">
            <w:pPr>
              <w:spacing w:before="120" w:after="120"/>
              <w:ind w:left="180"/>
              <w:rPr>
                <w:rFonts w:cs="Arial"/>
              </w:rPr>
            </w:pPr>
            <w:r w:rsidRPr="00FD19BD">
              <w:rPr>
                <w:rFonts w:cs="Arial"/>
              </w:rPr>
              <w:t>5-business day pre-notice of the proposed emergency regulations</w:t>
            </w:r>
            <w:r>
              <w:rPr>
                <w:rFonts w:cs="Arial"/>
              </w:rPr>
              <w:t xml:space="preserve"> for readoption</w:t>
            </w:r>
          </w:p>
        </w:tc>
        <w:tc>
          <w:tcPr>
            <w:tcW w:w="3960" w:type="dxa"/>
          </w:tcPr>
          <w:p w14:paraId="44EAFD9C" w14:textId="5236093B" w:rsidR="00991830" w:rsidRPr="00FD19BD" w:rsidRDefault="000645B3" w:rsidP="0085315C">
            <w:pPr>
              <w:spacing w:before="120" w:after="120"/>
              <w:ind w:right="252"/>
              <w:jc w:val="center"/>
              <w:rPr>
                <w:rFonts w:cs="Arial"/>
              </w:rPr>
            </w:pPr>
            <w:r>
              <w:rPr>
                <w:rFonts w:cs="Arial"/>
              </w:rPr>
              <w:t>January 14</w:t>
            </w:r>
            <w:r w:rsidR="4BFA8DE6" w:rsidRPr="43F8714D">
              <w:rPr>
                <w:rFonts w:cs="Arial"/>
              </w:rPr>
              <w:t>,2022</w:t>
            </w:r>
          </w:p>
        </w:tc>
      </w:tr>
      <w:tr w:rsidR="00991830" w:rsidRPr="00FD19BD" w14:paraId="6845DBFE" w14:textId="4B1920C2" w:rsidTr="0094230B">
        <w:trPr>
          <w:cantSplit/>
          <w:trHeight w:val="530"/>
        </w:trPr>
        <w:tc>
          <w:tcPr>
            <w:tcW w:w="5688" w:type="dxa"/>
          </w:tcPr>
          <w:p w14:paraId="759A7280" w14:textId="7E0D0900" w:rsidR="00991830" w:rsidRPr="00FD19BD" w:rsidRDefault="00991830" w:rsidP="0085315C">
            <w:pPr>
              <w:spacing w:before="120" w:after="120"/>
              <w:ind w:left="180"/>
              <w:rPr>
                <w:rFonts w:cs="Arial"/>
              </w:rPr>
            </w:pPr>
            <w:r w:rsidRPr="19B917D4">
              <w:rPr>
                <w:rFonts w:cs="Arial"/>
              </w:rPr>
              <w:t>10-calendar day review</w:t>
            </w:r>
            <w:r w:rsidR="0053493B">
              <w:rPr>
                <w:rFonts w:cs="Arial"/>
              </w:rPr>
              <w:t xml:space="preserve"> by OAL</w:t>
            </w:r>
          </w:p>
        </w:tc>
        <w:tc>
          <w:tcPr>
            <w:tcW w:w="3960" w:type="dxa"/>
          </w:tcPr>
          <w:p w14:paraId="7BB88388" w14:textId="551F4CC5" w:rsidR="0053493B" w:rsidRDefault="000645B3" w:rsidP="00E464E9">
            <w:pPr>
              <w:ind w:right="252"/>
              <w:jc w:val="center"/>
              <w:rPr>
                <w:rFonts w:cs="Arial"/>
              </w:rPr>
            </w:pPr>
            <w:r>
              <w:rPr>
                <w:rFonts w:cs="Arial"/>
              </w:rPr>
              <w:t>January 25</w:t>
            </w:r>
            <w:r w:rsidR="0053493B">
              <w:rPr>
                <w:rFonts w:cs="Arial"/>
              </w:rPr>
              <w:t>-</w:t>
            </w:r>
          </w:p>
          <w:p w14:paraId="4B94D5A5" w14:textId="39D000B9" w:rsidR="00991830" w:rsidRPr="00FD19BD" w:rsidRDefault="0053493B" w:rsidP="00E464E9">
            <w:pPr>
              <w:ind w:right="252"/>
              <w:jc w:val="center"/>
              <w:rPr>
                <w:rFonts w:cs="Arial"/>
              </w:rPr>
            </w:pPr>
            <w:r>
              <w:rPr>
                <w:rFonts w:cs="Arial"/>
              </w:rPr>
              <w:t xml:space="preserve">February 4 </w:t>
            </w:r>
            <w:r w:rsidR="4BFA8DE6" w:rsidRPr="4BFA8DE6">
              <w:rPr>
                <w:rFonts w:cs="Arial"/>
              </w:rPr>
              <w:t>,2022</w:t>
            </w:r>
          </w:p>
        </w:tc>
      </w:tr>
      <w:tr w:rsidR="004042AD" w:rsidRPr="00FD19BD" w14:paraId="40E73B89" w14:textId="77777777" w:rsidTr="0094230B">
        <w:trPr>
          <w:cantSplit/>
          <w:trHeight w:val="530"/>
        </w:trPr>
        <w:tc>
          <w:tcPr>
            <w:tcW w:w="5688" w:type="dxa"/>
          </w:tcPr>
          <w:p w14:paraId="74D78045" w14:textId="4E83E4A1" w:rsidR="004042AD" w:rsidRPr="19B917D4" w:rsidRDefault="004042AD" w:rsidP="0085315C">
            <w:pPr>
              <w:spacing w:before="120" w:after="120"/>
              <w:ind w:left="180"/>
              <w:rPr>
                <w:rFonts w:cs="Arial"/>
              </w:rPr>
            </w:pPr>
            <w:r>
              <w:rPr>
                <w:rFonts w:cs="Arial"/>
              </w:rPr>
              <w:t>Emergency regulations effective</w:t>
            </w:r>
          </w:p>
        </w:tc>
        <w:tc>
          <w:tcPr>
            <w:tcW w:w="3960" w:type="dxa"/>
          </w:tcPr>
          <w:p w14:paraId="0A60DC11" w14:textId="060CC664" w:rsidR="004042AD" w:rsidRPr="4BFA8DE6" w:rsidDel="00CD4AAF" w:rsidRDefault="004042AD" w:rsidP="0085315C">
            <w:pPr>
              <w:spacing w:before="120" w:after="120"/>
              <w:ind w:right="252"/>
              <w:jc w:val="center"/>
              <w:rPr>
                <w:rFonts w:cs="Arial"/>
              </w:rPr>
            </w:pPr>
            <w:r>
              <w:rPr>
                <w:rFonts w:cs="Arial"/>
              </w:rPr>
              <w:t>February 4, 2022</w:t>
            </w:r>
          </w:p>
        </w:tc>
      </w:tr>
      <w:tr w:rsidR="004042AD" w:rsidRPr="00FD19BD" w14:paraId="08451357" w14:textId="77777777" w:rsidTr="0094230B">
        <w:trPr>
          <w:cantSplit/>
        </w:trPr>
        <w:tc>
          <w:tcPr>
            <w:tcW w:w="5688" w:type="dxa"/>
          </w:tcPr>
          <w:p w14:paraId="419F1424" w14:textId="5D22146E" w:rsidR="004042AD" w:rsidRDefault="004042AD" w:rsidP="0085315C">
            <w:pPr>
              <w:spacing w:before="120" w:after="120"/>
              <w:ind w:left="180"/>
              <w:rPr>
                <w:rFonts w:cs="Arial"/>
              </w:rPr>
            </w:pPr>
            <w:r>
              <w:rPr>
                <w:rFonts w:cs="Arial"/>
              </w:rPr>
              <w:t>SBE approves the commencement of permanent regulations and the first readoption of the emergency regulations.</w:t>
            </w:r>
          </w:p>
        </w:tc>
        <w:tc>
          <w:tcPr>
            <w:tcW w:w="3960" w:type="dxa"/>
          </w:tcPr>
          <w:p w14:paraId="0ED4797B" w14:textId="21010C99" w:rsidR="004042AD" w:rsidRPr="19B917D4" w:rsidRDefault="004042AD" w:rsidP="0085315C">
            <w:pPr>
              <w:spacing w:before="120" w:after="120"/>
              <w:ind w:right="252"/>
              <w:jc w:val="center"/>
              <w:rPr>
                <w:rFonts w:cs="Arial"/>
              </w:rPr>
            </w:pPr>
            <w:r>
              <w:rPr>
                <w:rFonts w:cs="Arial"/>
              </w:rPr>
              <w:t>May 18, 2022</w:t>
            </w:r>
          </w:p>
        </w:tc>
      </w:tr>
      <w:tr w:rsidR="00991830" w:rsidRPr="00FD19BD" w14:paraId="1DD5703E" w14:textId="77777777" w:rsidTr="0094230B">
        <w:trPr>
          <w:cantSplit/>
        </w:trPr>
        <w:tc>
          <w:tcPr>
            <w:tcW w:w="5688" w:type="dxa"/>
          </w:tcPr>
          <w:p w14:paraId="0050F996" w14:textId="77777777" w:rsidR="00991830" w:rsidRPr="00FD19BD" w:rsidRDefault="00991830" w:rsidP="0085315C">
            <w:pPr>
              <w:spacing w:before="120" w:after="120"/>
              <w:ind w:left="180"/>
              <w:rPr>
                <w:rFonts w:cs="Arial"/>
              </w:rPr>
            </w:pPr>
            <w:r>
              <w:rPr>
                <w:rFonts w:cs="Arial"/>
              </w:rPr>
              <w:t>45-day</w:t>
            </w:r>
            <w:r w:rsidRPr="00FD19BD">
              <w:rPr>
                <w:rFonts w:cs="Arial"/>
              </w:rPr>
              <w:t xml:space="preserve"> public comment period for permanent regulations</w:t>
            </w:r>
          </w:p>
        </w:tc>
        <w:tc>
          <w:tcPr>
            <w:tcW w:w="3960" w:type="dxa"/>
          </w:tcPr>
          <w:p w14:paraId="3DEEC669" w14:textId="3F1D1D78" w:rsidR="00991830" w:rsidRDefault="4BFA8DE6" w:rsidP="0085315C">
            <w:pPr>
              <w:spacing w:before="120" w:after="120"/>
              <w:ind w:right="252"/>
              <w:jc w:val="center"/>
              <w:rPr>
                <w:rFonts w:cs="Arial"/>
              </w:rPr>
            </w:pPr>
            <w:r w:rsidRPr="19B917D4">
              <w:rPr>
                <w:rFonts w:cs="Arial"/>
              </w:rPr>
              <w:t>June 17, 2022</w:t>
            </w:r>
            <w:r w:rsidR="001C15D3" w:rsidRPr="19B917D4">
              <w:rPr>
                <w:rFonts w:cs="Arial"/>
              </w:rPr>
              <w:t>–</w:t>
            </w:r>
            <w:r w:rsidRPr="19B917D4">
              <w:rPr>
                <w:rFonts w:cs="Arial"/>
              </w:rPr>
              <w:t xml:space="preserve">August </w:t>
            </w:r>
            <w:r w:rsidR="00CD4AAF">
              <w:rPr>
                <w:rFonts w:cs="Arial"/>
              </w:rPr>
              <w:t>2</w:t>
            </w:r>
            <w:r w:rsidRPr="19B917D4">
              <w:rPr>
                <w:rFonts w:cs="Arial"/>
              </w:rPr>
              <w:t>, 2022</w:t>
            </w:r>
          </w:p>
        </w:tc>
      </w:tr>
      <w:tr w:rsidR="00991830" w:rsidRPr="00FD19BD" w14:paraId="6370625C" w14:textId="77777777" w:rsidTr="0094230B">
        <w:trPr>
          <w:cantSplit/>
        </w:trPr>
        <w:tc>
          <w:tcPr>
            <w:tcW w:w="5688" w:type="dxa"/>
          </w:tcPr>
          <w:p w14:paraId="0504161F" w14:textId="7043F0C7" w:rsidR="00991830" w:rsidRPr="00FD19BD" w:rsidRDefault="00991830" w:rsidP="0085315C">
            <w:pPr>
              <w:spacing w:before="120" w:after="120"/>
              <w:ind w:left="180"/>
              <w:rPr>
                <w:rFonts w:cs="Arial"/>
              </w:rPr>
            </w:pPr>
            <w:r w:rsidRPr="43F8714D">
              <w:rPr>
                <w:rFonts w:cs="Arial"/>
              </w:rPr>
              <w:t>Public hearing for permanent regulations</w:t>
            </w:r>
          </w:p>
        </w:tc>
        <w:tc>
          <w:tcPr>
            <w:tcW w:w="3960" w:type="dxa"/>
          </w:tcPr>
          <w:p w14:paraId="45FB0818" w14:textId="5B00652D" w:rsidR="00991830" w:rsidRPr="00FD19BD" w:rsidRDefault="4BFA8DE6" w:rsidP="0085315C">
            <w:pPr>
              <w:spacing w:before="120" w:after="120"/>
              <w:ind w:right="252"/>
              <w:jc w:val="center"/>
              <w:rPr>
                <w:rFonts w:cs="Arial"/>
              </w:rPr>
            </w:pPr>
            <w:r w:rsidRPr="4BFA8DE6">
              <w:rPr>
                <w:rFonts w:cs="Arial"/>
              </w:rPr>
              <w:t xml:space="preserve">August </w:t>
            </w:r>
            <w:r w:rsidR="00CD4AAF">
              <w:rPr>
                <w:rFonts w:cs="Arial"/>
              </w:rPr>
              <w:t>2</w:t>
            </w:r>
            <w:r w:rsidRPr="4BFA8DE6">
              <w:rPr>
                <w:rFonts w:cs="Arial"/>
              </w:rPr>
              <w:t>, 2022</w:t>
            </w:r>
          </w:p>
        </w:tc>
      </w:tr>
      <w:tr w:rsidR="00CD4AAF" w:rsidRPr="00FD19BD" w14:paraId="5BEBB51F" w14:textId="77777777" w:rsidTr="0094230B">
        <w:trPr>
          <w:cantSplit/>
        </w:trPr>
        <w:tc>
          <w:tcPr>
            <w:tcW w:w="5688" w:type="dxa"/>
          </w:tcPr>
          <w:p w14:paraId="448E17FB" w14:textId="75F440E0" w:rsidR="00CD4AAF" w:rsidRPr="43F8714D" w:rsidRDefault="00CD4AAF" w:rsidP="0085315C">
            <w:pPr>
              <w:spacing w:before="120" w:after="120"/>
              <w:ind w:left="180"/>
              <w:rPr>
                <w:rFonts w:cs="Arial"/>
              </w:rPr>
            </w:pPr>
            <w:r>
              <w:rPr>
                <w:rFonts w:cs="Arial"/>
              </w:rPr>
              <w:t>Readopted regulations effective</w:t>
            </w:r>
          </w:p>
        </w:tc>
        <w:tc>
          <w:tcPr>
            <w:tcW w:w="3960" w:type="dxa"/>
          </w:tcPr>
          <w:p w14:paraId="1A3AC6DC" w14:textId="38811FA8" w:rsidR="00CD4AAF" w:rsidRPr="4BFA8DE6" w:rsidRDefault="00CD4AAF" w:rsidP="0085315C">
            <w:pPr>
              <w:spacing w:before="120" w:after="120"/>
              <w:ind w:right="252"/>
              <w:jc w:val="center"/>
              <w:rPr>
                <w:rFonts w:cs="Arial"/>
              </w:rPr>
            </w:pPr>
            <w:r>
              <w:rPr>
                <w:rFonts w:cs="Arial"/>
              </w:rPr>
              <w:t>August 3, 2022</w:t>
            </w:r>
          </w:p>
        </w:tc>
      </w:tr>
      <w:tr w:rsidR="00CD4AAF" w:rsidRPr="00FD19BD" w14:paraId="4CFFB782" w14:textId="77777777" w:rsidTr="0094230B">
        <w:trPr>
          <w:cantSplit/>
        </w:trPr>
        <w:tc>
          <w:tcPr>
            <w:tcW w:w="5688" w:type="dxa"/>
          </w:tcPr>
          <w:p w14:paraId="5C447CC5" w14:textId="03F0EC8B" w:rsidR="00CD4AAF" w:rsidRPr="00FD19BD" w:rsidRDefault="00CD4AAF" w:rsidP="0085315C">
            <w:pPr>
              <w:spacing w:before="120" w:after="120"/>
              <w:ind w:left="180"/>
              <w:rPr>
                <w:rFonts w:cs="Arial"/>
              </w:rPr>
            </w:pPr>
            <w:r>
              <w:rPr>
                <w:rFonts w:cs="Arial"/>
              </w:rPr>
              <w:t>Emergency regulations expire</w:t>
            </w:r>
          </w:p>
        </w:tc>
        <w:tc>
          <w:tcPr>
            <w:tcW w:w="3960" w:type="dxa"/>
          </w:tcPr>
          <w:p w14:paraId="4A73869B" w14:textId="0C32C02B" w:rsidR="00CD4AAF" w:rsidRPr="4BFA8DE6" w:rsidRDefault="00CD4AAF" w:rsidP="0085315C">
            <w:pPr>
              <w:spacing w:before="120" w:after="120"/>
              <w:ind w:right="252"/>
              <w:jc w:val="center"/>
              <w:rPr>
                <w:rFonts w:cs="Arial"/>
              </w:rPr>
            </w:pPr>
            <w:r>
              <w:rPr>
                <w:rFonts w:cs="Arial"/>
              </w:rPr>
              <w:t>August 4, 2022</w:t>
            </w:r>
          </w:p>
        </w:tc>
      </w:tr>
      <w:tr w:rsidR="004042AD" w:rsidRPr="00FD19BD" w14:paraId="0CD7BE3C" w14:textId="77777777" w:rsidTr="0094230B">
        <w:trPr>
          <w:cantSplit/>
        </w:trPr>
        <w:tc>
          <w:tcPr>
            <w:tcW w:w="5688" w:type="dxa"/>
          </w:tcPr>
          <w:p w14:paraId="1C8655BD" w14:textId="110658B2" w:rsidR="004042AD" w:rsidRPr="00FD19BD" w:rsidRDefault="004042AD" w:rsidP="0085315C">
            <w:pPr>
              <w:spacing w:before="120" w:after="120"/>
              <w:ind w:left="180"/>
              <w:rPr>
                <w:rFonts w:cs="Arial"/>
              </w:rPr>
            </w:pPr>
            <w:r>
              <w:rPr>
                <w:rFonts w:cs="Arial"/>
              </w:rPr>
              <w:lastRenderedPageBreak/>
              <w:t>SBE a</w:t>
            </w:r>
            <w:r w:rsidR="008E6324">
              <w:rPr>
                <w:rFonts w:cs="Arial"/>
              </w:rPr>
              <w:t>pproves second</w:t>
            </w:r>
            <w:r>
              <w:rPr>
                <w:rFonts w:cs="Arial"/>
              </w:rPr>
              <w:t xml:space="preserve"> readopt</w:t>
            </w:r>
            <w:r w:rsidR="008E6324">
              <w:rPr>
                <w:rFonts w:cs="Arial"/>
              </w:rPr>
              <w:t>ion of</w:t>
            </w:r>
            <w:r>
              <w:rPr>
                <w:rFonts w:cs="Arial"/>
              </w:rPr>
              <w:t xml:space="preserve"> the emergency regulations </w:t>
            </w:r>
          </w:p>
        </w:tc>
        <w:tc>
          <w:tcPr>
            <w:tcW w:w="3960" w:type="dxa"/>
          </w:tcPr>
          <w:p w14:paraId="6893E57C" w14:textId="5E68ACE7" w:rsidR="004042AD" w:rsidRPr="4BFA8DE6" w:rsidRDefault="004042AD" w:rsidP="0085315C">
            <w:pPr>
              <w:spacing w:before="120" w:after="120"/>
              <w:ind w:right="252"/>
              <w:jc w:val="center"/>
              <w:rPr>
                <w:rFonts w:cs="Arial"/>
              </w:rPr>
            </w:pPr>
            <w:r>
              <w:rPr>
                <w:rFonts w:cs="Arial"/>
              </w:rPr>
              <w:t>September 14, 2022</w:t>
            </w:r>
          </w:p>
        </w:tc>
      </w:tr>
      <w:tr w:rsidR="004042AD" w:rsidRPr="00FD19BD" w14:paraId="6B2E568C" w14:textId="77777777" w:rsidTr="0094230B">
        <w:trPr>
          <w:cantSplit/>
        </w:trPr>
        <w:tc>
          <w:tcPr>
            <w:tcW w:w="5688" w:type="dxa"/>
          </w:tcPr>
          <w:p w14:paraId="72B4CE51" w14:textId="14B5BE37" w:rsidR="004042AD" w:rsidRPr="00FD19BD" w:rsidRDefault="008E6324" w:rsidP="0085315C">
            <w:pPr>
              <w:spacing w:before="120" w:after="120"/>
              <w:ind w:left="180"/>
              <w:rPr>
                <w:rFonts w:cs="Arial"/>
              </w:rPr>
            </w:pPr>
            <w:r>
              <w:rPr>
                <w:rFonts w:cs="Arial"/>
              </w:rPr>
              <w:t>Second readoption emergency regulations effective</w:t>
            </w:r>
          </w:p>
        </w:tc>
        <w:tc>
          <w:tcPr>
            <w:tcW w:w="3960" w:type="dxa"/>
          </w:tcPr>
          <w:p w14:paraId="1D5BF0B7" w14:textId="7618F554" w:rsidR="004042AD" w:rsidRPr="4BFA8DE6" w:rsidRDefault="008E6324" w:rsidP="0085315C">
            <w:pPr>
              <w:spacing w:before="120" w:after="120"/>
              <w:ind w:right="252"/>
              <w:jc w:val="center"/>
              <w:rPr>
                <w:rFonts w:cs="Arial"/>
              </w:rPr>
            </w:pPr>
            <w:r>
              <w:rPr>
                <w:rFonts w:cs="Arial"/>
              </w:rPr>
              <w:t>October 31, 2022</w:t>
            </w:r>
          </w:p>
        </w:tc>
      </w:tr>
      <w:tr w:rsidR="004042AD" w:rsidRPr="00FD19BD" w14:paraId="21BC850C" w14:textId="77777777" w:rsidTr="0094230B">
        <w:trPr>
          <w:cantSplit/>
        </w:trPr>
        <w:tc>
          <w:tcPr>
            <w:tcW w:w="5688" w:type="dxa"/>
          </w:tcPr>
          <w:p w14:paraId="6BBB304B" w14:textId="7913A0CA" w:rsidR="004042AD" w:rsidRPr="00FD19BD" w:rsidRDefault="008E6324" w:rsidP="0085315C">
            <w:pPr>
              <w:spacing w:before="120" w:after="120"/>
              <w:ind w:left="180"/>
              <w:rPr>
                <w:rFonts w:cs="Arial"/>
              </w:rPr>
            </w:pPr>
            <w:r>
              <w:rPr>
                <w:rFonts w:cs="Arial"/>
              </w:rPr>
              <w:t>First readopted emergency regulations expire</w:t>
            </w:r>
          </w:p>
        </w:tc>
        <w:tc>
          <w:tcPr>
            <w:tcW w:w="3960" w:type="dxa"/>
          </w:tcPr>
          <w:p w14:paraId="07389BC5" w14:textId="68F13914" w:rsidR="004042AD" w:rsidRPr="4BFA8DE6" w:rsidRDefault="008E6324" w:rsidP="0085315C">
            <w:pPr>
              <w:spacing w:before="120" w:after="120"/>
              <w:ind w:right="252"/>
              <w:jc w:val="center"/>
              <w:rPr>
                <w:rFonts w:cs="Arial"/>
              </w:rPr>
            </w:pPr>
            <w:r>
              <w:rPr>
                <w:rFonts w:cs="Arial"/>
              </w:rPr>
              <w:t>November 1, 2022</w:t>
            </w:r>
          </w:p>
        </w:tc>
      </w:tr>
      <w:tr w:rsidR="00991830" w:rsidRPr="00FD19BD" w14:paraId="17986419" w14:textId="77777777" w:rsidTr="0094230B">
        <w:trPr>
          <w:cantSplit/>
        </w:trPr>
        <w:tc>
          <w:tcPr>
            <w:tcW w:w="5688" w:type="dxa"/>
            <w:hideMark/>
          </w:tcPr>
          <w:p w14:paraId="078CCE68" w14:textId="368891B9" w:rsidR="00991830" w:rsidRPr="00FD19BD" w:rsidRDefault="00991830" w:rsidP="0085315C">
            <w:pPr>
              <w:spacing w:before="120" w:after="120"/>
              <w:ind w:left="180"/>
              <w:rPr>
                <w:rFonts w:cs="Arial"/>
              </w:rPr>
            </w:pPr>
            <w:r w:rsidRPr="00FD19BD">
              <w:rPr>
                <w:rFonts w:cs="Arial"/>
              </w:rPr>
              <w:t>SBE approves</w:t>
            </w:r>
            <w:r w:rsidR="004042AD">
              <w:rPr>
                <w:rFonts w:cs="Arial"/>
              </w:rPr>
              <w:t xml:space="preserve"> the final statement of reasons or</w:t>
            </w:r>
            <w:r w:rsidRPr="00FD19BD">
              <w:rPr>
                <w:rFonts w:cs="Arial"/>
              </w:rPr>
              <w:t xml:space="preserve"> a 15-day comment period</w:t>
            </w:r>
            <w:r>
              <w:rPr>
                <w:rFonts w:cs="Arial"/>
              </w:rPr>
              <w:t xml:space="preserve"> for permanent regulations</w:t>
            </w:r>
            <w:r w:rsidR="004042AD">
              <w:rPr>
                <w:rFonts w:cs="Arial"/>
              </w:rPr>
              <w:t xml:space="preserve"> </w:t>
            </w:r>
          </w:p>
        </w:tc>
        <w:tc>
          <w:tcPr>
            <w:tcW w:w="3960" w:type="dxa"/>
          </w:tcPr>
          <w:p w14:paraId="049F31CB" w14:textId="73DA784B" w:rsidR="00991830" w:rsidRPr="00FD19BD" w:rsidRDefault="4BFA8DE6" w:rsidP="0085315C">
            <w:pPr>
              <w:spacing w:before="120" w:after="120"/>
              <w:ind w:right="252"/>
              <w:jc w:val="center"/>
              <w:rPr>
                <w:rFonts w:cs="Arial"/>
              </w:rPr>
            </w:pPr>
            <w:r w:rsidRPr="4BFA8DE6">
              <w:rPr>
                <w:rFonts w:cs="Arial"/>
              </w:rPr>
              <w:t>November 2, 2022</w:t>
            </w:r>
          </w:p>
        </w:tc>
      </w:tr>
      <w:tr w:rsidR="00991830" w:rsidRPr="00FD19BD" w14:paraId="648937B3" w14:textId="77777777" w:rsidTr="0094230B">
        <w:trPr>
          <w:cantSplit/>
        </w:trPr>
        <w:tc>
          <w:tcPr>
            <w:tcW w:w="5688" w:type="dxa"/>
          </w:tcPr>
          <w:p w14:paraId="37758DCB" w14:textId="3348DD0B" w:rsidR="00991830" w:rsidRPr="00FD19BD" w:rsidRDefault="00991830" w:rsidP="0085315C">
            <w:pPr>
              <w:spacing w:before="120" w:after="120"/>
              <w:ind w:left="180"/>
              <w:rPr>
                <w:rFonts w:cs="Arial"/>
              </w:rPr>
            </w:pPr>
            <w:r>
              <w:rPr>
                <w:rFonts w:cs="Arial"/>
              </w:rPr>
              <w:t>15-day comment period for permanent regulations</w:t>
            </w:r>
            <w:r w:rsidR="004042AD">
              <w:rPr>
                <w:rFonts w:cs="Arial"/>
              </w:rPr>
              <w:t>, if necessary</w:t>
            </w:r>
            <w:r>
              <w:rPr>
                <w:rFonts w:cs="Arial"/>
              </w:rPr>
              <w:t xml:space="preserve"> </w:t>
            </w:r>
          </w:p>
        </w:tc>
        <w:tc>
          <w:tcPr>
            <w:tcW w:w="3960" w:type="dxa"/>
          </w:tcPr>
          <w:p w14:paraId="53128261" w14:textId="30FE5F3A" w:rsidR="00991830" w:rsidRPr="00FD19BD" w:rsidRDefault="4BFA8DE6" w:rsidP="0085315C">
            <w:pPr>
              <w:spacing w:before="120" w:after="120"/>
              <w:ind w:right="252"/>
              <w:jc w:val="center"/>
              <w:rPr>
                <w:rFonts w:cs="Arial"/>
              </w:rPr>
            </w:pPr>
            <w:r w:rsidRPr="43F8714D">
              <w:rPr>
                <w:rFonts w:cs="Arial"/>
              </w:rPr>
              <w:t>November 7</w:t>
            </w:r>
            <w:r w:rsidR="001C15D3" w:rsidRPr="43F8714D">
              <w:rPr>
                <w:rFonts w:cs="Arial"/>
              </w:rPr>
              <w:t>–</w:t>
            </w:r>
            <w:r w:rsidRPr="43F8714D">
              <w:rPr>
                <w:rFonts w:cs="Arial"/>
              </w:rPr>
              <w:t>22, 2022</w:t>
            </w:r>
          </w:p>
        </w:tc>
      </w:tr>
      <w:tr w:rsidR="00991830" w:rsidRPr="00FD19BD" w14:paraId="5F83BCF8" w14:textId="77777777" w:rsidTr="0094230B">
        <w:trPr>
          <w:cantSplit/>
        </w:trPr>
        <w:tc>
          <w:tcPr>
            <w:tcW w:w="5688" w:type="dxa"/>
            <w:hideMark/>
          </w:tcPr>
          <w:p w14:paraId="0CE58D76" w14:textId="77777777" w:rsidR="00991830" w:rsidRPr="00FD19BD" w:rsidRDefault="00991830" w:rsidP="0085315C">
            <w:pPr>
              <w:spacing w:before="120" w:after="120"/>
              <w:ind w:left="180"/>
              <w:rPr>
                <w:rFonts w:cs="Arial"/>
              </w:rPr>
            </w:pPr>
            <w:r w:rsidRPr="00FD19BD">
              <w:rPr>
                <w:rFonts w:cs="Arial"/>
              </w:rPr>
              <w:t xml:space="preserve">Submit rulemaking to OAL if </w:t>
            </w:r>
            <w:r>
              <w:rPr>
                <w:rFonts w:cs="Arial"/>
              </w:rPr>
              <w:t>a second 15-day comment period is not necessary</w:t>
            </w:r>
          </w:p>
        </w:tc>
        <w:tc>
          <w:tcPr>
            <w:tcW w:w="3960" w:type="dxa"/>
          </w:tcPr>
          <w:p w14:paraId="62486C05" w14:textId="648D7DDC" w:rsidR="00991830" w:rsidRPr="00FD19BD" w:rsidRDefault="4BFA8DE6" w:rsidP="0085315C">
            <w:pPr>
              <w:spacing w:before="120" w:after="120"/>
              <w:ind w:right="252"/>
              <w:jc w:val="center"/>
              <w:rPr>
                <w:rFonts w:cs="Arial"/>
              </w:rPr>
            </w:pPr>
            <w:r w:rsidRPr="4BFA8DE6">
              <w:rPr>
                <w:rFonts w:cs="Arial"/>
              </w:rPr>
              <w:t>November 30, 2022</w:t>
            </w:r>
          </w:p>
        </w:tc>
      </w:tr>
      <w:tr w:rsidR="00991830" w:rsidRPr="00FD19BD" w14:paraId="1D7DBBB5" w14:textId="77777777" w:rsidTr="0094230B">
        <w:trPr>
          <w:cantSplit/>
        </w:trPr>
        <w:tc>
          <w:tcPr>
            <w:tcW w:w="5688" w:type="dxa"/>
            <w:hideMark/>
          </w:tcPr>
          <w:p w14:paraId="0D206365" w14:textId="16B11A88" w:rsidR="00991830" w:rsidRPr="00FD19BD" w:rsidRDefault="00991830" w:rsidP="0085315C">
            <w:pPr>
              <w:spacing w:before="120" w:after="120"/>
              <w:ind w:left="180"/>
              <w:rPr>
                <w:rFonts w:cs="Arial"/>
              </w:rPr>
            </w:pPr>
            <w:r w:rsidRPr="19B917D4">
              <w:rPr>
                <w:rFonts w:cs="Arial"/>
              </w:rPr>
              <w:t xml:space="preserve">OAL approval—Permanent Regulations effective </w:t>
            </w:r>
          </w:p>
        </w:tc>
        <w:tc>
          <w:tcPr>
            <w:tcW w:w="3960" w:type="dxa"/>
          </w:tcPr>
          <w:p w14:paraId="4101652C" w14:textId="2EEB8011" w:rsidR="00991830" w:rsidRPr="00FD19BD" w:rsidRDefault="008E6324" w:rsidP="0085315C">
            <w:pPr>
              <w:spacing w:before="120" w:after="120"/>
              <w:ind w:right="252"/>
              <w:jc w:val="center"/>
              <w:rPr>
                <w:rFonts w:cs="Arial"/>
              </w:rPr>
            </w:pPr>
            <w:r>
              <w:rPr>
                <w:rFonts w:cs="Arial"/>
              </w:rPr>
              <w:t>January 13, 2023</w:t>
            </w:r>
          </w:p>
        </w:tc>
      </w:tr>
    </w:tbl>
    <w:bookmarkEnd w:id="1"/>
    <w:p w14:paraId="69CDDF95" w14:textId="289ABBC1" w:rsidR="00991830" w:rsidRPr="00FD19BD" w:rsidRDefault="00991830" w:rsidP="006A7938">
      <w:pPr>
        <w:spacing w:before="120" w:after="240"/>
        <w:rPr>
          <w:rFonts w:cs="Arial"/>
        </w:rPr>
      </w:pPr>
      <w:r w:rsidRPr="19B917D4">
        <w:rPr>
          <w:rFonts w:cs="Arial"/>
        </w:rPr>
        <w:t>*These actions represent a small, but relevant, fraction of the details of the adoption process.</w:t>
      </w:r>
    </w:p>
    <w:p w14:paraId="1299C43A" w14:textId="22E1D420" w:rsidR="001919FF" w:rsidRPr="006352F7" w:rsidRDefault="00065A6B" w:rsidP="006D66C1">
      <w:r w:rsidRPr="006352F7">
        <w:t>04-0</w:t>
      </w:r>
      <w:r w:rsidR="00A4324C">
        <w:t>4</w:t>
      </w:r>
      <w:r w:rsidRPr="006352F7">
        <w:t>-2022 [California Department of Education]</w:t>
      </w:r>
    </w:p>
    <w:sectPr w:rsidR="001919FF" w:rsidRPr="006352F7" w:rsidSect="006A1A6A">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3A19" w14:textId="77777777" w:rsidR="00841450" w:rsidRDefault="00841450">
      <w:r>
        <w:separator/>
      </w:r>
    </w:p>
  </w:endnote>
  <w:endnote w:type="continuationSeparator" w:id="0">
    <w:p w14:paraId="08D1D484" w14:textId="77777777" w:rsidR="00841450" w:rsidRDefault="0084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45945" w:rsidRDefault="00745945" w:rsidP="00A6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745945" w:rsidRDefault="0074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745945" w:rsidRDefault="00745945" w:rsidP="00A60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340">
      <w:rPr>
        <w:rStyle w:val="PageNumber"/>
        <w:noProof/>
      </w:rPr>
      <w:t>1</w:t>
    </w:r>
    <w:r>
      <w:rPr>
        <w:rStyle w:val="PageNumber"/>
      </w:rPr>
      <w:fldChar w:fldCharType="end"/>
    </w:r>
  </w:p>
  <w:p w14:paraId="0562CB0E" w14:textId="77777777" w:rsidR="00745945" w:rsidRDefault="0074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ED6B" w14:textId="77777777" w:rsidR="00841450" w:rsidRDefault="00841450">
      <w:r>
        <w:separator/>
      </w:r>
    </w:p>
  </w:footnote>
  <w:footnote w:type="continuationSeparator" w:id="0">
    <w:p w14:paraId="5358D9FC" w14:textId="77777777" w:rsidR="00841450" w:rsidRDefault="00841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D7F"/>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2091C"/>
    <w:multiLevelType w:val="hybridMultilevel"/>
    <w:tmpl w:val="3A7C1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F70C9B"/>
    <w:multiLevelType w:val="hybridMultilevel"/>
    <w:tmpl w:val="722EE2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86380F"/>
    <w:multiLevelType w:val="hybridMultilevel"/>
    <w:tmpl w:val="BE92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5E"/>
    <w:rsid w:val="00001364"/>
    <w:rsid w:val="0001025E"/>
    <w:rsid w:val="00014301"/>
    <w:rsid w:val="00014785"/>
    <w:rsid w:val="00017578"/>
    <w:rsid w:val="00021666"/>
    <w:rsid w:val="00021BB0"/>
    <w:rsid w:val="00023879"/>
    <w:rsid w:val="00023DE5"/>
    <w:rsid w:val="0003083C"/>
    <w:rsid w:val="000364D0"/>
    <w:rsid w:val="0004240B"/>
    <w:rsid w:val="00045F20"/>
    <w:rsid w:val="0005603F"/>
    <w:rsid w:val="000568E7"/>
    <w:rsid w:val="00060C83"/>
    <w:rsid w:val="000610C4"/>
    <w:rsid w:val="000645B3"/>
    <w:rsid w:val="00065A6B"/>
    <w:rsid w:val="000713A1"/>
    <w:rsid w:val="00075559"/>
    <w:rsid w:val="000858DD"/>
    <w:rsid w:val="00090C5F"/>
    <w:rsid w:val="0009298D"/>
    <w:rsid w:val="000B30B4"/>
    <w:rsid w:val="000B3740"/>
    <w:rsid w:val="000C00E8"/>
    <w:rsid w:val="000C7F02"/>
    <w:rsid w:val="000E2F6E"/>
    <w:rsid w:val="000E495F"/>
    <w:rsid w:val="000F2B46"/>
    <w:rsid w:val="000F719A"/>
    <w:rsid w:val="00106DA9"/>
    <w:rsid w:val="0011183D"/>
    <w:rsid w:val="00114977"/>
    <w:rsid w:val="00114BB7"/>
    <w:rsid w:val="00124E46"/>
    <w:rsid w:val="00126C86"/>
    <w:rsid w:val="001332A8"/>
    <w:rsid w:val="001424D8"/>
    <w:rsid w:val="00142B5B"/>
    <w:rsid w:val="00164321"/>
    <w:rsid w:val="00170E07"/>
    <w:rsid w:val="00180C51"/>
    <w:rsid w:val="001919FF"/>
    <w:rsid w:val="001944DD"/>
    <w:rsid w:val="001A3F5C"/>
    <w:rsid w:val="001B119C"/>
    <w:rsid w:val="001B5595"/>
    <w:rsid w:val="001C15D3"/>
    <w:rsid w:val="001C36F7"/>
    <w:rsid w:val="001C37F3"/>
    <w:rsid w:val="001C515E"/>
    <w:rsid w:val="001C5550"/>
    <w:rsid w:val="001C5E74"/>
    <w:rsid w:val="001D35C9"/>
    <w:rsid w:val="001D3BF1"/>
    <w:rsid w:val="001D4DF5"/>
    <w:rsid w:val="001D4EF8"/>
    <w:rsid w:val="001D62A6"/>
    <w:rsid w:val="001D6A89"/>
    <w:rsid w:val="001E1590"/>
    <w:rsid w:val="001E5AA6"/>
    <w:rsid w:val="001E78D1"/>
    <w:rsid w:val="001F719E"/>
    <w:rsid w:val="0020410E"/>
    <w:rsid w:val="002050C3"/>
    <w:rsid w:val="00213457"/>
    <w:rsid w:val="00217999"/>
    <w:rsid w:val="002228CE"/>
    <w:rsid w:val="00225588"/>
    <w:rsid w:val="0022641B"/>
    <w:rsid w:val="00232421"/>
    <w:rsid w:val="00232DBC"/>
    <w:rsid w:val="00234142"/>
    <w:rsid w:val="00236F35"/>
    <w:rsid w:val="002479C4"/>
    <w:rsid w:val="00262715"/>
    <w:rsid w:val="002628F9"/>
    <w:rsid w:val="0027275D"/>
    <w:rsid w:val="00280738"/>
    <w:rsid w:val="0028331E"/>
    <w:rsid w:val="002857F6"/>
    <w:rsid w:val="00286740"/>
    <w:rsid w:val="00292E89"/>
    <w:rsid w:val="0029568B"/>
    <w:rsid w:val="002A003A"/>
    <w:rsid w:val="002A318F"/>
    <w:rsid w:val="002A5297"/>
    <w:rsid w:val="002B0F2F"/>
    <w:rsid w:val="002B4FDA"/>
    <w:rsid w:val="002C1F62"/>
    <w:rsid w:val="002C3453"/>
    <w:rsid w:val="002C5B79"/>
    <w:rsid w:val="002C611C"/>
    <w:rsid w:val="002C721F"/>
    <w:rsid w:val="002D10A9"/>
    <w:rsid w:val="002E36F0"/>
    <w:rsid w:val="002F13D4"/>
    <w:rsid w:val="002F607D"/>
    <w:rsid w:val="0030004C"/>
    <w:rsid w:val="00300E03"/>
    <w:rsid w:val="00305098"/>
    <w:rsid w:val="00315AE0"/>
    <w:rsid w:val="00333AB2"/>
    <w:rsid w:val="00333CE5"/>
    <w:rsid w:val="0034260A"/>
    <w:rsid w:val="00342AA6"/>
    <w:rsid w:val="00342F3E"/>
    <w:rsid w:val="003449A7"/>
    <w:rsid w:val="00346256"/>
    <w:rsid w:val="00347C65"/>
    <w:rsid w:val="0035327D"/>
    <w:rsid w:val="00356B4E"/>
    <w:rsid w:val="00356B82"/>
    <w:rsid w:val="003627F6"/>
    <w:rsid w:val="00365E73"/>
    <w:rsid w:val="0036641F"/>
    <w:rsid w:val="00370F32"/>
    <w:rsid w:val="003734AE"/>
    <w:rsid w:val="003737FF"/>
    <w:rsid w:val="0038095F"/>
    <w:rsid w:val="00380B29"/>
    <w:rsid w:val="00381716"/>
    <w:rsid w:val="00385AF1"/>
    <w:rsid w:val="003963FF"/>
    <w:rsid w:val="003A1111"/>
    <w:rsid w:val="003B07E2"/>
    <w:rsid w:val="003B16CF"/>
    <w:rsid w:val="003B1C29"/>
    <w:rsid w:val="003B51B0"/>
    <w:rsid w:val="003B6028"/>
    <w:rsid w:val="003E3AC4"/>
    <w:rsid w:val="003E4E14"/>
    <w:rsid w:val="003E7A7D"/>
    <w:rsid w:val="003F38D7"/>
    <w:rsid w:val="003F3F96"/>
    <w:rsid w:val="003F7D30"/>
    <w:rsid w:val="004008CB"/>
    <w:rsid w:val="0040102D"/>
    <w:rsid w:val="004042AD"/>
    <w:rsid w:val="00406D17"/>
    <w:rsid w:val="0040772C"/>
    <w:rsid w:val="00411D53"/>
    <w:rsid w:val="00412870"/>
    <w:rsid w:val="00415795"/>
    <w:rsid w:val="00416510"/>
    <w:rsid w:val="00423191"/>
    <w:rsid w:val="00423D78"/>
    <w:rsid w:val="0043014E"/>
    <w:rsid w:val="00436740"/>
    <w:rsid w:val="004400F3"/>
    <w:rsid w:val="00442E44"/>
    <w:rsid w:val="00443022"/>
    <w:rsid w:val="00444180"/>
    <w:rsid w:val="004460C4"/>
    <w:rsid w:val="00450530"/>
    <w:rsid w:val="00450AA3"/>
    <w:rsid w:val="00451AAA"/>
    <w:rsid w:val="00454C6D"/>
    <w:rsid w:val="00467507"/>
    <w:rsid w:val="00470186"/>
    <w:rsid w:val="00475AC2"/>
    <w:rsid w:val="004873D6"/>
    <w:rsid w:val="00492909"/>
    <w:rsid w:val="0049478D"/>
    <w:rsid w:val="004A105F"/>
    <w:rsid w:val="004A1A11"/>
    <w:rsid w:val="004A3A76"/>
    <w:rsid w:val="004A3B87"/>
    <w:rsid w:val="004A5F00"/>
    <w:rsid w:val="004B2CE8"/>
    <w:rsid w:val="004B7154"/>
    <w:rsid w:val="004B7470"/>
    <w:rsid w:val="004C3BDF"/>
    <w:rsid w:val="004C4B36"/>
    <w:rsid w:val="004C684E"/>
    <w:rsid w:val="004D2992"/>
    <w:rsid w:val="004E0C20"/>
    <w:rsid w:val="004E5190"/>
    <w:rsid w:val="004E777E"/>
    <w:rsid w:val="004F282E"/>
    <w:rsid w:val="00501714"/>
    <w:rsid w:val="00501CBF"/>
    <w:rsid w:val="00503897"/>
    <w:rsid w:val="00507FFB"/>
    <w:rsid w:val="00526F20"/>
    <w:rsid w:val="00527B6C"/>
    <w:rsid w:val="00530A3A"/>
    <w:rsid w:val="005319F2"/>
    <w:rsid w:val="0053460F"/>
    <w:rsid w:val="0053493B"/>
    <w:rsid w:val="0054171B"/>
    <w:rsid w:val="005558D1"/>
    <w:rsid w:val="00555E31"/>
    <w:rsid w:val="0056505E"/>
    <w:rsid w:val="005724BD"/>
    <w:rsid w:val="005746BE"/>
    <w:rsid w:val="00574EB5"/>
    <w:rsid w:val="00583248"/>
    <w:rsid w:val="00583A95"/>
    <w:rsid w:val="005857D5"/>
    <w:rsid w:val="00587744"/>
    <w:rsid w:val="00592EDD"/>
    <w:rsid w:val="005A1B59"/>
    <w:rsid w:val="005A3C84"/>
    <w:rsid w:val="005A4485"/>
    <w:rsid w:val="005A6C80"/>
    <w:rsid w:val="005A79E2"/>
    <w:rsid w:val="005B0687"/>
    <w:rsid w:val="005B6D78"/>
    <w:rsid w:val="005C575D"/>
    <w:rsid w:val="005C68E1"/>
    <w:rsid w:val="005D6D80"/>
    <w:rsid w:val="005E74AE"/>
    <w:rsid w:val="005F424D"/>
    <w:rsid w:val="005F7D39"/>
    <w:rsid w:val="0060028A"/>
    <w:rsid w:val="006016F5"/>
    <w:rsid w:val="00604703"/>
    <w:rsid w:val="0060600E"/>
    <w:rsid w:val="006063D1"/>
    <w:rsid w:val="00606B37"/>
    <w:rsid w:val="00607E6F"/>
    <w:rsid w:val="00612861"/>
    <w:rsid w:val="00613CDA"/>
    <w:rsid w:val="00614EDB"/>
    <w:rsid w:val="006167C4"/>
    <w:rsid w:val="00622E29"/>
    <w:rsid w:val="006235A6"/>
    <w:rsid w:val="00630F9B"/>
    <w:rsid w:val="006352F7"/>
    <w:rsid w:val="00636DB1"/>
    <w:rsid w:val="00641415"/>
    <w:rsid w:val="00642821"/>
    <w:rsid w:val="00642E37"/>
    <w:rsid w:val="00660A8E"/>
    <w:rsid w:val="00664678"/>
    <w:rsid w:val="0067522F"/>
    <w:rsid w:val="006819DC"/>
    <w:rsid w:val="006830F8"/>
    <w:rsid w:val="00686E8A"/>
    <w:rsid w:val="006900C6"/>
    <w:rsid w:val="00690FB5"/>
    <w:rsid w:val="006963DE"/>
    <w:rsid w:val="00697D20"/>
    <w:rsid w:val="006A1A6A"/>
    <w:rsid w:val="006A375C"/>
    <w:rsid w:val="006A7938"/>
    <w:rsid w:val="006B1073"/>
    <w:rsid w:val="006B231C"/>
    <w:rsid w:val="006B4B26"/>
    <w:rsid w:val="006B4DE8"/>
    <w:rsid w:val="006B65B1"/>
    <w:rsid w:val="006B6629"/>
    <w:rsid w:val="006B7F28"/>
    <w:rsid w:val="006C115F"/>
    <w:rsid w:val="006C21F6"/>
    <w:rsid w:val="006C3459"/>
    <w:rsid w:val="006C4CA4"/>
    <w:rsid w:val="006C4F1D"/>
    <w:rsid w:val="006D0538"/>
    <w:rsid w:val="006D4301"/>
    <w:rsid w:val="006D66C1"/>
    <w:rsid w:val="006D7907"/>
    <w:rsid w:val="006E1FD0"/>
    <w:rsid w:val="006F1A5E"/>
    <w:rsid w:val="00700A58"/>
    <w:rsid w:val="00701F21"/>
    <w:rsid w:val="00705930"/>
    <w:rsid w:val="00707B43"/>
    <w:rsid w:val="00713CC5"/>
    <w:rsid w:val="00714AF6"/>
    <w:rsid w:val="007162C3"/>
    <w:rsid w:val="00717402"/>
    <w:rsid w:val="00721F69"/>
    <w:rsid w:val="007245F5"/>
    <w:rsid w:val="00734AB9"/>
    <w:rsid w:val="00736154"/>
    <w:rsid w:val="00736D64"/>
    <w:rsid w:val="0074126E"/>
    <w:rsid w:val="00742DDA"/>
    <w:rsid w:val="007433D7"/>
    <w:rsid w:val="00744C0E"/>
    <w:rsid w:val="00745945"/>
    <w:rsid w:val="00747C72"/>
    <w:rsid w:val="00755030"/>
    <w:rsid w:val="00762059"/>
    <w:rsid w:val="00764D1B"/>
    <w:rsid w:val="00775B32"/>
    <w:rsid w:val="00776CF1"/>
    <w:rsid w:val="007808E8"/>
    <w:rsid w:val="00794EBF"/>
    <w:rsid w:val="007A1ACE"/>
    <w:rsid w:val="007A1BED"/>
    <w:rsid w:val="007B7051"/>
    <w:rsid w:val="007C05FE"/>
    <w:rsid w:val="007C4156"/>
    <w:rsid w:val="007D4F18"/>
    <w:rsid w:val="007D52DD"/>
    <w:rsid w:val="007E3614"/>
    <w:rsid w:val="007E4AAC"/>
    <w:rsid w:val="007F6238"/>
    <w:rsid w:val="00801EEB"/>
    <w:rsid w:val="00805679"/>
    <w:rsid w:val="00813517"/>
    <w:rsid w:val="00813CAD"/>
    <w:rsid w:val="00814497"/>
    <w:rsid w:val="00822452"/>
    <w:rsid w:val="00822CC1"/>
    <w:rsid w:val="0082383E"/>
    <w:rsid w:val="008244A7"/>
    <w:rsid w:val="00827D89"/>
    <w:rsid w:val="00834A7D"/>
    <w:rsid w:val="00841450"/>
    <w:rsid w:val="00846830"/>
    <w:rsid w:val="00850829"/>
    <w:rsid w:val="008950B8"/>
    <w:rsid w:val="008B0AB5"/>
    <w:rsid w:val="008B13C8"/>
    <w:rsid w:val="008B2641"/>
    <w:rsid w:val="008B44B1"/>
    <w:rsid w:val="008C3A24"/>
    <w:rsid w:val="008CA3EE"/>
    <w:rsid w:val="008D3D6F"/>
    <w:rsid w:val="008D41E1"/>
    <w:rsid w:val="008D45CF"/>
    <w:rsid w:val="008D5DD7"/>
    <w:rsid w:val="008E6324"/>
    <w:rsid w:val="008E6D12"/>
    <w:rsid w:val="008F47FB"/>
    <w:rsid w:val="008F78BD"/>
    <w:rsid w:val="00902461"/>
    <w:rsid w:val="00906EC6"/>
    <w:rsid w:val="009073CC"/>
    <w:rsid w:val="0091511D"/>
    <w:rsid w:val="009206A1"/>
    <w:rsid w:val="00941A1F"/>
    <w:rsid w:val="0094230B"/>
    <w:rsid w:val="009501C4"/>
    <w:rsid w:val="00971610"/>
    <w:rsid w:val="00975C94"/>
    <w:rsid w:val="00985CF1"/>
    <w:rsid w:val="009861DC"/>
    <w:rsid w:val="00991830"/>
    <w:rsid w:val="009941B7"/>
    <w:rsid w:val="009A1156"/>
    <w:rsid w:val="009A2491"/>
    <w:rsid w:val="009A581B"/>
    <w:rsid w:val="009A65D9"/>
    <w:rsid w:val="009B4AC4"/>
    <w:rsid w:val="009B6C31"/>
    <w:rsid w:val="009C005C"/>
    <w:rsid w:val="009C37C6"/>
    <w:rsid w:val="009D651D"/>
    <w:rsid w:val="009D6CC5"/>
    <w:rsid w:val="009E21AB"/>
    <w:rsid w:val="009E4A93"/>
    <w:rsid w:val="009E75F9"/>
    <w:rsid w:val="009F519D"/>
    <w:rsid w:val="00A04A75"/>
    <w:rsid w:val="00A05653"/>
    <w:rsid w:val="00A17833"/>
    <w:rsid w:val="00A2086B"/>
    <w:rsid w:val="00A2585C"/>
    <w:rsid w:val="00A34AEA"/>
    <w:rsid w:val="00A4324C"/>
    <w:rsid w:val="00A506FB"/>
    <w:rsid w:val="00A5101C"/>
    <w:rsid w:val="00A527A2"/>
    <w:rsid w:val="00A531DE"/>
    <w:rsid w:val="00A53FB0"/>
    <w:rsid w:val="00A54E29"/>
    <w:rsid w:val="00A60B62"/>
    <w:rsid w:val="00A61063"/>
    <w:rsid w:val="00A62CEE"/>
    <w:rsid w:val="00A66BA8"/>
    <w:rsid w:val="00A7096F"/>
    <w:rsid w:val="00A71E73"/>
    <w:rsid w:val="00A72BCE"/>
    <w:rsid w:val="00A75932"/>
    <w:rsid w:val="00A77619"/>
    <w:rsid w:val="00A80D44"/>
    <w:rsid w:val="00A81809"/>
    <w:rsid w:val="00A85FD4"/>
    <w:rsid w:val="00A8762B"/>
    <w:rsid w:val="00A901E0"/>
    <w:rsid w:val="00A9027C"/>
    <w:rsid w:val="00A92343"/>
    <w:rsid w:val="00AA02B4"/>
    <w:rsid w:val="00AA495C"/>
    <w:rsid w:val="00AB552E"/>
    <w:rsid w:val="00AB6A6F"/>
    <w:rsid w:val="00AC3417"/>
    <w:rsid w:val="00AD289F"/>
    <w:rsid w:val="00AE2D0F"/>
    <w:rsid w:val="00AEF2A1"/>
    <w:rsid w:val="00AF2251"/>
    <w:rsid w:val="00AF6771"/>
    <w:rsid w:val="00B04946"/>
    <w:rsid w:val="00B06006"/>
    <w:rsid w:val="00B10173"/>
    <w:rsid w:val="00B20A31"/>
    <w:rsid w:val="00B22340"/>
    <w:rsid w:val="00B23372"/>
    <w:rsid w:val="00B23AC8"/>
    <w:rsid w:val="00B25A6D"/>
    <w:rsid w:val="00B26712"/>
    <w:rsid w:val="00B32718"/>
    <w:rsid w:val="00B55818"/>
    <w:rsid w:val="00B61231"/>
    <w:rsid w:val="00B61889"/>
    <w:rsid w:val="00B62F5F"/>
    <w:rsid w:val="00B73CE5"/>
    <w:rsid w:val="00B77A9C"/>
    <w:rsid w:val="00B83FCE"/>
    <w:rsid w:val="00B84A13"/>
    <w:rsid w:val="00B85025"/>
    <w:rsid w:val="00B94C36"/>
    <w:rsid w:val="00B94E7F"/>
    <w:rsid w:val="00B9659B"/>
    <w:rsid w:val="00BA5D97"/>
    <w:rsid w:val="00BB5124"/>
    <w:rsid w:val="00BB71E6"/>
    <w:rsid w:val="00BC57EE"/>
    <w:rsid w:val="00BC61B3"/>
    <w:rsid w:val="00BD13DC"/>
    <w:rsid w:val="00BD655D"/>
    <w:rsid w:val="00BD6F80"/>
    <w:rsid w:val="00BE534F"/>
    <w:rsid w:val="00BE6E02"/>
    <w:rsid w:val="00BF30EE"/>
    <w:rsid w:val="00BF4914"/>
    <w:rsid w:val="00C010FF"/>
    <w:rsid w:val="00C01CD1"/>
    <w:rsid w:val="00C02108"/>
    <w:rsid w:val="00C02E96"/>
    <w:rsid w:val="00C04BCF"/>
    <w:rsid w:val="00C11587"/>
    <w:rsid w:val="00C17FC9"/>
    <w:rsid w:val="00C20334"/>
    <w:rsid w:val="00C31871"/>
    <w:rsid w:val="00C37139"/>
    <w:rsid w:val="00C4268A"/>
    <w:rsid w:val="00C44020"/>
    <w:rsid w:val="00C45BC0"/>
    <w:rsid w:val="00C47A2A"/>
    <w:rsid w:val="00C51419"/>
    <w:rsid w:val="00C536FE"/>
    <w:rsid w:val="00C57F3A"/>
    <w:rsid w:val="00C66E7E"/>
    <w:rsid w:val="00C71B7A"/>
    <w:rsid w:val="00C72973"/>
    <w:rsid w:val="00C73020"/>
    <w:rsid w:val="00C75D66"/>
    <w:rsid w:val="00C81490"/>
    <w:rsid w:val="00C8318F"/>
    <w:rsid w:val="00C93264"/>
    <w:rsid w:val="00C93FF8"/>
    <w:rsid w:val="00C95889"/>
    <w:rsid w:val="00C97C44"/>
    <w:rsid w:val="00CA0FEC"/>
    <w:rsid w:val="00CA3253"/>
    <w:rsid w:val="00CA54CF"/>
    <w:rsid w:val="00CB173C"/>
    <w:rsid w:val="00CB1F25"/>
    <w:rsid w:val="00CB3E0C"/>
    <w:rsid w:val="00CC33D7"/>
    <w:rsid w:val="00CC3CA7"/>
    <w:rsid w:val="00CC608F"/>
    <w:rsid w:val="00CD4AAF"/>
    <w:rsid w:val="00CD54DB"/>
    <w:rsid w:val="00CE266D"/>
    <w:rsid w:val="00CE727E"/>
    <w:rsid w:val="00CE735D"/>
    <w:rsid w:val="00D14C13"/>
    <w:rsid w:val="00D165AB"/>
    <w:rsid w:val="00D17A98"/>
    <w:rsid w:val="00D17FBA"/>
    <w:rsid w:val="00D364EA"/>
    <w:rsid w:val="00D36607"/>
    <w:rsid w:val="00D411C4"/>
    <w:rsid w:val="00D443BC"/>
    <w:rsid w:val="00D44907"/>
    <w:rsid w:val="00D45A4C"/>
    <w:rsid w:val="00D53DFE"/>
    <w:rsid w:val="00D6044A"/>
    <w:rsid w:val="00D60E00"/>
    <w:rsid w:val="00D61E04"/>
    <w:rsid w:val="00D62F87"/>
    <w:rsid w:val="00D65F25"/>
    <w:rsid w:val="00D753BE"/>
    <w:rsid w:val="00D7715D"/>
    <w:rsid w:val="00D77E4A"/>
    <w:rsid w:val="00D85016"/>
    <w:rsid w:val="00D860FA"/>
    <w:rsid w:val="00D865E1"/>
    <w:rsid w:val="00D91394"/>
    <w:rsid w:val="00DA35B9"/>
    <w:rsid w:val="00DA5518"/>
    <w:rsid w:val="00DA602C"/>
    <w:rsid w:val="00DB170A"/>
    <w:rsid w:val="00DB1BBC"/>
    <w:rsid w:val="00DB7F28"/>
    <w:rsid w:val="00DB7F99"/>
    <w:rsid w:val="00DC087E"/>
    <w:rsid w:val="00DC402B"/>
    <w:rsid w:val="00DC47CF"/>
    <w:rsid w:val="00DD1175"/>
    <w:rsid w:val="00DD2294"/>
    <w:rsid w:val="00DE086A"/>
    <w:rsid w:val="00DE0A7E"/>
    <w:rsid w:val="00DE0C9F"/>
    <w:rsid w:val="00DE2BFD"/>
    <w:rsid w:val="00DE62B6"/>
    <w:rsid w:val="00DF5157"/>
    <w:rsid w:val="00DF5565"/>
    <w:rsid w:val="00DF73AE"/>
    <w:rsid w:val="00DF78C0"/>
    <w:rsid w:val="00E1559B"/>
    <w:rsid w:val="00E204D6"/>
    <w:rsid w:val="00E266EF"/>
    <w:rsid w:val="00E270D1"/>
    <w:rsid w:val="00E33382"/>
    <w:rsid w:val="00E464E9"/>
    <w:rsid w:val="00E5422C"/>
    <w:rsid w:val="00E553C8"/>
    <w:rsid w:val="00E563AD"/>
    <w:rsid w:val="00E60C10"/>
    <w:rsid w:val="00E61537"/>
    <w:rsid w:val="00E6247F"/>
    <w:rsid w:val="00E629EB"/>
    <w:rsid w:val="00E67752"/>
    <w:rsid w:val="00E76F12"/>
    <w:rsid w:val="00E8490C"/>
    <w:rsid w:val="00EA3C89"/>
    <w:rsid w:val="00EA6F75"/>
    <w:rsid w:val="00EA74A7"/>
    <w:rsid w:val="00EB6964"/>
    <w:rsid w:val="00EC0405"/>
    <w:rsid w:val="00EC2390"/>
    <w:rsid w:val="00EC6DC0"/>
    <w:rsid w:val="00ED285B"/>
    <w:rsid w:val="00ED633B"/>
    <w:rsid w:val="00ED7D8D"/>
    <w:rsid w:val="00EE2F32"/>
    <w:rsid w:val="00EF0E91"/>
    <w:rsid w:val="00EF28B6"/>
    <w:rsid w:val="00EF5526"/>
    <w:rsid w:val="00F0204E"/>
    <w:rsid w:val="00F050DE"/>
    <w:rsid w:val="00F05334"/>
    <w:rsid w:val="00F05B54"/>
    <w:rsid w:val="00F0685A"/>
    <w:rsid w:val="00F06EF3"/>
    <w:rsid w:val="00F16C49"/>
    <w:rsid w:val="00F16C90"/>
    <w:rsid w:val="00F2026B"/>
    <w:rsid w:val="00F214D3"/>
    <w:rsid w:val="00F3329F"/>
    <w:rsid w:val="00F4370C"/>
    <w:rsid w:val="00F5661C"/>
    <w:rsid w:val="00F60A96"/>
    <w:rsid w:val="00F7089E"/>
    <w:rsid w:val="00F74773"/>
    <w:rsid w:val="00F76A4A"/>
    <w:rsid w:val="00F77938"/>
    <w:rsid w:val="00F8565A"/>
    <w:rsid w:val="00F86F75"/>
    <w:rsid w:val="00F921B1"/>
    <w:rsid w:val="00F93454"/>
    <w:rsid w:val="00F94C89"/>
    <w:rsid w:val="00FA38E3"/>
    <w:rsid w:val="00FA667F"/>
    <w:rsid w:val="00FA74A7"/>
    <w:rsid w:val="00FC644A"/>
    <w:rsid w:val="00FC7F4A"/>
    <w:rsid w:val="00FD20A2"/>
    <w:rsid w:val="00FE075A"/>
    <w:rsid w:val="00FE2694"/>
    <w:rsid w:val="00FE2E39"/>
    <w:rsid w:val="00FE3888"/>
    <w:rsid w:val="00FE5BA9"/>
    <w:rsid w:val="00FF2C30"/>
    <w:rsid w:val="01CA8889"/>
    <w:rsid w:val="05A17FE5"/>
    <w:rsid w:val="06D4E899"/>
    <w:rsid w:val="09F2870A"/>
    <w:rsid w:val="0BAFB54A"/>
    <w:rsid w:val="0D35A2B7"/>
    <w:rsid w:val="0D864791"/>
    <w:rsid w:val="0EC5F82D"/>
    <w:rsid w:val="1061C88E"/>
    <w:rsid w:val="10AF1637"/>
    <w:rsid w:val="11FD98EF"/>
    <w:rsid w:val="127981C0"/>
    <w:rsid w:val="132D6BFA"/>
    <w:rsid w:val="16332C55"/>
    <w:rsid w:val="165BF277"/>
    <w:rsid w:val="173BDF4A"/>
    <w:rsid w:val="1853B216"/>
    <w:rsid w:val="19B917D4"/>
    <w:rsid w:val="1A9F7D6B"/>
    <w:rsid w:val="1C3F1D18"/>
    <w:rsid w:val="1C62292F"/>
    <w:rsid w:val="1D343FC2"/>
    <w:rsid w:val="1ED01023"/>
    <w:rsid w:val="2039208B"/>
    <w:rsid w:val="267A03C7"/>
    <w:rsid w:val="29C5E6DA"/>
    <w:rsid w:val="2A5DE957"/>
    <w:rsid w:val="2D932C39"/>
    <w:rsid w:val="2EECE736"/>
    <w:rsid w:val="30F1D53A"/>
    <w:rsid w:val="341F4B45"/>
    <w:rsid w:val="36704127"/>
    <w:rsid w:val="36E9F576"/>
    <w:rsid w:val="36F9C9D5"/>
    <w:rsid w:val="37BEC3DF"/>
    <w:rsid w:val="3940AF1E"/>
    <w:rsid w:val="39A7E1E9"/>
    <w:rsid w:val="3A35D4C8"/>
    <w:rsid w:val="3AB4CD39"/>
    <w:rsid w:val="3B3D6474"/>
    <w:rsid w:val="3C96FF5E"/>
    <w:rsid w:val="3CB819F8"/>
    <w:rsid w:val="3D8EB197"/>
    <w:rsid w:val="3DDA03AB"/>
    <w:rsid w:val="4111A46D"/>
    <w:rsid w:val="416A7081"/>
    <w:rsid w:val="41895008"/>
    <w:rsid w:val="4212E391"/>
    <w:rsid w:val="43F8714D"/>
    <w:rsid w:val="44390178"/>
    <w:rsid w:val="45091803"/>
    <w:rsid w:val="456CFA01"/>
    <w:rsid w:val="457326D1"/>
    <w:rsid w:val="483E35EC"/>
    <w:rsid w:val="49598298"/>
    <w:rsid w:val="4A6C2F64"/>
    <w:rsid w:val="4BFA8DE6"/>
    <w:rsid w:val="4DE43EDB"/>
    <w:rsid w:val="4F58316C"/>
    <w:rsid w:val="503534BD"/>
    <w:rsid w:val="50E5D9B8"/>
    <w:rsid w:val="514DAE23"/>
    <w:rsid w:val="518A3B2D"/>
    <w:rsid w:val="530C8B96"/>
    <w:rsid w:val="53AE7798"/>
    <w:rsid w:val="599B85F3"/>
    <w:rsid w:val="5D105DC6"/>
    <w:rsid w:val="5ECB88C0"/>
    <w:rsid w:val="5EE0E5D5"/>
    <w:rsid w:val="5F1EF20A"/>
    <w:rsid w:val="5FE9ACDD"/>
    <w:rsid w:val="600AC777"/>
    <w:rsid w:val="6122A792"/>
    <w:rsid w:val="63214D9F"/>
    <w:rsid w:val="638FB74A"/>
    <w:rsid w:val="63A86E5E"/>
    <w:rsid w:val="64B43CE0"/>
    <w:rsid w:val="6500E5FF"/>
    <w:rsid w:val="6747E6F8"/>
    <w:rsid w:val="67B7757C"/>
    <w:rsid w:val="689B2E47"/>
    <w:rsid w:val="68BE13E9"/>
    <w:rsid w:val="6B3D35B4"/>
    <w:rsid w:val="6B9A57E6"/>
    <w:rsid w:val="6C3F01FE"/>
    <w:rsid w:val="718BC7F2"/>
    <w:rsid w:val="71E52031"/>
    <w:rsid w:val="73FA4563"/>
    <w:rsid w:val="74A51558"/>
    <w:rsid w:val="763F27D6"/>
    <w:rsid w:val="7AD4C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4DB50"/>
  <w15:chartTrackingRefBased/>
  <w15:docId w15:val="{B6E58FCC-2431-4692-9A0E-A99E02AF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A6B"/>
    <w:rPr>
      <w:rFonts w:ascii="Arial" w:hAnsi="Arial"/>
      <w:sz w:val="24"/>
      <w:szCs w:val="24"/>
    </w:rPr>
  </w:style>
  <w:style w:type="paragraph" w:styleId="Heading1">
    <w:name w:val="heading 1"/>
    <w:basedOn w:val="Normal"/>
    <w:next w:val="Normal"/>
    <w:link w:val="Heading1Char"/>
    <w:qFormat/>
    <w:rsid w:val="00065A6B"/>
    <w:pPr>
      <w:keepNext/>
      <w:keepLines/>
      <w:spacing w:before="240" w:after="120"/>
      <w:jc w:val="center"/>
      <w:outlineLvl w:val="0"/>
    </w:pPr>
    <w:rPr>
      <w:rFonts w:eastAsiaTheme="majorEastAsia" w:cstheme="majorBidi"/>
      <w:b/>
      <w:szCs w:val="32"/>
    </w:rPr>
  </w:style>
  <w:style w:type="paragraph" w:styleId="Heading2">
    <w:name w:val="heading 2"/>
    <w:basedOn w:val="Normal"/>
    <w:next w:val="Normal"/>
    <w:link w:val="Heading2Char"/>
    <w:qFormat/>
    <w:rsid w:val="00065A6B"/>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qFormat/>
    <w:rsid w:val="00065A6B"/>
    <w:pPr>
      <w:keepNext/>
      <w:keepLines/>
      <w:spacing w:before="40" w:after="240"/>
      <w:outlineLvl w:val="2"/>
    </w:pPr>
    <w:rPr>
      <w:rFonts w:eastAsiaTheme="majorEastAsia" w:cstheme="majorBidi"/>
      <w:b/>
    </w:rPr>
  </w:style>
  <w:style w:type="paragraph" w:styleId="Heading4">
    <w:name w:val="heading 4"/>
    <w:basedOn w:val="Normal"/>
    <w:next w:val="Normal"/>
    <w:link w:val="Heading4Char"/>
    <w:qFormat/>
    <w:rsid w:val="001E5AA6"/>
    <w:pPr>
      <w:keepNext/>
      <w:tabs>
        <w:tab w:val="center" w:pos="9720"/>
      </w:tabs>
      <w:spacing w:line="360" w:lineRule="atLeast"/>
      <w:outlineLvl w:val="3"/>
    </w:pPr>
    <w:rPr>
      <w:rFonts w:eastAsia="Times"/>
      <w:b/>
      <w:bCs/>
      <w:spacing w:val="20"/>
      <w:kern w:val="2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15E"/>
    <w:pPr>
      <w:tabs>
        <w:tab w:val="center" w:pos="4320"/>
        <w:tab w:val="right" w:pos="8640"/>
      </w:tabs>
    </w:pPr>
  </w:style>
  <w:style w:type="character" w:styleId="PageNumber">
    <w:name w:val="page number"/>
    <w:basedOn w:val="DefaultParagraphFont"/>
    <w:rsid w:val="001C515E"/>
  </w:style>
  <w:style w:type="character" w:styleId="Hyperlink">
    <w:name w:val="Hyperlink"/>
    <w:rsid w:val="00305098"/>
    <w:rPr>
      <w:color w:val="0000FF"/>
      <w:u w:val="single"/>
    </w:rPr>
  </w:style>
  <w:style w:type="paragraph" w:styleId="ListParagraph">
    <w:name w:val="List Paragraph"/>
    <w:basedOn w:val="Normal"/>
    <w:uiPriority w:val="34"/>
    <w:qFormat/>
    <w:rsid w:val="00642821"/>
    <w:pPr>
      <w:ind w:left="720"/>
    </w:pPr>
  </w:style>
  <w:style w:type="table" w:styleId="TableGrid">
    <w:name w:val="Table Grid"/>
    <w:basedOn w:val="TableNormal"/>
    <w:uiPriority w:val="39"/>
    <w:rsid w:val="004A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6/8"/>
    <w:rsid w:val="00F0204E"/>
    <w:rPr>
      <w:rFonts w:ascii="Arial" w:hAnsi="Arial"/>
      <w:b/>
      <w:caps/>
      <w:color w:val="0000FF"/>
      <w:sz w:val="12"/>
      <w:u w:val="none"/>
      <w:vertAlign w:val="baseline"/>
    </w:rPr>
  </w:style>
  <w:style w:type="paragraph" w:customStyle="1" w:styleId="FillIn">
    <w:name w:val="Fill In"/>
    <w:basedOn w:val="Normal"/>
    <w:rsid w:val="00F0204E"/>
    <w:pPr>
      <w:overflowPunct w:val="0"/>
      <w:autoSpaceDE w:val="0"/>
      <w:autoSpaceDN w:val="0"/>
      <w:adjustRightInd w:val="0"/>
      <w:spacing w:line="240" w:lineRule="exact"/>
      <w:textAlignment w:val="baseline"/>
    </w:pPr>
    <w:rPr>
      <w:rFonts w:ascii="Times New Roman" w:hAnsi="Times New Roman"/>
      <w:color w:val="000000"/>
      <w:sz w:val="20"/>
      <w:szCs w:val="20"/>
    </w:rPr>
  </w:style>
  <w:style w:type="paragraph" w:styleId="BalloonText">
    <w:name w:val="Balloon Text"/>
    <w:basedOn w:val="Normal"/>
    <w:link w:val="BalloonTextChar"/>
    <w:rsid w:val="00365E73"/>
    <w:rPr>
      <w:rFonts w:ascii="Tahoma" w:hAnsi="Tahoma" w:cs="Tahoma"/>
      <w:sz w:val="16"/>
      <w:szCs w:val="16"/>
    </w:rPr>
  </w:style>
  <w:style w:type="character" w:customStyle="1" w:styleId="BalloonTextChar">
    <w:name w:val="Balloon Text Char"/>
    <w:link w:val="BalloonText"/>
    <w:rsid w:val="00365E73"/>
    <w:rPr>
      <w:rFonts w:ascii="Tahoma" w:hAnsi="Tahoma" w:cs="Tahoma"/>
      <w:sz w:val="16"/>
      <w:szCs w:val="16"/>
    </w:rPr>
  </w:style>
  <w:style w:type="character" w:customStyle="1" w:styleId="Heading4Char">
    <w:name w:val="Heading 4 Char"/>
    <w:basedOn w:val="DefaultParagraphFont"/>
    <w:link w:val="Heading4"/>
    <w:rsid w:val="001E5AA6"/>
    <w:rPr>
      <w:rFonts w:ascii="Arial" w:eastAsia="Times" w:hAnsi="Arial"/>
      <w:b/>
      <w:bCs/>
      <w:spacing w:val="20"/>
      <w:kern w:val="24"/>
      <w:sz w:val="18"/>
    </w:rPr>
  </w:style>
  <w:style w:type="character" w:styleId="CommentReference">
    <w:name w:val="annotation reference"/>
    <w:basedOn w:val="DefaultParagraphFont"/>
    <w:rsid w:val="001C15D3"/>
    <w:rPr>
      <w:sz w:val="16"/>
      <w:szCs w:val="16"/>
    </w:rPr>
  </w:style>
  <w:style w:type="paragraph" w:styleId="CommentText">
    <w:name w:val="annotation text"/>
    <w:basedOn w:val="Normal"/>
    <w:link w:val="CommentTextChar"/>
    <w:rsid w:val="001C15D3"/>
    <w:rPr>
      <w:sz w:val="20"/>
      <w:szCs w:val="20"/>
    </w:rPr>
  </w:style>
  <w:style w:type="character" w:customStyle="1" w:styleId="CommentTextChar">
    <w:name w:val="Comment Text Char"/>
    <w:basedOn w:val="DefaultParagraphFont"/>
    <w:link w:val="CommentText"/>
    <w:rsid w:val="001C15D3"/>
    <w:rPr>
      <w:rFonts w:ascii="Arial" w:hAnsi="Arial"/>
    </w:rPr>
  </w:style>
  <w:style w:type="paragraph" w:styleId="CommentSubject">
    <w:name w:val="annotation subject"/>
    <w:basedOn w:val="CommentText"/>
    <w:next w:val="CommentText"/>
    <w:link w:val="CommentSubjectChar"/>
    <w:rsid w:val="001C15D3"/>
    <w:rPr>
      <w:b/>
      <w:bCs/>
    </w:rPr>
  </w:style>
  <w:style w:type="character" w:customStyle="1" w:styleId="CommentSubjectChar">
    <w:name w:val="Comment Subject Char"/>
    <w:basedOn w:val="CommentTextChar"/>
    <w:link w:val="CommentSubject"/>
    <w:rsid w:val="001C15D3"/>
    <w:rPr>
      <w:rFonts w:ascii="Arial" w:hAnsi="Arial"/>
      <w:b/>
      <w:bC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065A6B"/>
    <w:rPr>
      <w:rFonts w:ascii="Arial" w:eastAsiaTheme="majorEastAsia" w:hAnsi="Arial" w:cstheme="majorBidi"/>
      <w:b/>
      <w:sz w:val="24"/>
      <w:szCs w:val="32"/>
    </w:rPr>
  </w:style>
  <w:style w:type="character" w:customStyle="1" w:styleId="Heading2Char">
    <w:name w:val="Heading 2 Char"/>
    <w:basedOn w:val="DefaultParagraphFont"/>
    <w:link w:val="Heading2"/>
    <w:rsid w:val="00065A6B"/>
    <w:rPr>
      <w:rFonts w:ascii="Arial" w:eastAsiaTheme="majorEastAsia" w:hAnsi="Arial" w:cstheme="majorBidi"/>
      <w:b/>
      <w:sz w:val="24"/>
      <w:szCs w:val="26"/>
    </w:rPr>
  </w:style>
  <w:style w:type="character" w:customStyle="1" w:styleId="Heading3Char">
    <w:name w:val="Heading 3 Char"/>
    <w:basedOn w:val="DefaultParagraphFont"/>
    <w:link w:val="Heading3"/>
    <w:rsid w:val="00065A6B"/>
    <w:rPr>
      <w:rFonts w:ascii="Arial" w:eastAsiaTheme="majorEastAsia" w:hAnsi="Arial" w:cstheme="majorBidi"/>
      <w:b/>
      <w:sz w:val="24"/>
      <w:szCs w:val="24"/>
    </w:rPr>
  </w:style>
  <w:style w:type="character" w:customStyle="1" w:styleId="normaltextrun">
    <w:name w:val="normaltextrun"/>
    <w:basedOn w:val="DefaultParagraphFont"/>
    <w:rsid w:val="003F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94563">
      <w:bodyDiv w:val="1"/>
      <w:marLeft w:val="0"/>
      <w:marRight w:val="0"/>
      <w:marTop w:val="0"/>
      <w:marBottom w:val="0"/>
      <w:divBdr>
        <w:top w:val="none" w:sz="0" w:space="0" w:color="auto"/>
        <w:left w:val="none" w:sz="0" w:space="0" w:color="auto"/>
        <w:bottom w:val="none" w:sz="0" w:space="0" w:color="auto"/>
        <w:right w:val="none" w:sz="0" w:space="0" w:color="auto"/>
      </w:divBdr>
    </w:div>
    <w:div w:id="557471817">
      <w:bodyDiv w:val="1"/>
      <w:marLeft w:val="0"/>
      <w:marRight w:val="0"/>
      <w:marTop w:val="0"/>
      <w:marBottom w:val="0"/>
      <w:divBdr>
        <w:top w:val="none" w:sz="0" w:space="0" w:color="auto"/>
        <w:left w:val="none" w:sz="0" w:space="0" w:color="auto"/>
        <w:bottom w:val="none" w:sz="0" w:space="0" w:color="auto"/>
        <w:right w:val="none" w:sz="0" w:space="0" w:color="auto"/>
      </w:divBdr>
    </w:div>
    <w:div w:id="1365524097">
      <w:bodyDiv w:val="1"/>
      <w:marLeft w:val="0"/>
      <w:marRight w:val="0"/>
      <w:marTop w:val="0"/>
      <w:marBottom w:val="0"/>
      <w:divBdr>
        <w:top w:val="none" w:sz="0" w:space="0" w:color="auto"/>
        <w:left w:val="none" w:sz="0" w:space="0" w:color="auto"/>
        <w:bottom w:val="none" w:sz="0" w:space="0" w:color="auto"/>
        <w:right w:val="none" w:sz="0" w:space="0" w:color="auto"/>
      </w:divBdr>
    </w:div>
    <w:div w:id="19333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49A8-CA17-41E7-A63D-AD786D17B5BE}">
  <ds:schemaRefs>
    <ds:schemaRef ds:uri="http://schemas.microsoft.com/sharepoint/v3/contenttype/forms"/>
  </ds:schemaRefs>
</ds:datastoreItem>
</file>

<file path=customXml/itemProps2.xml><?xml version="1.0" encoding="utf-8"?>
<ds:datastoreItem xmlns:ds="http://schemas.openxmlformats.org/officeDocument/2006/customXml" ds:itemID="{88D3E989-5259-4C50-A3D3-44BB5F62BC9F}">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FFF359-F5FB-44FC-80CA-D40B4753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EA98D-1462-417A-8196-7ABA5F8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Physical Fitness Test 1st Emergency Readoption Finding of Emergency- Proposed Rulemaking and Regulations (CA Dept of Education)</vt:lpstr>
    </vt:vector>
  </TitlesOfParts>
  <Company>California Department of Education</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1st Emergency Readopt FOE - Proposed Rulemaking and Regulations (CA Dept of Education)</dc:title>
  <dc:subject>The Physical Fitness Test 1st Emergency Readoption Finding of Emergency for Caslifornia Code of Regulations, Title 5.</dc:subject>
  <dc:creator>Cynthia Olsen</dc:creator>
  <cp:keywords>PFT, 1st readoption, FOE</cp:keywords>
  <cp:lastModifiedBy>Hillary Wirick</cp:lastModifiedBy>
  <cp:revision>5</cp:revision>
  <cp:lastPrinted>2018-08-29T23:06:00Z</cp:lastPrinted>
  <dcterms:created xsi:type="dcterms:W3CDTF">2022-06-22T17:54:00Z</dcterms:created>
  <dcterms:modified xsi:type="dcterms:W3CDTF">2022-12-29T21:38:00Z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