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6BC39" w14:textId="64099B79" w:rsidR="00BB388A" w:rsidRPr="00A66BA6" w:rsidRDefault="00344E18" w:rsidP="00A66BA6">
      <w:pPr>
        <w:pStyle w:val="Heading1"/>
        <w:spacing w:before="1080"/>
        <w:jc w:val="center"/>
        <w:rPr>
          <w:rFonts w:ascii="Arial" w:hAnsi="Arial" w:cs="Arial"/>
        </w:rPr>
      </w:pPr>
      <w:bookmarkStart w:id="0" w:name="_61hc95tcr8hm"/>
      <w:bookmarkEnd w:id="0"/>
      <w:r w:rsidRPr="00A66BA6">
        <w:rPr>
          <w:rFonts w:ascii="Arial" w:hAnsi="Arial" w:cs="Arial"/>
        </w:rPr>
        <w:t xml:space="preserve">Maximizing Enrollment </w:t>
      </w:r>
      <w:r w:rsidR="58EBD9AD" w:rsidRPr="00A66BA6">
        <w:rPr>
          <w:rFonts w:ascii="Arial" w:hAnsi="Arial" w:cs="Arial"/>
        </w:rPr>
        <w:t xml:space="preserve">by </w:t>
      </w:r>
      <w:r w:rsidRPr="00A66BA6">
        <w:rPr>
          <w:rFonts w:ascii="Arial" w:hAnsi="Arial" w:cs="Arial"/>
        </w:rPr>
        <w:t>Using Adjustment Factors</w:t>
      </w:r>
    </w:p>
    <w:p w14:paraId="39AFBD96" w14:textId="33B062A4" w:rsidR="00BB388A" w:rsidRPr="00A66BA6" w:rsidRDefault="00344E18" w:rsidP="00A66BA6">
      <w:pPr>
        <w:pStyle w:val="Heading2"/>
        <w:rPr>
          <w:rFonts w:ascii="Arial" w:hAnsi="Arial" w:cs="Arial"/>
        </w:rPr>
      </w:pPr>
      <w:bookmarkStart w:id="1" w:name="_tix6qmyrq294"/>
      <w:bookmarkEnd w:id="1"/>
      <w:r w:rsidRPr="00A66BA6">
        <w:rPr>
          <w:rFonts w:ascii="Arial" w:hAnsi="Arial" w:cs="Arial"/>
        </w:rPr>
        <w:t xml:space="preserve">What are </w:t>
      </w:r>
      <w:r w:rsidR="389DB0FA" w:rsidRPr="00A66BA6">
        <w:rPr>
          <w:rFonts w:ascii="Arial" w:hAnsi="Arial" w:cs="Arial"/>
        </w:rPr>
        <w:t>A</w:t>
      </w:r>
      <w:r w:rsidRPr="00A66BA6">
        <w:rPr>
          <w:rFonts w:ascii="Arial" w:hAnsi="Arial" w:cs="Arial"/>
        </w:rPr>
        <w:t xml:space="preserve">djustment </w:t>
      </w:r>
      <w:r w:rsidR="73FD60FD" w:rsidRPr="00A66BA6">
        <w:rPr>
          <w:rFonts w:ascii="Arial" w:hAnsi="Arial" w:cs="Arial"/>
        </w:rPr>
        <w:t>F</w:t>
      </w:r>
      <w:r w:rsidRPr="00A66BA6">
        <w:rPr>
          <w:rFonts w:ascii="Arial" w:hAnsi="Arial" w:cs="Arial"/>
        </w:rPr>
        <w:t>actors?</w:t>
      </w:r>
    </w:p>
    <w:p w14:paraId="62315F70" w14:textId="5BB84D15" w:rsidR="00344E18" w:rsidRPr="00A66BA6" w:rsidRDefault="00344E18" w:rsidP="00344E18">
      <w:pPr>
        <w:rPr>
          <w:rFonts w:ascii="Arial" w:hAnsi="Arial" w:cs="Arial"/>
          <w:sz w:val="24"/>
          <w:szCs w:val="24"/>
        </w:rPr>
      </w:pPr>
      <w:r w:rsidRPr="00A66BA6">
        <w:rPr>
          <w:rFonts w:ascii="Arial" w:hAnsi="Arial" w:cs="Arial"/>
          <w:sz w:val="24"/>
          <w:szCs w:val="24"/>
        </w:rPr>
        <w:t xml:space="preserve">Adjustment factors are multipliers used by the California Department of Education to reflect the varying costs of care for different categories of children served in California State Preschool Programs. These factors </w:t>
      </w:r>
      <w:r w:rsidRPr="00A66BA6">
        <w:rPr>
          <w:rFonts w:ascii="Arial" w:hAnsi="Arial" w:cs="Arial"/>
          <w:b/>
          <w:bCs/>
          <w:sz w:val="24"/>
          <w:szCs w:val="24"/>
        </w:rPr>
        <w:t xml:space="preserve">do not change the maximum reimbursable amount (MRA) </w:t>
      </w:r>
      <w:r w:rsidRPr="00A66BA6">
        <w:rPr>
          <w:rFonts w:ascii="Arial" w:hAnsi="Arial" w:cs="Arial"/>
          <w:sz w:val="24"/>
          <w:szCs w:val="24"/>
        </w:rPr>
        <w:t>of the contract but help contractors earn their contract. Adjustment factors help ensure equitable reimbursement for varying levels of care and support.</w:t>
      </w:r>
    </w:p>
    <w:p w14:paraId="2C3FF8E9" w14:textId="7B4A4F27" w:rsidR="00344E18" w:rsidRPr="00A66BA6" w:rsidRDefault="00344E18" w:rsidP="00A66BA6">
      <w:pPr>
        <w:pStyle w:val="Heading2"/>
        <w:rPr>
          <w:rFonts w:ascii="Arial" w:hAnsi="Arial" w:cs="Arial"/>
        </w:rPr>
      </w:pPr>
      <w:r w:rsidRPr="00A66BA6">
        <w:rPr>
          <w:rFonts w:ascii="Arial" w:hAnsi="Arial" w:cs="Arial"/>
        </w:rPr>
        <w:t>Adjustment Factor Categories</w:t>
      </w:r>
    </w:p>
    <w:p w14:paraId="085F1086" w14:textId="48721145" w:rsidR="00344E18" w:rsidRPr="00A66BA6" w:rsidRDefault="00344E18" w:rsidP="00344E18">
      <w:pPr>
        <w:numPr>
          <w:ilvl w:val="0"/>
          <w:numId w:val="12"/>
        </w:numPr>
        <w:rPr>
          <w:rFonts w:ascii="Arial" w:hAnsi="Arial" w:cs="Arial"/>
          <w:sz w:val="24"/>
          <w:szCs w:val="24"/>
        </w:rPr>
      </w:pPr>
      <w:r w:rsidRPr="00A66BA6">
        <w:rPr>
          <w:rFonts w:ascii="Arial" w:hAnsi="Arial" w:cs="Arial"/>
          <w:sz w:val="24"/>
          <w:szCs w:val="24"/>
        </w:rPr>
        <w:t>Time Based (i.e.</w:t>
      </w:r>
      <w:r w:rsidR="00A66BA6" w:rsidRPr="00A66BA6">
        <w:rPr>
          <w:rFonts w:ascii="Arial" w:hAnsi="Arial" w:cs="Arial"/>
          <w:sz w:val="24"/>
          <w:szCs w:val="24"/>
        </w:rPr>
        <w:t>,</w:t>
      </w:r>
      <w:r w:rsidRPr="00A66BA6">
        <w:rPr>
          <w:rFonts w:ascii="Arial" w:hAnsi="Arial" w:cs="Arial"/>
          <w:sz w:val="24"/>
          <w:szCs w:val="24"/>
        </w:rPr>
        <w:t xml:space="preserve"> part time, full time plus, etc.)</w:t>
      </w:r>
    </w:p>
    <w:p w14:paraId="4209AB1D" w14:textId="5B0D5A75" w:rsidR="00344E18" w:rsidRPr="00A66BA6" w:rsidRDefault="005B0B57" w:rsidP="00344E18">
      <w:pPr>
        <w:numPr>
          <w:ilvl w:val="0"/>
          <w:numId w:val="13"/>
        </w:numPr>
        <w:rPr>
          <w:rFonts w:ascii="Arial" w:hAnsi="Arial" w:cs="Arial"/>
          <w:sz w:val="24"/>
          <w:szCs w:val="24"/>
        </w:rPr>
      </w:pPr>
      <w:r w:rsidRPr="00A66BA6">
        <w:rPr>
          <w:rFonts w:ascii="Arial" w:hAnsi="Arial" w:cs="Arial"/>
          <w:sz w:val="24"/>
          <w:szCs w:val="24"/>
        </w:rPr>
        <w:t>Special Criteria</w:t>
      </w:r>
      <w:r w:rsidR="00344E18" w:rsidRPr="00A66BA6">
        <w:rPr>
          <w:rFonts w:ascii="Arial" w:hAnsi="Arial" w:cs="Arial"/>
          <w:sz w:val="24"/>
          <w:szCs w:val="24"/>
        </w:rPr>
        <w:t xml:space="preserve"> (i.e.</w:t>
      </w:r>
      <w:r w:rsidR="00A66BA6" w:rsidRPr="00A66BA6">
        <w:rPr>
          <w:rFonts w:ascii="Arial" w:hAnsi="Arial" w:cs="Arial"/>
          <w:sz w:val="24"/>
          <w:szCs w:val="24"/>
        </w:rPr>
        <w:t>,</w:t>
      </w:r>
      <w:r w:rsidR="00344E18" w:rsidRPr="00A66BA6">
        <w:rPr>
          <w:rFonts w:ascii="Arial" w:hAnsi="Arial" w:cs="Arial"/>
          <w:sz w:val="24"/>
          <w:szCs w:val="24"/>
        </w:rPr>
        <w:t xml:space="preserve"> </w:t>
      </w:r>
      <w:r w:rsidRPr="00A66BA6">
        <w:rPr>
          <w:rFonts w:ascii="Arial" w:hAnsi="Arial" w:cs="Arial"/>
          <w:sz w:val="24"/>
          <w:szCs w:val="24"/>
        </w:rPr>
        <w:t>Two- and three-year-old</w:t>
      </w:r>
      <w:r w:rsidR="569A9E02" w:rsidRPr="00A66BA6">
        <w:rPr>
          <w:rFonts w:ascii="Arial" w:hAnsi="Arial" w:cs="Arial"/>
          <w:sz w:val="24"/>
          <w:szCs w:val="24"/>
        </w:rPr>
        <w:t xml:space="preserve"> children</w:t>
      </w:r>
      <w:r w:rsidR="00344E18" w:rsidRPr="00A66BA6">
        <w:rPr>
          <w:rFonts w:ascii="Arial" w:hAnsi="Arial" w:cs="Arial"/>
          <w:sz w:val="24"/>
          <w:szCs w:val="24"/>
        </w:rPr>
        <w:t>,</w:t>
      </w:r>
      <w:r w:rsidRPr="00A66BA6">
        <w:rPr>
          <w:rFonts w:ascii="Arial" w:hAnsi="Arial" w:cs="Arial"/>
          <w:sz w:val="24"/>
          <w:szCs w:val="24"/>
        </w:rPr>
        <w:t xml:space="preserve"> Exceptional Needs,</w:t>
      </w:r>
      <w:r w:rsidR="00344E18" w:rsidRPr="00A66BA6">
        <w:rPr>
          <w:rFonts w:ascii="Arial" w:hAnsi="Arial" w:cs="Arial"/>
          <w:sz w:val="24"/>
          <w:szCs w:val="24"/>
        </w:rPr>
        <w:t xml:space="preserve"> Severe Disabilities, Dual Language Learner)</w:t>
      </w:r>
    </w:p>
    <w:p w14:paraId="6F81AED2" w14:textId="2A5424E7" w:rsidR="00344E18" w:rsidRPr="00A66BA6" w:rsidRDefault="00344E18" w:rsidP="00344E18">
      <w:pPr>
        <w:numPr>
          <w:ilvl w:val="0"/>
          <w:numId w:val="14"/>
        </w:numPr>
        <w:rPr>
          <w:rFonts w:ascii="Arial" w:hAnsi="Arial" w:cs="Arial"/>
          <w:sz w:val="24"/>
          <w:szCs w:val="24"/>
        </w:rPr>
      </w:pPr>
      <w:r w:rsidRPr="00A66BA6">
        <w:rPr>
          <w:rFonts w:ascii="Arial" w:hAnsi="Arial" w:cs="Arial"/>
          <w:sz w:val="24"/>
          <w:szCs w:val="24"/>
        </w:rPr>
        <w:t xml:space="preserve">Classroom Category (Mental Health Consultative Services </w:t>
      </w:r>
      <w:r w:rsidR="496FE3F4" w:rsidRPr="00A66BA6">
        <w:rPr>
          <w:rFonts w:ascii="Arial" w:hAnsi="Arial" w:cs="Arial"/>
          <w:sz w:val="24"/>
          <w:szCs w:val="24"/>
        </w:rPr>
        <w:t>[</w:t>
      </w:r>
      <w:r w:rsidRPr="00A66BA6">
        <w:rPr>
          <w:rFonts w:ascii="Arial" w:hAnsi="Arial" w:cs="Arial"/>
          <w:sz w:val="24"/>
          <w:szCs w:val="24"/>
        </w:rPr>
        <w:t>MHCS</w:t>
      </w:r>
      <w:r w:rsidR="2D9505EE" w:rsidRPr="00A66BA6">
        <w:rPr>
          <w:rFonts w:ascii="Arial" w:hAnsi="Arial" w:cs="Arial"/>
          <w:sz w:val="24"/>
          <w:szCs w:val="24"/>
        </w:rPr>
        <w:t>]</w:t>
      </w:r>
      <w:r w:rsidRPr="00A66BA6">
        <w:rPr>
          <w:rFonts w:ascii="Arial" w:hAnsi="Arial" w:cs="Arial"/>
          <w:sz w:val="24"/>
          <w:szCs w:val="24"/>
        </w:rPr>
        <w:t>)</w:t>
      </w:r>
    </w:p>
    <w:p w14:paraId="657F2F68" w14:textId="33E611EA" w:rsidR="5B29B6A6" w:rsidRPr="00A66BA6" w:rsidRDefault="00344E18" w:rsidP="00A66BA6">
      <w:pPr>
        <w:pStyle w:val="Heading2"/>
        <w:rPr>
          <w:rFonts w:ascii="Arial" w:hAnsi="Arial" w:cs="Arial"/>
        </w:rPr>
      </w:pPr>
      <w:bookmarkStart w:id="2" w:name="_Hlk214953330"/>
      <w:r w:rsidRPr="00A66BA6">
        <w:rPr>
          <w:rFonts w:ascii="Arial" w:hAnsi="Arial" w:cs="Arial"/>
        </w:rPr>
        <w:t>Why the Child Specific Category Matters</w:t>
      </w:r>
    </w:p>
    <w:p w14:paraId="7B962640" w14:textId="7918890E" w:rsidR="00344E18" w:rsidRPr="00A66BA6" w:rsidRDefault="00344E18" w:rsidP="00A66BA6">
      <w:pPr>
        <w:rPr>
          <w:rFonts w:ascii="Arial" w:hAnsi="Arial" w:cs="Arial"/>
          <w:sz w:val="24"/>
          <w:szCs w:val="24"/>
        </w:rPr>
      </w:pPr>
      <w:bookmarkStart w:id="3" w:name="_ry9fkrhwdki"/>
      <w:bookmarkEnd w:id="2"/>
      <w:bookmarkEnd w:id="3"/>
      <w:r w:rsidRPr="00A66BA6">
        <w:rPr>
          <w:rFonts w:ascii="Arial" w:hAnsi="Arial" w:cs="Arial"/>
          <w:sz w:val="24"/>
          <w:szCs w:val="24"/>
        </w:rPr>
        <w:t xml:space="preserve">Each category has a different adjustment factor (e.g., 2.4 for full-time exceptional needs, 0.6193 for part-time four-year-olds) that affects </w:t>
      </w:r>
      <w:r w:rsidR="005B0B57" w:rsidRPr="00A66BA6">
        <w:rPr>
          <w:rFonts w:ascii="Arial" w:hAnsi="Arial" w:cs="Arial"/>
          <w:sz w:val="24"/>
          <w:szCs w:val="24"/>
        </w:rPr>
        <w:t xml:space="preserve">the service earnings for </w:t>
      </w:r>
      <w:r w:rsidRPr="00A66BA6">
        <w:rPr>
          <w:rFonts w:ascii="Arial" w:hAnsi="Arial" w:cs="Arial"/>
          <w:sz w:val="24"/>
          <w:szCs w:val="24"/>
        </w:rPr>
        <w:t>that child. Contractors must report each child under only one specific category</w:t>
      </w:r>
      <w:r w:rsidR="005B0B57" w:rsidRPr="00A66BA6">
        <w:rPr>
          <w:rFonts w:ascii="Arial" w:hAnsi="Arial" w:cs="Arial"/>
          <w:sz w:val="24"/>
          <w:szCs w:val="24"/>
        </w:rPr>
        <w:t>. When a child can be certified for more than one adjustment factor, contractors should choose the highest adjustment factor to maximize the service earnings for that child</w:t>
      </w:r>
      <w:r w:rsidRPr="00A66BA6">
        <w:rPr>
          <w:rFonts w:ascii="Arial" w:hAnsi="Arial" w:cs="Arial"/>
          <w:sz w:val="24"/>
          <w:szCs w:val="24"/>
        </w:rPr>
        <w:t>.</w:t>
      </w:r>
    </w:p>
    <w:p w14:paraId="2492D58D" w14:textId="29CCD10E" w:rsidR="00344E18" w:rsidRPr="00A66BA6" w:rsidRDefault="00344E18" w:rsidP="00A66BA6">
      <w:pPr>
        <w:pStyle w:val="Heading2"/>
        <w:rPr>
          <w:rFonts w:ascii="Arial" w:hAnsi="Arial" w:cs="Arial"/>
        </w:rPr>
      </w:pPr>
      <w:r w:rsidRPr="00A66BA6">
        <w:rPr>
          <w:rFonts w:ascii="Arial" w:hAnsi="Arial" w:cs="Arial"/>
        </w:rPr>
        <w:t>How Adjustment Factors Work</w:t>
      </w:r>
    </w:p>
    <w:p w14:paraId="6914F084" w14:textId="089E5606" w:rsidR="00344E18" w:rsidRPr="00A66BA6" w:rsidRDefault="00344E18" w:rsidP="00344E18">
      <w:pPr>
        <w:numPr>
          <w:ilvl w:val="0"/>
          <w:numId w:val="10"/>
        </w:numPr>
        <w:rPr>
          <w:rFonts w:ascii="Arial" w:hAnsi="Arial" w:cs="Arial"/>
          <w:sz w:val="24"/>
          <w:szCs w:val="24"/>
        </w:rPr>
      </w:pPr>
      <w:r w:rsidRPr="00A66BA6">
        <w:rPr>
          <w:rFonts w:ascii="Arial" w:hAnsi="Arial" w:cs="Arial"/>
          <w:sz w:val="24"/>
          <w:szCs w:val="24"/>
        </w:rPr>
        <w:t>Each day of enrollment is multiplied by an adjustment factor based on the child-specific category. </w:t>
      </w:r>
      <w:r w:rsidR="005B0B57" w:rsidRPr="00A66BA6">
        <w:rPr>
          <w:rFonts w:ascii="Arial" w:hAnsi="Arial" w:cs="Arial"/>
          <w:sz w:val="24"/>
          <w:szCs w:val="24"/>
        </w:rPr>
        <w:t>The result is called adjusted days of enrollment.</w:t>
      </w:r>
    </w:p>
    <w:p w14:paraId="3A74821D" w14:textId="3D4EE7CE" w:rsidR="00344E18" w:rsidRPr="00A66BA6" w:rsidRDefault="00344E18" w:rsidP="4AA31554">
      <w:pPr>
        <w:numPr>
          <w:ilvl w:val="0"/>
          <w:numId w:val="11"/>
        </w:numPr>
        <w:rPr>
          <w:rFonts w:ascii="Arial" w:hAnsi="Arial" w:cs="Arial"/>
          <w:sz w:val="24"/>
          <w:szCs w:val="24"/>
        </w:rPr>
      </w:pPr>
      <w:r w:rsidRPr="00A66BA6">
        <w:rPr>
          <w:rFonts w:ascii="Arial" w:hAnsi="Arial" w:cs="Arial"/>
          <w:sz w:val="24"/>
          <w:szCs w:val="24"/>
        </w:rPr>
        <w:t xml:space="preserve">The </w:t>
      </w:r>
      <w:r w:rsidR="005B0B57" w:rsidRPr="00A66BA6">
        <w:rPr>
          <w:rFonts w:ascii="Arial" w:hAnsi="Arial" w:cs="Arial"/>
          <w:sz w:val="24"/>
          <w:szCs w:val="24"/>
        </w:rPr>
        <w:t>adjusted days of enrollment are multiplied by days of operation and multiplied by the service county rate to calculate the service earnings</w:t>
      </w:r>
      <w:r w:rsidRPr="00A66BA6">
        <w:rPr>
          <w:rFonts w:ascii="Arial" w:hAnsi="Arial" w:cs="Arial"/>
          <w:sz w:val="24"/>
          <w:szCs w:val="24"/>
        </w:rPr>
        <w:t>.</w:t>
      </w:r>
    </w:p>
    <w:p w14:paraId="4C71AB77" w14:textId="0BAB95A9" w:rsidR="00344E18" w:rsidRPr="00A66BA6" w:rsidRDefault="00344E18" w:rsidP="00A66BA6">
      <w:pPr>
        <w:pStyle w:val="Heading3"/>
        <w:rPr>
          <w:rFonts w:ascii="Arial" w:hAnsi="Arial" w:cs="Arial"/>
        </w:rPr>
      </w:pPr>
      <w:r w:rsidRPr="00A66BA6">
        <w:rPr>
          <w:rFonts w:ascii="Arial" w:hAnsi="Arial" w:cs="Arial"/>
        </w:rPr>
        <w:t>Example:</w:t>
      </w:r>
    </w:p>
    <w:p w14:paraId="3FCBC7C7" w14:textId="1E138DD0" w:rsidR="00344E18" w:rsidRPr="00A66BA6" w:rsidRDefault="00344E18" w:rsidP="00A66BA6">
      <w:pPr>
        <w:pStyle w:val="ListParagraph"/>
        <w:numPr>
          <w:ilvl w:val="0"/>
          <w:numId w:val="18"/>
        </w:numPr>
        <w:rPr>
          <w:rFonts w:ascii="Arial" w:hAnsi="Arial" w:cs="Arial"/>
          <w:sz w:val="24"/>
          <w:szCs w:val="24"/>
        </w:rPr>
      </w:pPr>
      <w:r w:rsidRPr="00A66BA6">
        <w:rPr>
          <w:rFonts w:ascii="Arial" w:hAnsi="Arial" w:cs="Arial"/>
          <w:sz w:val="24"/>
          <w:szCs w:val="24"/>
        </w:rPr>
        <w:t>MRA: $5</w:t>
      </w:r>
      <w:r w:rsidR="005B0B57" w:rsidRPr="00A66BA6">
        <w:rPr>
          <w:rFonts w:ascii="Arial" w:hAnsi="Arial" w:cs="Arial"/>
          <w:sz w:val="24"/>
          <w:szCs w:val="24"/>
        </w:rPr>
        <w:t>5,000</w:t>
      </w:r>
    </w:p>
    <w:p w14:paraId="07BBE514" w14:textId="51D183A2" w:rsidR="00344E18" w:rsidRPr="00A66BA6" w:rsidRDefault="00344E18" w:rsidP="00A66BA6">
      <w:pPr>
        <w:pStyle w:val="ListParagraph"/>
        <w:numPr>
          <w:ilvl w:val="0"/>
          <w:numId w:val="18"/>
        </w:numPr>
        <w:rPr>
          <w:rFonts w:ascii="Arial" w:hAnsi="Arial" w:cs="Arial"/>
          <w:sz w:val="24"/>
          <w:szCs w:val="24"/>
        </w:rPr>
      </w:pPr>
      <w:r w:rsidRPr="00A66BA6">
        <w:rPr>
          <w:rFonts w:ascii="Arial" w:hAnsi="Arial" w:cs="Arial"/>
          <w:sz w:val="24"/>
          <w:szCs w:val="24"/>
        </w:rPr>
        <w:t>County Rate: $55</w:t>
      </w:r>
    </w:p>
    <w:p w14:paraId="69F200EB" w14:textId="77AECB03" w:rsidR="00344E18" w:rsidRPr="00A66BA6" w:rsidRDefault="00344E18" w:rsidP="00A66BA6">
      <w:pPr>
        <w:pStyle w:val="ListParagraph"/>
        <w:numPr>
          <w:ilvl w:val="0"/>
          <w:numId w:val="18"/>
        </w:numPr>
        <w:rPr>
          <w:rFonts w:ascii="Arial" w:hAnsi="Arial" w:cs="Arial"/>
          <w:sz w:val="24"/>
          <w:szCs w:val="24"/>
        </w:rPr>
      </w:pPr>
      <w:r w:rsidRPr="00A66BA6">
        <w:rPr>
          <w:rFonts w:ascii="Arial" w:hAnsi="Arial" w:cs="Arial"/>
          <w:sz w:val="24"/>
          <w:szCs w:val="24"/>
        </w:rPr>
        <w:t>M</w:t>
      </w:r>
      <w:r w:rsidR="347610A3" w:rsidRPr="00A66BA6">
        <w:rPr>
          <w:rFonts w:ascii="Arial" w:hAnsi="Arial" w:cs="Arial"/>
          <w:sz w:val="24"/>
          <w:szCs w:val="24"/>
        </w:rPr>
        <w:t>inimum Day of Operation</w:t>
      </w:r>
      <w:r w:rsidRPr="00A66BA6">
        <w:rPr>
          <w:rFonts w:ascii="Arial" w:hAnsi="Arial" w:cs="Arial"/>
          <w:sz w:val="24"/>
          <w:szCs w:val="24"/>
        </w:rPr>
        <w:t xml:space="preserve">: </w:t>
      </w:r>
      <w:r w:rsidR="005B0B57" w:rsidRPr="00A66BA6">
        <w:rPr>
          <w:rFonts w:ascii="Arial" w:hAnsi="Arial" w:cs="Arial"/>
          <w:sz w:val="24"/>
          <w:szCs w:val="24"/>
        </w:rPr>
        <w:t>100</w:t>
      </w:r>
    </w:p>
    <w:p w14:paraId="66F14224" w14:textId="1E36047B" w:rsidR="005B0B57" w:rsidRPr="00A66BA6" w:rsidRDefault="005B0B57" w:rsidP="00A66BA6">
      <w:pPr>
        <w:pStyle w:val="ListParagraph"/>
        <w:numPr>
          <w:ilvl w:val="0"/>
          <w:numId w:val="18"/>
        </w:numPr>
        <w:rPr>
          <w:rFonts w:ascii="Arial" w:hAnsi="Arial" w:cs="Arial"/>
          <w:sz w:val="24"/>
          <w:szCs w:val="24"/>
        </w:rPr>
      </w:pPr>
      <w:r w:rsidRPr="00A66BA6">
        <w:rPr>
          <w:rFonts w:ascii="Arial" w:hAnsi="Arial" w:cs="Arial"/>
          <w:sz w:val="24"/>
          <w:szCs w:val="24"/>
        </w:rPr>
        <w:t>Number of Children: 10</w:t>
      </w:r>
    </w:p>
    <w:p w14:paraId="67B4C429" w14:textId="6DB3D07D" w:rsidR="005B0B57" w:rsidRPr="00A66BA6" w:rsidRDefault="005B0B57" w:rsidP="00344E18">
      <w:pPr>
        <w:rPr>
          <w:rFonts w:ascii="Arial" w:hAnsi="Arial" w:cs="Arial"/>
          <w:sz w:val="24"/>
          <w:szCs w:val="24"/>
        </w:rPr>
      </w:pPr>
      <w:r w:rsidRPr="00A66BA6">
        <w:rPr>
          <w:rFonts w:ascii="Arial" w:hAnsi="Arial" w:cs="Arial"/>
          <w:sz w:val="24"/>
          <w:szCs w:val="24"/>
        </w:rPr>
        <w:t>To determine potential service earnings, use the following formula:</w:t>
      </w:r>
    </w:p>
    <w:p w14:paraId="25DFA0F9" w14:textId="33C6E228" w:rsidR="005B0B57" w:rsidRPr="00A66BA6" w:rsidRDefault="005B0B57" w:rsidP="00344E18">
      <w:pPr>
        <w:rPr>
          <w:rFonts w:ascii="Arial" w:hAnsi="Arial" w:cs="Arial"/>
          <w:b/>
          <w:bCs/>
          <w:sz w:val="24"/>
          <w:szCs w:val="24"/>
        </w:rPr>
      </w:pPr>
      <w:r w:rsidRPr="00A66BA6">
        <w:rPr>
          <w:rFonts w:ascii="Arial" w:hAnsi="Arial" w:cs="Arial"/>
          <w:b/>
          <w:bCs/>
          <w:sz w:val="24"/>
          <w:szCs w:val="24"/>
        </w:rPr>
        <w:lastRenderedPageBreak/>
        <w:t xml:space="preserve">Number of children x </w:t>
      </w:r>
      <w:r w:rsidR="00A66BA6" w:rsidRPr="00A66BA6">
        <w:rPr>
          <w:rFonts w:ascii="Arial" w:hAnsi="Arial" w:cs="Arial"/>
          <w:b/>
          <w:bCs/>
          <w:sz w:val="24"/>
          <w:szCs w:val="24"/>
        </w:rPr>
        <w:t>minimum days of operation (</w:t>
      </w:r>
      <w:r w:rsidRPr="00A66BA6">
        <w:rPr>
          <w:rFonts w:ascii="Arial" w:hAnsi="Arial" w:cs="Arial"/>
          <w:b/>
          <w:bCs/>
          <w:sz w:val="24"/>
          <w:szCs w:val="24"/>
        </w:rPr>
        <w:t>MDO</w:t>
      </w:r>
      <w:r w:rsidR="00A66BA6" w:rsidRPr="00A66BA6">
        <w:rPr>
          <w:rFonts w:ascii="Arial" w:hAnsi="Arial" w:cs="Arial"/>
          <w:b/>
          <w:bCs/>
          <w:sz w:val="24"/>
          <w:szCs w:val="24"/>
        </w:rPr>
        <w:t>)</w:t>
      </w:r>
      <w:r w:rsidRPr="00A66BA6">
        <w:rPr>
          <w:rFonts w:ascii="Arial" w:hAnsi="Arial" w:cs="Arial"/>
          <w:b/>
          <w:bCs/>
          <w:sz w:val="24"/>
          <w:szCs w:val="24"/>
        </w:rPr>
        <w:t xml:space="preserve"> x daily rate x adjustment factor </w:t>
      </w:r>
      <w:r w:rsidR="00950043" w:rsidRPr="00A66BA6">
        <w:rPr>
          <w:rFonts w:ascii="Arial" w:hAnsi="Arial" w:cs="Arial"/>
          <w:b/>
          <w:bCs/>
          <w:sz w:val="24"/>
          <w:szCs w:val="24"/>
        </w:rPr>
        <w:t>=</w:t>
      </w:r>
      <w:r w:rsidRPr="00A66BA6">
        <w:rPr>
          <w:rFonts w:ascii="Arial" w:hAnsi="Arial" w:cs="Arial"/>
          <w:b/>
          <w:bCs/>
          <w:sz w:val="24"/>
          <w:szCs w:val="24"/>
        </w:rPr>
        <w:t xml:space="preserve"> service earnings</w:t>
      </w:r>
      <w:r w:rsidR="00A66BA6" w:rsidRPr="00A66BA6">
        <w:rPr>
          <w:rFonts w:ascii="Arial" w:hAnsi="Arial" w:cs="Arial"/>
          <w:b/>
          <w:bCs/>
          <w:sz w:val="24"/>
          <w:szCs w:val="24"/>
        </w:rPr>
        <w:t xml:space="preserve"> (Number of children multiplied by the MDO multiplied by the daily rate multiplied by the adjustment factor equals the service earnings)</w:t>
      </w:r>
    </w:p>
    <w:p w14:paraId="0CFBAB83" w14:textId="33227113" w:rsidR="00950043" w:rsidRPr="00A66BA6" w:rsidRDefault="00950043" w:rsidP="00344E18">
      <w:pPr>
        <w:rPr>
          <w:rFonts w:ascii="Arial" w:hAnsi="Arial" w:cs="Arial"/>
          <w:sz w:val="24"/>
          <w:szCs w:val="24"/>
        </w:rPr>
      </w:pPr>
      <w:r w:rsidRPr="00A66BA6">
        <w:rPr>
          <w:rFonts w:ascii="Arial" w:hAnsi="Arial" w:cs="Arial"/>
          <w:sz w:val="24"/>
          <w:szCs w:val="24"/>
        </w:rPr>
        <w:t>If a contractor serves 10 four-year-old full-time certified children with an adjustment factor of 1.0, the contractor will be able to earn their MRA.</w:t>
      </w:r>
    </w:p>
    <w:p w14:paraId="78B6E163" w14:textId="3F9E930E" w:rsidR="00950043" w:rsidRPr="00A66BA6" w:rsidRDefault="00950043" w:rsidP="00344E18">
      <w:pPr>
        <w:rPr>
          <w:rFonts w:ascii="Arial" w:hAnsi="Arial" w:cs="Arial"/>
          <w:b/>
          <w:bCs/>
          <w:sz w:val="24"/>
          <w:szCs w:val="24"/>
        </w:rPr>
      </w:pPr>
      <w:r w:rsidRPr="00A66BA6">
        <w:rPr>
          <w:rFonts w:ascii="Arial" w:hAnsi="Arial" w:cs="Arial"/>
          <w:b/>
          <w:bCs/>
          <w:sz w:val="24"/>
          <w:szCs w:val="24"/>
        </w:rPr>
        <w:t>10 x 100 x $55 x 1 = $55,000</w:t>
      </w:r>
    </w:p>
    <w:p w14:paraId="35E84245" w14:textId="3C4D3275" w:rsidR="00950043" w:rsidRPr="00A66BA6" w:rsidRDefault="00950043" w:rsidP="1B75E3C7">
      <w:pPr>
        <w:rPr>
          <w:rFonts w:ascii="Arial" w:hAnsi="Arial" w:cs="Arial"/>
          <w:sz w:val="24"/>
          <w:szCs w:val="24"/>
        </w:rPr>
      </w:pPr>
      <w:r w:rsidRPr="00A66BA6">
        <w:rPr>
          <w:rFonts w:ascii="Arial" w:hAnsi="Arial" w:cs="Arial"/>
          <w:sz w:val="24"/>
          <w:szCs w:val="24"/>
        </w:rPr>
        <w:t xml:space="preserve">If a contractor is serving 10 four-year-old </w:t>
      </w:r>
      <w:r w:rsidR="52297559" w:rsidRPr="00A66BA6">
        <w:rPr>
          <w:rFonts w:ascii="Arial" w:hAnsi="Arial" w:cs="Arial"/>
          <w:sz w:val="24"/>
          <w:szCs w:val="24"/>
        </w:rPr>
        <w:t xml:space="preserve">part-time </w:t>
      </w:r>
      <w:r w:rsidRPr="00A66BA6">
        <w:rPr>
          <w:rFonts w:ascii="Arial" w:hAnsi="Arial" w:cs="Arial"/>
          <w:sz w:val="24"/>
          <w:szCs w:val="24"/>
        </w:rPr>
        <w:t>certified children, the contractor would not be able to earn their full MRA. The contractor would need to enroll additional children to fully earn their MRA.</w:t>
      </w:r>
    </w:p>
    <w:p w14:paraId="02B3BB08" w14:textId="39B2EECB" w:rsidR="00344E18" w:rsidRPr="00A66BA6" w:rsidRDefault="00950043" w:rsidP="00344E18">
      <w:pPr>
        <w:rPr>
          <w:rFonts w:ascii="Arial" w:hAnsi="Arial" w:cs="Arial"/>
          <w:sz w:val="24"/>
          <w:szCs w:val="24"/>
        </w:rPr>
      </w:pPr>
      <w:r w:rsidRPr="00A66BA6">
        <w:rPr>
          <w:rFonts w:ascii="Arial" w:hAnsi="Arial" w:cs="Arial"/>
          <w:b/>
          <w:bCs/>
          <w:sz w:val="24"/>
          <w:szCs w:val="24"/>
        </w:rPr>
        <w:t>10 x 100 x $55 x 0.6193 = $34,062</w:t>
      </w:r>
    </w:p>
    <w:p w14:paraId="0455594D" w14:textId="2F96EB51" w:rsidR="00344E18" w:rsidRPr="00A66BA6" w:rsidRDefault="00344E18" w:rsidP="00A66BA6">
      <w:pPr>
        <w:pStyle w:val="Heading2"/>
        <w:rPr>
          <w:rFonts w:ascii="Arial" w:hAnsi="Arial" w:cs="Arial"/>
        </w:rPr>
      </w:pPr>
      <w:bookmarkStart w:id="4" w:name="_Hlk214953628"/>
      <w:r w:rsidRPr="00A66BA6">
        <w:rPr>
          <w:rFonts w:ascii="Arial" w:hAnsi="Arial" w:cs="Arial"/>
        </w:rPr>
        <w:t>Reporting Guidelines</w:t>
      </w:r>
    </w:p>
    <w:bookmarkEnd w:id="4"/>
    <w:p w14:paraId="4C9D7914" w14:textId="19350F24" w:rsidR="00344E18" w:rsidRPr="00A66BA6" w:rsidRDefault="00950043" w:rsidP="00344E18">
      <w:pPr>
        <w:numPr>
          <w:ilvl w:val="0"/>
          <w:numId w:val="15"/>
        </w:numPr>
        <w:rPr>
          <w:rFonts w:ascii="Arial" w:hAnsi="Arial" w:cs="Arial"/>
          <w:sz w:val="24"/>
          <w:szCs w:val="24"/>
        </w:rPr>
      </w:pPr>
      <w:r w:rsidRPr="00A66BA6">
        <w:rPr>
          <w:rFonts w:ascii="Arial" w:hAnsi="Arial" w:cs="Arial"/>
          <w:sz w:val="24"/>
          <w:szCs w:val="24"/>
        </w:rPr>
        <w:t xml:space="preserve">Report each child under only one adjustment factor in the enrollment section on the Enrollment, Attendance, and Fiscal Report in </w:t>
      </w:r>
      <w:r w:rsidR="532DE905" w:rsidRPr="00A66BA6">
        <w:rPr>
          <w:rFonts w:ascii="Arial" w:hAnsi="Arial" w:cs="Arial"/>
          <w:sz w:val="24"/>
          <w:szCs w:val="24"/>
        </w:rPr>
        <w:t>the California Preschool Accounting Reporting Information System</w:t>
      </w:r>
      <w:r w:rsidR="00CA20DE">
        <w:rPr>
          <w:rFonts w:ascii="Arial" w:hAnsi="Arial" w:cs="Arial"/>
          <w:sz w:val="24"/>
          <w:szCs w:val="24"/>
        </w:rPr>
        <w:t xml:space="preserve"> (CPARIS)</w:t>
      </w:r>
      <w:r w:rsidR="00344E18" w:rsidRPr="00A66BA6">
        <w:rPr>
          <w:rFonts w:ascii="Arial" w:hAnsi="Arial" w:cs="Arial"/>
          <w:sz w:val="24"/>
          <w:szCs w:val="24"/>
        </w:rPr>
        <w:t>.</w:t>
      </w:r>
    </w:p>
    <w:p w14:paraId="59A75AA3" w14:textId="7A5590BD" w:rsidR="00344E18" w:rsidRPr="00A66BA6" w:rsidRDefault="00344E18" w:rsidP="00344E18">
      <w:pPr>
        <w:numPr>
          <w:ilvl w:val="0"/>
          <w:numId w:val="16"/>
        </w:numPr>
        <w:rPr>
          <w:rFonts w:ascii="Arial" w:hAnsi="Arial" w:cs="Arial"/>
          <w:sz w:val="24"/>
          <w:szCs w:val="24"/>
        </w:rPr>
      </w:pPr>
      <w:r w:rsidRPr="00A66BA6">
        <w:rPr>
          <w:rFonts w:ascii="Arial" w:hAnsi="Arial" w:cs="Arial"/>
          <w:sz w:val="24"/>
          <w:szCs w:val="24"/>
        </w:rPr>
        <w:t>The</w:t>
      </w:r>
      <w:r w:rsidRPr="00A66BA6">
        <w:rPr>
          <w:rFonts w:ascii="Arial" w:hAnsi="Arial" w:cs="Arial"/>
          <w:b/>
          <w:bCs/>
          <w:sz w:val="24"/>
          <w:szCs w:val="24"/>
        </w:rPr>
        <w:t xml:space="preserve"> MHCS </w:t>
      </w:r>
      <w:r w:rsidR="00950043" w:rsidRPr="00A66BA6">
        <w:rPr>
          <w:rFonts w:ascii="Arial" w:hAnsi="Arial" w:cs="Arial"/>
          <w:b/>
          <w:bCs/>
          <w:sz w:val="24"/>
          <w:szCs w:val="24"/>
        </w:rPr>
        <w:t xml:space="preserve">adjustment </w:t>
      </w:r>
      <w:r w:rsidRPr="00A66BA6">
        <w:rPr>
          <w:rFonts w:ascii="Arial" w:hAnsi="Arial" w:cs="Arial"/>
          <w:b/>
          <w:bCs/>
          <w:sz w:val="24"/>
          <w:szCs w:val="24"/>
        </w:rPr>
        <w:t>factor</w:t>
      </w:r>
      <w:r w:rsidRPr="00A66BA6">
        <w:rPr>
          <w:rFonts w:ascii="Arial" w:hAnsi="Arial" w:cs="Arial"/>
          <w:sz w:val="24"/>
          <w:szCs w:val="24"/>
        </w:rPr>
        <w:t xml:space="preserve"> can be </w:t>
      </w:r>
      <w:r w:rsidR="00950043" w:rsidRPr="00A66BA6">
        <w:rPr>
          <w:rFonts w:ascii="Arial" w:hAnsi="Arial" w:cs="Arial"/>
          <w:sz w:val="24"/>
          <w:szCs w:val="24"/>
        </w:rPr>
        <w:t>used</w:t>
      </w:r>
      <w:r w:rsidRPr="00A66BA6">
        <w:rPr>
          <w:rFonts w:ascii="Arial" w:hAnsi="Arial" w:cs="Arial"/>
          <w:sz w:val="24"/>
          <w:szCs w:val="24"/>
        </w:rPr>
        <w:t xml:space="preserve"> for all children in the classroom where the staff are receiving these supports</w:t>
      </w:r>
      <w:r w:rsidR="4A41BE59" w:rsidRPr="00A66BA6">
        <w:rPr>
          <w:rFonts w:ascii="Arial" w:hAnsi="Arial" w:cs="Arial"/>
          <w:sz w:val="24"/>
          <w:szCs w:val="24"/>
        </w:rPr>
        <w:t xml:space="preserve"> in addition to special criteria adjustment factors applied to individual children</w:t>
      </w:r>
      <w:r w:rsidR="00950043" w:rsidRPr="00A66BA6">
        <w:rPr>
          <w:rFonts w:ascii="Arial" w:hAnsi="Arial" w:cs="Arial"/>
          <w:sz w:val="24"/>
          <w:szCs w:val="24"/>
        </w:rPr>
        <w:t>.</w:t>
      </w:r>
    </w:p>
    <w:p w14:paraId="46717D68" w14:textId="1073B2AC" w:rsidR="00344E18" w:rsidRPr="00A66BA6" w:rsidRDefault="007C2CBF" w:rsidP="00A66BA6">
      <w:pPr>
        <w:pStyle w:val="Heading2"/>
        <w:rPr>
          <w:rFonts w:ascii="Arial" w:hAnsi="Arial" w:cs="Arial"/>
        </w:rPr>
      </w:pPr>
      <w:r w:rsidRPr="00A66BA6">
        <w:rPr>
          <w:rFonts w:ascii="Arial" w:hAnsi="Arial" w:cs="Arial"/>
        </w:rPr>
        <w:t xml:space="preserve">Why Adjustment Factors Matter for Maximizing </w:t>
      </w:r>
      <w:r w:rsidR="4E0E8047" w:rsidRPr="00A66BA6">
        <w:rPr>
          <w:rFonts w:ascii="Arial" w:hAnsi="Arial" w:cs="Arial"/>
        </w:rPr>
        <w:t>E</w:t>
      </w:r>
      <w:r w:rsidRPr="00A66BA6">
        <w:rPr>
          <w:rFonts w:ascii="Arial" w:hAnsi="Arial" w:cs="Arial"/>
        </w:rPr>
        <w:t>nrollment</w:t>
      </w:r>
    </w:p>
    <w:p w14:paraId="07B877B5" w14:textId="4B4DC9F1" w:rsidR="3AA7AC17" w:rsidRDefault="007C2CBF" w:rsidP="00CA20DE">
      <w:pPr>
        <w:spacing w:before="140" w:after="240"/>
        <w:rPr>
          <w:rFonts w:ascii="Arial" w:hAnsi="Arial" w:cs="Arial"/>
          <w:sz w:val="24"/>
          <w:szCs w:val="24"/>
        </w:rPr>
      </w:pPr>
      <w:r w:rsidRPr="00A66BA6">
        <w:rPr>
          <w:rFonts w:ascii="Arial" w:hAnsi="Arial" w:cs="Arial"/>
          <w:sz w:val="24"/>
          <w:szCs w:val="24"/>
        </w:rPr>
        <w:t xml:space="preserve">When a contractor enrolls children who qualify for higher adjustment factors, each day of care for those children </w:t>
      </w:r>
      <w:r w:rsidR="00950043" w:rsidRPr="00A66BA6">
        <w:rPr>
          <w:rFonts w:ascii="Arial" w:hAnsi="Arial" w:cs="Arial"/>
          <w:sz w:val="24"/>
          <w:szCs w:val="24"/>
        </w:rPr>
        <w:t xml:space="preserve">calculates a higher service earnings potential. </w:t>
      </w:r>
      <w:r w:rsidRPr="00A66BA6">
        <w:rPr>
          <w:rFonts w:ascii="Arial" w:hAnsi="Arial" w:cs="Arial"/>
          <w:sz w:val="24"/>
          <w:szCs w:val="24"/>
        </w:rPr>
        <w:t xml:space="preserve">This means the contractor </w:t>
      </w:r>
      <w:r w:rsidR="00950043" w:rsidRPr="00A66BA6">
        <w:rPr>
          <w:rFonts w:ascii="Arial" w:hAnsi="Arial" w:cs="Arial"/>
          <w:sz w:val="24"/>
          <w:szCs w:val="24"/>
        </w:rPr>
        <w:t xml:space="preserve">can have higher service earnings per </w:t>
      </w:r>
      <w:r w:rsidRPr="00A66BA6">
        <w:rPr>
          <w:rFonts w:ascii="Arial" w:hAnsi="Arial" w:cs="Arial"/>
          <w:sz w:val="24"/>
          <w:szCs w:val="24"/>
        </w:rPr>
        <w:t>child compared to those with lower adjustment factors. As a result, the contractor can</w:t>
      </w:r>
      <w:r w:rsidR="00950043" w:rsidRPr="00A66BA6">
        <w:rPr>
          <w:rFonts w:ascii="Arial" w:hAnsi="Arial" w:cs="Arial"/>
          <w:sz w:val="24"/>
          <w:szCs w:val="24"/>
        </w:rPr>
        <w:t xml:space="preserve"> have service earnings align with their MRA </w:t>
      </w:r>
      <w:r w:rsidRPr="00A66BA6">
        <w:rPr>
          <w:rFonts w:ascii="Arial" w:hAnsi="Arial" w:cs="Arial"/>
          <w:sz w:val="24"/>
          <w:szCs w:val="24"/>
        </w:rPr>
        <w:t xml:space="preserve">with </w:t>
      </w:r>
      <w:r w:rsidR="2FAAF7B5" w:rsidRPr="00A66BA6">
        <w:rPr>
          <w:rFonts w:ascii="Arial" w:hAnsi="Arial" w:cs="Arial"/>
          <w:sz w:val="24"/>
          <w:szCs w:val="24"/>
        </w:rPr>
        <w:t>lower</w:t>
      </w:r>
      <w:r w:rsidRPr="00A66BA6">
        <w:rPr>
          <w:rFonts w:ascii="Arial" w:hAnsi="Arial" w:cs="Arial"/>
          <w:sz w:val="24"/>
          <w:szCs w:val="24"/>
        </w:rPr>
        <w:t xml:space="preserve"> total enrollment.</w:t>
      </w:r>
    </w:p>
    <w:p w14:paraId="6FF64090" w14:textId="467823C0" w:rsidR="000F5C07" w:rsidRDefault="000F5C07" w:rsidP="00CA20DE">
      <w:pPr>
        <w:spacing w:before="140" w:after="0"/>
        <w:rPr>
          <w:rFonts w:ascii="Arial" w:hAnsi="Arial" w:cs="Arial"/>
          <w:sz w:val="24"/>
          <w:szCs w:val="24"/>
        </w:rPr>
      </w:pPr>
      <w:r>
        <w:rPr>
          <w:rFonts w:ascii="Arial" w:hAnsi="Arial" w:cs="Arial"/>
          <w:sz w:val="24"/>
          <w:szCs w:val="24"/>
        </w:rPr>
        <w:t>California Department of Education</w:t>
      </w:r>
    </w:p>
    <w:p w14:paraId="4768EEA9" w14:textId="133AC97D" w:rsidR="000F5C07" w:rsidRPr="00A66BA6" w:rsidRDefault="000F5C07" w:rsidP="00CA20DE">
      <w:pPr>
        <w:spacing w:after="60"/>
        <w:rPr>
          <w:rFonts w:ascii="Arial" w:hAnsi="Arial" w:cs="Arial"/>
          <w:sz w:val="24"/>
          <w:szCs w:val="24"/>
        </w:rPr>
      </w:pPr>
      <w:r>
        <w:rPr>
          <w:rFonts w:ascii="Arial" w:hAnsi="Arial" w:cs="Arial"/>
          <w:sz w:val="24"/>
          <w:szCs w:val="24"/>
        </w:rPr>
        <w:t>January 2026</w:t>
      </w:r>
    </w:p>
    <w:sectPr w:rsidR="000F5C07" w:rsidRPr="00A66BA6" w:rsidSect="000F5C07">
      <w:headerReference w:type="even" r:id="rId7"/>
      <w:headerReference w:type="default" r:id="rId8"/>
      <w:footerReference w:type="even" r:id="rId9"/>
      <w:headerReference w:type="first" r:id="rId10"/>
      <w:footerReference w:type="first" r:id="rId11"/>
      <w:pgSz w:w="12240" w:h="15840"/>
      <w:pgMar w:top="1053" w:right="1440" w:bottom="1485" w:left="1440" w:header="288" w:footer="633" w:gutter="0"/>
      <w:pgNumType w:start="1"/>
      <w:cols w:space="720"/>
      <w:titlePg/>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524A7" w14:textId="77777777" w:rsidR="00C57025" w:rsidRDefault="00C57025">
      <w:pPr>
        <w:spacing w:after="0"/>
      </w:pPr>
      <w:r>
        <w:separator/>
      </w:r>
    </w:p>
  </w:endnote>
  <w:endnote w:type="continuationSeparator" w:id="0">
    <w:p w14:paraId="041BDC36" w14:textId="77777777" w:rsidR="00C57025" w:rsidRDefault="00C570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4D50D9CB-A178-4DEA-BDF1-B7E91D4814F3}"/>
    <w:embedBold r:id="rId2" w:fontKey="{E5D7CFEE-B7EA-4DB1-AF1B-1965B6C8E35D}"/>
    <w:embedItalic r:id="rId3" w:fontKey="{D93BEE01-9D08-4992-9BA0-305BFA8CEAC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2A33AB18-C2C0-4529-AEAD-3E7327F79C84}"/>
    <w:embedBold r:id="rId5" w:fontKey="{4F3ACC7C-E00E-4135-8BBE-75D324A490A4}"/>
  </w:font>
  <w:font w:name="Barlow">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fontKey="{69EF31B1-D182-43F3-9791-80483A849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235C" w14:textId="77777777" w:rsidR="00BB388A" w:rsidRDefault="00BB388A">
    <w:pPr>
      <w:pBdr>
        <w:top w:val="single" w:sz="4" w:space="1" w:color="008285"/>
        <w:left w:val="nil"/>
        <w:bottom w:val="none" w:sz="0" w:space="0" w:color="000000"/>
        <w:right w:val="nil"/>
        <w:between w:val="nil"/>
      </w:pBdr>
      <w:tabs>
        <w:tab w:val="right" w:pos="8352"/>
      </w:tabs>
      <w:spacing w:after="120"/>
      <w:rPr>
        <w:rFonts w:ascii="Barlow Medium" w:eastAsia="Barlow Medium" w:hAnsi="Barlow Medium" w:cs="Barlow Medium"/>
        <w:color w:val="000000"/>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5E3A" w14:textId="0D0A1307" w:rsidR="00A66BA6" w:rsidRDefault="00A66BA6" w:rsidP="00A66BA6">
    <w:pPr>
      <w:pStyle w:val="Footer"/>
      <w:tabs>
        <w:tab w:val="clear" w:pos="4680"/>
        <w:tab w:val="clear" w:pos="9360"/>
        <w:tab w:val="left" w:pos="12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4E099" w14:textId="77777777" w:rsidR="00C57025" w:rsidRDefault="00C57025">
      <w:pPr>
        <w:spacing w:after="0"/>
      </w:pPr>
      <w:r>
        <w:separator/>
      </w:r>
    </w:p>
  </w:footnote>
  <w:footnote w:type="continuationSeparator" w:id="0">
    <w:p w14:paraId="6461269E" w14:textId="77777777" w:rsidR="00C57025" w:rsidRDefault="00C570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CB0A" w14:textId="77777777" w:rsidR="00BB388A" w:rsidRDefault="00C64DA2">
    <w:pPr>
      <w:pBdr>
        <w:top w:val="nil"/>
        <w:left w:val="nil"/>
        <w:bottom w:val="single" w:sz="4" w:space="2" w:color="549480"/>
        <w:right w:val="nil"/>
        <w:between w:val="nil"/>
      </w:pBdr>
      <w:tabs>
        <w:tab w:val="center" w:pos="4320"/>
        <w:tab w:val="right" w:pos="8640"/>
      </w:tabs>
      <w:spacing w:line="290" w:lineRule="auto"/>
      <w:jc w:val="right"/>
      <w:rPr>
        <w:rFonts w:ascii="Roboto" w:eastAsia="Roboto" w:hAnsi="Roboto" w:cs="Roboto"/>
        <w:b/>
        <w:color w:val="595959"/>
        <w:sz w:val="20"/>
        <w:szCs w:val="20"/>
      </w:rPr>
    </w:pPr>
    <w:r>
      <w:rPr>
        <w:rFonts w:ascii="Roboto" w:eastAsia="Roboto" w:hAnsi="Roboto" w:cs="Roboto"/>
        <w:b/>
        <w:color w:val="595959"/>
        <w:sz w:val="20"/>
        <w:szCs w:val="20"/>
      </w:rPr>
      <w:fldChar w:fldCharType="begin"/>
    </w:r>
    <w:r>
      <w:rPr>
        <w:rFonts w:ascii="Roboto" w:eastAsia="Roboto" w:hAnsi="Roboto" w:cs="Roboto"/>
        <w:b/>
        <w:color w:val="595959"/>
        <w:sz w:val="20"/>
        <w:szCs w:val="20"/>
      </w:rPr>
      <w:instrText>PAGE</w:instrText>
    </w:r>
    <w:r>
      <w:rPr>
        <w:rFonts w:ascii="Roboto" w:eastAsia="Roboto" w:hAnsi="Roboto" w:cs="Roboto"/>
        <w:b/>
        <w:color w:val="595959"/>
        <w:sz w:val="20"/>
        <w:szCs w:val="20"/>
      </w:rPr>
      <w:fldChar w:fldCharType="separate"/>
    </w:r>
    <w:r>
      <w:rPr>
        <w:rFonts w:ascii="Roboto" w:eastAsia="Roboto" w:hAnsi="Roboto" w:cs="Roboto"/>
        <w:b/>
        <w:color w:val="595959"/>
        <w:sz w:val="20"/>
        <w:szCs w:val="20"/>
      </w:rPr>
      <w:fldChar w:fldCharType="end"/>
    </w:r>
  </w:p>
  <w:p w14:paraId="10E81567" w14:textId="77777777" w:rsidR="00BB388A" w:rsidRDefault="00BB388A">
    <w:pPr>
      <w:pBdr>
        <w:top w:val="nil"/>
        <w:left w:val="nil"/>
        <w:bottom w:val="single" w:sz="4" w:space="2" w:color="549480"/>
        <w:right w:val="nil"/>
        <w:between w:val="nil"/>
      </w:pBdr>
      <w:tabs>
        <w:tab w:val="center" w:pos="4320"/>
        <w:tab w:val="right" w:pos="8640"/>
      </w:tabs>
      <w:spacing w:line="290" w:lineRule="auto"/>
      <w:ind w:right="360"/>
      <w:rPr>
        <w:rFonts w:ascii="Barlow" w:eastAsia="Barlow" w:hAnsi="Barlow" w:cs="Barlow"/>
        <w:color w:val="157977"/>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1DBB27D3" w14:textId="77777777" w:rsidR="000F5C07" w:rsidRPr="000F5C07" w:rsidRDefault="000F5C07" w:rsidP="000F5C07">
        <w:pPr>
          <w:pStyle w:val="Header"/>
          <w:jc w:val="right"/>
          <w:rPr>
            <w:rFonts w:ascii="Arial" w:hAnsi="Arial" w:cs="Arial"/>
            <w:sz w:val="24"/>
            <w:szCs w:val="24"/>
          </w:rPr>
        </w:pPr>
        <w:r w:rsidRPr="000F5C07">
          <w:rPr>
            <w:rFonts w:ascii="Arial" w:hAnsi="Arial" w:cs="Arial"/>
            <w:sz w:val="24"/>
            <w:szCs w:val="24"/>
          </w:rPr>
          <w:t xml:space="preserve">Page </w:t>
        </w:r>
        <w:r w:rsidRPr="000F5C07">
          <w:rPr>
            <w:rFonts w:ascii="Arial" w:hAnsi="Arial" w:cs="Arial"/>
            <w:b/>
            <w:bCs/>
            <w:sz w:val="24"/>
            <w:szCs w:val="24"/>
          </w:rPr>
          <w:fldChar w:fldCharType="begin"/>
        </w:r>
        <w:r w:rsidRPr="000F5C07">
          <w:rPr>
            <w:rFonts w:ascii="Arial" w:hAnsi="Arial" w:cs="Arial"/>
            <w:b/>
            <w:bCs/>
            <w:sz w:val="24"/>
            <w:szCs w:val="24"/>
          </w:rPr>
          <w:instrText xml:space="preserve"> PAGE </w:instrText>
        </w:r>
        <w:r w:rsidRPr="000F5C07">
          <w:rPr>
            <w:rFonts w:ascii="Arial" w:hAnsi="Arial" w:cs="Arial"/>
            <w:b/>
            <w:bCs/>
            <w:sz w:val="24"/>
            <w:szCs w:val="24"/>
          </w:rPr>
          <w:fldChar w:fldCharType="separate"/>
        </w:r>
        <w:r w:rsidRPr="000F5C07">
          <w:rPr>
            <w:rFonts w:ascii="Arial" w:hAnsi="Arial" w:cs="Arial"/>
            <w:b/>
            <w:bCs/>
            <w:noProof/>
            <w:sz w:val="24"/>
            <w:szCs w:val="24"/>
          </w:rPr>
          <w:t>2</w:t>
        </w:r>
        <w:r w:rsidRPr="000F5C07">
          <w:rPr>
            <w:rFonts w:ascii="Arial" w:hAnsi="Arial" w:cs="Arial"/>
            <w:b/>
            <w:bCs/>
            <w:sz w:val="24"/>
            <w:szCs w:val="24"/>
          </w:rPr>
          <w:fldChar w:fldCharType="end"/>
        </w:r>
        <w:r w:rsidRPr="000F5C07">
          <w:rPr>
            <w:rFonts w:ascii="Arial" w:hAnsi="Arial" w:cs="Arial"/>
            <w:sz w:val="24"/>
            <w:szCs w:val="24"/>
          </w:rPr>
          <w:t xml:space="preserve"> of </w:t>
        </w:r>
        <w:r w:rsidRPr="000F5C07">
          <w:rPr>
            <w:rFonts w:ascii="Arial" w:hAnsi="Arial" w:cs="Arial"/>
            <w:b/>
            <w:bCs/>
            <w:sz w:val="24"/>
            <w:szCs w:val="24"/>
          </w:rPr>
          <w:fldChar w:fldCharType="begin"/>
        </w:r>
        <w:r w:rsidRPr="000F5C07">
          <w:rPr>
            <w:rFonts w:ascii="Arial" w:hAnsi="Arial" w:cs="Arial"/>
            <w:b/>
            <w:bCs/>
            <w:sz w:val="24"/>
            <w:szCs w:val="24"/>
          </w:rPr>
          <w:instrText xml:space="preserve"> NUMPAGES  </w:instrText>
        </w:r>
        <w:r w:rsidRPr="000F5C07">
          <w:rPr>
            <w:rFonts w:ascii="Arial" w:hAnsi="Arial" w:cs="Arial"/>
            <w:b/>
            <w:bCs/>
            <w:sz w:val="24"/>
            <w:szCs w:val="24"/>
          </w:rPr>
          <w:fldChar w:fldCharType="separate"/>
        </w:r>
        <w:r w:rsidRPr="000F5C07">
          <w:rPr>
            <w:rFonts w:ascii="Arial" w:hAnsi="Arial" w:cs="Arial"/>
            <w:b/>
            <w:bCs/>
            <w:noProof/>
            <w:sz w:val="24"/>
            <w:szCs w:val="24"/>
          </w:rPr>
          <w:t>2</w:t>
        </w:r>
        <w:r w:rsidRPr="000F5C07">
          <w:rPr>
            <w:rFonts w:ascii="Arial" w:hAnsi="Arial" w:cs="Arial"/>
            <w:b/>
            <w:bCs/>
            <w:sz w:val="24"/>
            <w:szCs w:val="24"/>
          </w:rPr>
          <w:fldChar w:fldCharType="end"/>
        </w:r>
      </w:p>
      <w:p w14:paraId="55C981FA" w14:textId="331D93C6" w:rsidR="00A66BA6" w:rsidRDefault="000F5C07" w:rsidP="000F5C07">
        <w:pPr>
          <w:pStyle w:val="Header"/>
          <w:jc w:val="right"/>
        </w:pPr>
        <w:r w:rsidRPr="000F5C07">
          <w:rPr>
            <w:rFonts w:ascii="Arial" w:hAnsi="Arial" w:cs="Arial"/>
            <w:sz w:val="24"/>
            <w:szCs w:val="24"/>
          </w:rPr>
          <w:t>Understanding Adjustment Factors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5F9F" w14:textId="77777777" w:rsidR="00BB388A" w:rsidRDefault="00C64DA2" w:rsidP="00A66BA6">
    <w:pPr>
      <w:spacing w:after="0" w:line="276" w:lineRule="auto"/>
    </w:pPr>
    <w:r>
      <w:rPr>
        <w:noProof/>
      </w:rPr>
      <w:drawing>
        <wp:anchor distT="114300" distB="114300" distL="114300" distR="114300" simplePos="0" relativeHeight="251658240" behindDoc="1" locked="0" layoutInCell="1" hidden="0" allowOverlap="1" wp14:anchorId="637D6618" wp14:editId="7A0E61D8">
          <wp:simplePos x="0" y="0"/>
          <wp:positionH relativeFrom="column">
            <wp:posOffset>-913765</wp:posOffset>
          </wp:positionH>
          <wp:positionV relativeFrom="paragraph">
            <wp:posOffset>-173193</wp:posOffset>
          </wp:positionV>
          <wp:extent cx="7772400" cy="1331024"/>
          <wp:effectExtent l="0" t="0" r="0" b="2540"/>
          <wp:wrapNone/>
          <wp:docPr id="2" name="image2.png" descr="Universal Prekindergarten (UPK): California's Great Start Logo"/>
          <wp:cNvGraphicFramePr/>
          <a:graphic xmlns:a="http://schemas.openxmlformats.org/drawingml/2006/main">
            <a:graphicData uri="http://schemas.openxmlformats.org/drawingml/2006/picture">
              <pic:pic xmlns:pic="http://schemas.openxmlformats.org/drawingml/2006/picture">
                <pic:nvPicPr>
                  <pic:cNvPr id="2" name="image2.png" descr="Universal Prekindergarten (UPK): California's Great Start Logo"/>
                  <pic:cNvPicPr preferRelativeResize="0"/>
                </pic:nvPicPr>
                <pic:blipFill>
                  <a:blip r:embed="rId1"/>
                  <a:srcRect l="384" r="384"/>
                  <a:stretch>
                    <a:fillRect/>
                  </a:stretch>
                </pic:blipFill>
                <pic:spPr>
                  <a:xfrm>
                    <a:off x="0" y="0"/>
                    <a:ext cx="7772400" cy="13310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05FBB"/>
    <w:multiLevelType w:val="multilevel"/>
    <w:tmpl w:val="9EDA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44B6E"/>
    <w:multiLevelType w:val="multilevel"/>
    <w:tmpl w:val="1978665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1F8327F2"/>
    <w:multiLevelType w:val="multilevel"/>
    <w:tmpl w:val="3B12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E01C7"/>
    <w:multiLevelType w:val="multilevel"/>
    <w:tmpl w:val="C87C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8064E3"/>
    <w:multiLevelType w:val="multilevel"/>
    <w:tmpl w:val="5FEC40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AF77C6A"/>
    <w:multiLevelType w:val="multilevel"/>
    <w:tmpl w:val="983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966622"/>
    <w:multiLevelType w:val="multilevel"/>
    <w:tmpl w:val="D88A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F64278"/>
    <w:multiLevelType w:val="multilevel"/>
    <w:tmpl w:val="61EC28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F3801E9"/>
    <w:multiLevelType w:val="multilevel"/>
    <w:tmpl w:val="DC6002D4"/>
    <w:lvl w:ilvl="0">
      <w:start w:val="1"/>
      <w:numFmt w:val="decimal"/>
      <w:lvlText w:val="%1."/>
      <w:lvlJc w:val="left"/>
      <w:pPr>
        <w:ind w:left="360" w:hanging="360"/>
      </w:pPr>
      <w:rPr>
        <w:rFonts w:ascii="Montserrat" w:eastAsia="Montserrat" w:hAnsi="Montserrat" w:cs="Montserrat"/>
        <w:b/>
        <w:i w:val="0"/>
        <w:color w:val="EE907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211FAD"/>
    <w:multiLevelType w:val="multilevel"/>
    <w:tmpl w:val="CAAE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2111E7"/>
    <w:multiLevelType w:val="multilevel"/>
    <w:tmpl w:val="E036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5F0FB4"/>
    <w:multiLevelType w:val="hybridMultilevel"/>
    <w:tmpl w:val="F324637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4E6ED0"/>
    <w:multiLevelType w:val="multilevel"/>
    <w:tmpl w:val="D266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C75FE8"/>
    <w:multiLevelType w:val="hybridMultilevel"/>
    <w:tmpl w:val="386A869A"/>
    <w:lvl w:ilvl="0" w:tplc="50CE6D00">
      <w:start w:val="1"/>
      <w:numFmt w:val="bullet"/>
      <w:lvlText w:val=""/>
      <w:lvlJc w:val="left"/>
      <w:pPr>
        <w:ind w:left="720" w:hanging="360"/>
      </w:pPr>
      <w:rPr>
        <w:rFonts w:ascii="Symbol" w:hAnsi="Symbol" w:hint="default"/>
      </w:rPr>
    </w:lvl>
    <w:lvl w:ilvl="1" w:tplc="FBE4180E">
      <w:start w:val="1"/>
      <w:numFmt w:val="bullet"/>
      <w:lvlText w:val="o"/>
      <w:lvlJc w:val="left"/>
      <w:pPr>
        <w:ind w:left="1440" w:hanging="360"/>
      </w:pPr>
      <w:rPr>
        <w:rFonts w:ascii="Courier New" w:hAnsi="Courier New" w:hint="default"/>
      </w:rPr>
    </w:lvl>
    <w:lvl w:ilvl="2" w:tplc="44224F26">
      <w:start w:val="1"/>
      <w:numFmt w:val="bullet"/>
      <w:lvlText w:val=""/>
      <w:lvlJc w:val="left"/>
      <w:pPr>
        <w:ind w:left="2160" w:hanging="360"/>
      </w:pPr>
      <w:rPr>
        <w:rFonts w:ascii="Wingdings" w:hAnsi="Wingdings" w:hint="default"/>
      </w:rPr>
    </w:lvl>
    <w:lvl w:ilvl="3" w:tplc="B970A368">
      <w:start w:val="1"/>
      <w:numFmt w:val="bullet"/>
      <w:lvlText w:val=""/>
      <w:lvlJc w:val="left"/>
      <w:pPr>
        <w:ind w:left="2880" w:hanging="360"/>
      </w:pPr>
      <w:rPr>
        <w:rFonts w:ascii="Symbol" w:hAnsi="Symbol" w:hint="default"/>
      </w:rPr>
    </w:lvl>
    <w:lvl w:ilvl="4" w:tplc="35B0013A">
      <w:start w:val="1"/>
      <w:numFmt w:val="bullet"/>
      <w:lvlText w:val="o"/>
      <w:lvlJc w:val="left"/>
      <w:pPr>
        <w:ind w:left="3600" w:hanging="360"/>
      </w:pPr>
      <w:rPr>
        <w:rFonts w:ascii="Courier New" w:hAnsi="Courier New" w:hint="default"/>
      </w:rPr>
    </w:lvl>
    <w:lvl w:ilvl="5" w:tplc="456C9008">
      <w:start w:val="1"/>
      <w:numFmt w:val="bullet"/>
      <w:lvlText w:val=""/>
      <w:lvlJc w:val="left"/>
      <w:pPr>
        <w:ind w:left="4320" w:hanging="360"/>
      </w:pPr>
      <w:rPr>
        <w:rFonts w:ascii="Wingdings" w:hAnsi="Wingdings" w:hint="default"/>
      </w:rPr>
    </w:lvl>
    <w:lvl w:ilvl="6" w:tplc="0F5A628A">
      <w:start w:val="1"/>
      <w:numFmt w:val="bullet"/>
      <w:lvlText w:val=""/>
      <w:lvlJc w:val="left"/>
      <w:pPr>
        <w:ind w:left="5040" w:hanging="360"/>
      </w:pPr>
      <w:rPr>
        <w:rFonts w:ascii="Symbol" w:hAnsi="Symbol" w:hint="default"/>
      </w:rPr>
    </w:lvl>
    <w:lvl w:ilvl="7" w:tplc="C01CA642">
      <w:start w:val="1"/>
      <w:numFmt w:val="bullet"/>
      <w:lvlText w:val="o"/>
      <w:lvlJc w:val="left"/>
      <w:pPr>
        <w:ind w:left="5760" w:hanging="360"/>
      </w:pPr>
      <w:rPr>
        <w:rFonts w:ascii="Courier New" w:hAnsi="Courier New" w:hint="default"/>
      </w:rPr>
    </w:lvl>
    <w:lvl w:ilvl="8" w:tplc="D64006C8">
      <w:start w:val="1"/>
      <w:numFmt w:val="bullet"/>
      <w:lvlText w:val=""/>
      <w:lvlJc w:val="left"/>
      <w:pPr>
        <w:ind w:left="6480" w:hanging="360"/>
      </w:pPr>
      <w:rPr>
        <w:rFonts w:ascii="Wingdings" w:hAnsi="Wingdings" w:hint="default"/>
      </w:rPr>
    </w:lvl>
  </w:abstractNum>
  <w:abstractNum w:abstractNumId="14" w15:restartNumberingAfterBreak="0">
    <w:nsid w:val="78DB4E07"/>
    <w:multiLevelType w:val="multilevel"/>
    <w:tmpl w:val="30D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9329A1"/>
    <w:multiLevelType w:val="multilevel"/>
    <w:tmpl w:val="6FD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CE1205"/>
    <w:multiLevelType w:val="multilevel"/>
    <w:tmpl w:val="E6D4D3D2"/>
    <w:lvl w:ilvl="0">
      <w:start w:val="1"/>
      <w:numFmt w:val="bullet"/>
      <w:lvlText w:val="●"/>
      <w:lvlJc w:val="left"/>
      <w:pPr>
        <w:ind w:left="720" w:hanging="360"/>
      </w:pPr>
      <w:rPr>
        <w:color w:val="EE907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4601FD"/>
    <w:multiLevelType w:val="hybridMultilevel"/>
    <w:tmpl w:val="F514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7427531">
    <w:abstractNumId w:val="1"/>
  </w:num>
  <w:num w:numId="2" w16cid:durableId="1369179525">
    <w:abstractNumId w:val="13"/>
  </w:num>
  <w:num w:numId="3" w16cid:durableId="2025860683">
    <w:abstractNumId w:val="16"/>
  </w:num>
  <w:num w:numId="4" w16cid:durableId="296225371">
    <w:abstractNumId w:val="8"/>
  </w:num>
  <w:num w:numId="5" w16cid:durableId="880017995">
    <w:abstractNumId w:val="7"/>
  </w:num>
  <w:num w:numId="6" w16cid:durableId="705105397">
    <w:abstractNumId w:val="4"/>
  </w:num>
  <w:num w:numId="7" w16cid:durableId="354573647">
    <w:abstractNumId w:val="10"/>
  </w:num>
  <w:num w:numId="8" w16cid:durableId="2069956813">
    <w:abstractNumId w:val="12"/>
  </w:num>
  <w:num w:numId="9" w16cid:durableId="1030491641">
    <w:abstractNumId w:val="9"/>
  </w:num>
  <w:num w:numId="10" w16cid:durableId="126051478">
    <w:abstractNumId w:val="15"/>
  </w:num>
  <w:num w:numId="11" w16cid:durableId="290868809">
    <w:abstractNumId w:val="0"/>
  </w:num>
  <w:num w:numId="12" w16cid:durableId="684483053">
    <w:abstractNumId w:val="14"/>
  </w:num>
  <w:num w:numId="13" w16cid:durableId="903683091">
    <w:abstractNumId w:val="2"/>
  </w:num>
  <w:num w:numId="14" w16cid:durableId="1014498536">
    <w:abstractNumId w:val="6"/>
  </w:num>
  <w:num w:numId="15" w16cid:durableId="244269941">
    <w:abstractNumId w:val="3"/>
  </w:num>
  <w:num w:numId="16" w16cid:durableId="1338920926">
    <w:abstractNumId w:val="5"/>
  </w:num>
  <w:num w:numId="17" w16cid:durableId="1687363261">
    <w:abstractNumId w:val="17"/>
  </w:num>
  <w:num w:numId="18" w16cid:durableId="6566865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8A"/>
    <w:rsid w:val="00016605"/>
    <w:rsid w:val="00047611"/>
    <w:rsid w:val="0008253B"/>
    <w:rsid w:val="00090656"/>
    <w:rsid w:val="000C34C9"/>
    <w:rsid w:val="000F5C07"/>
    <w:rsid w:val="001672B2"/>
    <w:rsid w:val="001E3807"/>
    <w:rsid w:val="00344E18"/>
    <w:rsid w:val="00402195"/>
    <w:rsid w:val="004608DC"/>
    <w:rsid w:val="00491356"/>
    <w:rsid w:val="004A282D"/>
    <w:rsid w:val="005B0B57"/>
    <w:rsid w:val="005D1D69"/>
    <w:rsid w:val="00617996"/>
    <w:rsid w:val="006C0317"/>
    <w:rsid w:val="00705988"/>
    <w:rsid w:val="007627B9"/>
    <w:rsid w:val="007A2A7B"/>
    <w:rsid w:val="007C2CBF"/>
    <w:rsid w:val="00884424"/>
    <w:rsid w:val="008E2344"/>
    <w:rsid w:val="00950043"/>
    <w:rsid w:val="00957F82"/>
    <w:rsid w:val="009B030D"/>
    <w:rsid w:val="00A66BA6"/>
    <w:rsid w:val="00B7204F"/>
    <w:rsid w:val="00BB388A"/>
    <w:rsid w:val="00C17CB8"/>
    <w:rsid w:val="00C57025"/>
    <w:rsid w:val="00C64DA2"/>
    <w:rsid w:val="00C75D9C"/>
    <w:rsid w:val="00C87B23"/>
    <w:rsid w:val="00CA20DE"/>
    <w:rsid w:val="00E0161B"/>
    <w:rsid w:val="00E2460F"/>
    <w:rsid w:val="00E40848"/>
    <w:rsid w:val="00FF0869"/>
    <w:rsid w:val="02A05C2A"/>
    <w:rsid w:val="07FCF76D"/>
    <w:rsid w:val="0DFD2AEE"/>
    <w:rsid w:val="10174349"/>
    <w:rsid w:val="137F3032"/>
    <w:rsid w:val="177BC51F"/>
    <w:rsid w:val="1B75E3C7"/>
    <w:rsid w:val="20808AF4"/>
    <w:rsid w:val="208EE7B3"/>
    <w:rsid w:val="228404EF"/>
    <w:rsid w:val="262D42F9"/>
    <w:rsid w:val="28EB8F3B"/>
    <w:rsid w:val="2B3493AE"/>
    <w:rsid w:val="2D8D073B"/>
    <w:rsid w:val="2D9505EE"/>
    <w:rsid w:val="2ED583AF"/>
    <w:rsid w:val="2FAAF7B5"/>
    <w:rsid w:val="316309E5"/>
    <w:rsid w:val="32FF5BFE"/>
    <w:rsid w:val="347610A3"/>
    <w:rsid w:val="389DB0FA"/>
    <w:rsid w:val="3993BFA9"/>
    <w:rsid w:val="3AA7AC17"/>
    <w:rsid w:val="3B116894"/>
    <w:rsid w:val="3CF8C9D9"/>
    <w:rsid w:val="3D9F5A4B"/>
    <w:rsid w:val="3FDEBDA4"/>
    <w:rsid w:val="426BE348"/>
    <w:rsid w:val="4280D643"/>
    <w:rsid w:val="456E6A83"/>
    <w:rsid w:val="496FE3F4"/>
    <w:rsid w:val="4A378A22"/>
    <w:rsid w:val="4A41BE59"/>
    <w:rsid w:val="4A87F0C2"/>
    <w:rsid w:val="4AA31554"/>
    <w:rsid w:val="4E0E8047"/>
    <w:rsid w:val="4F9B7706"/>
    <w:rsid w:val="5001522B"/>
    <w:rsid w:val="52297559"/>
    <w:rsid w:val="532DE905"/>
    <w:rsid w:val="557E7048"/>
    <w:rsid w:val="569A9E02"/>
    <w:rsid w:val="58EBD9AD"/>
    <w:rsid w:val="5B29B6A6"/>
    <w:rsid w:val="5DD5C225"/>
    <w:rsid w:val="5F4C5207"/>
    <w:rsid w:val="615FF07D"/>
    <w:rsid w:val="6823F09E"/>
    <w:rsid w:val="6B10A576"/>
    <w:rsid w:val="7044675A"/>
    <w:rsid w:val="73FD60FD"/>
    <w:rsid w:val="78723474"/>
    <w:rsid w:val="7880BBDF"/>
    <w:rsid w:val="7AA88100"/>
    <w:rsid w:val="7CD9C774"/>
    <w:rsid w:val="7D164EA2"/>
    <w:rsid w:val="7D6990E9"/>
    <w:rsid w:val="7DB3A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B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3A5D"/>
        <w:sz w:val="25"/>
        <w:szCs w:val="25"/>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120"/>
      <w:outlineLvl w:val="0"/>
    </w:pPr>
    <w:rPr>
      <w:b/>
      <w:color w:val="0075A9"/>
      <w:sz w:val="50"/>
      <w:szCs w:val="50"/>
    </w:rPr>
  </w:style>
  <w:style w:type="paragraph" w:styleId="Heading2">
    <w:name w:val="heading 2"/>
    <w:basedOn w:val="Normal"/>
    <w:next w:val="Normal"/>
    <w:uiPriority w:val="9"/>
    <w:unhideWhenUsed/>
    <w:qFormat/>
    <w:pPr>
      <w:spacing w:before="240" w:after="120"/>
      <w:outlineLvl w:val="1"/>
    </w:pPr>
    <w:rPr>
      <w:b/>
      <w:color w:val="0075A9"/>
      <w:sz w:val="36"/>
      <w:szCs w:val="36"/>
    </w:rPr>
  </w:style>
  <w:style w:type="paragraph" w:styleId="Heading3">
    <w:name w:val="heading 3"/>
    <w:basedOn w:val="Normal"/>
    <w:next w:val="Normal"/>
    <w:uiPriority w:val="9"/>
    <w:unhideWhenUsed/>
    <w:qFormat/>
    <w:pPr>
      <w:spacing w:before="240" w:after="140"/>
      <w:outlineLvl w:val="2"/>
    </w:pPr>
    <w:rPr>
      <w:b/>
      <w:color w:val="0075A9"/>
      <w:sz w:val="28"/>
      <w:szCs w:val="28"/>
    </w:rPr>
  </w:style>
  <w:style w:type="paragraph" w:styleId="Heading4">
    <w:name w:val="heading 4"/>
    <w:basedOn w:val="Normal"/>
    <w:next w:val="Normal"/>
    <w:uiPriority w:val="9"/>
    <w:unhideWhenUsed/>
    <w:qFormat/>
    <w:pPr>
      <w:keepNext/>
      <w:keepLines/>
      <w:spacing w:before="240" w:after="140"/>
      <w:outlineLvl w:val="3"/>
    </w:pPr>
    <w:rPr>
      <w:b/>
      <w:color w:val="0075A9"/>
    </w:rPr>
  </w:style>
  <w:style w:type="paragraph" w:styleId="Heading5">
    <w:name w:val="heading 5"/>
    <w:basedOn w:val="Normal"/>
    <w:next w:val="Normal"/>
    <w:uiPriority w:val="9"/>
    <w:unhideWhenUsed/>
    <w:qFormat/>
    <w:pPr>
      <w:keepNext/>
      <w:keepLines/>
      <w:spacing w:before="240" w:after="140"/>
      <w:outlineLvl w:val="4"/>
    </w:pPr>
    <w:rPr>
      <w:b/>
    </w:rPr>
  </w:style>
  <w:style w:type="paragraph" w:styleId="Heading6">
    <w:name w:val="heading 6"/>
    <w:basedOn w:val="Normal"/>
    <w:next w:val="Normal"/>
    <w:uiPriority w:val="9"/>
    <w:unhideWhenUsed/>
    <w:qFormat/>
    <w:pPr>
      <w:keepNext/>
      <w:keepLines/>
      <w:spacing w:before="240" w:after="140"/>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after="0" w:line="204" w:lineRule="auto"/>
    </w:pPr>
    <w:rPr>
      <w:b/>
      <w:sz w:val="70"/>
      <w:szCs w:val="70"/>
    </w:rPr>
  </w:style>
  <w:style w:type="paragraph" w:styleId="Subtitle">
    <w:name w:val="Subtitle"/>
    <w:basedOn w:val="Normal"/>
    <w:next w:val="Normal"/>
    <w:uiPriority w:val="11"/>
    <w:qFormat/>
    <w:pPr>
      <w:keepNext/>
      <w:keepLines/>
      <w:spacing w:before="240" w:after="120"/>
    </w:pPr>
    <w:rPr>
      <w:i/>
      <w:sz w:val="36"/>
      <w:szCs w:val="36"/>
      <w:shd w:val="clear" w:color="auto" w:fill="FFF1D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64DA2"/>
    <w:pPr>
      <w:tabs>
        <w:tab w:val="center" w:pos="4680"/>
        <w:tab w:val="right" w:pos="9360"/>
      </w:tabs>
      <w:spacing w:after="0"/>
    </w:pPr>
  </w:style>
  <w:style w:type="character" w:customStyle="1" w:styleId="HeaderChar">
    <w:name w:val="Header Char"/>
    <w:basedOn w:val="DefaultParagraphFont"/>
    <w:link w:val="Header"/>
    <w:uiPriority w:val="99"/>
    <w:rsid w:val="00C64DA2"/>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7C2CBF"/>
    <w:rPr>
      <w:sz w:val="16"/>
      <w:szCs w:val="16"/>
    </w:rPr>
  </w:style>
  <w:style w:type="paragraph" w:styleId="CommentText">
    <w:name w:val="annotation text"/>
    <w:basedOn w:val="Normal"/>
    <w:link w:val="CommentTextChar"/>
    <w:uiPriority w:val="99"/>
    <w:unhideWhenUsed/>
    <w:rsid w:val="007C2CBF"/>
    <w:rPr>
      <w:sz w:val="20"/>
      <w:szCs w:val="20"/>
    </w:rPr>
  </w:style>
  <w:style w:type="character" w:customStyle="1" w:styleId="CommentTextChar">
    <w:name w:val="Comment Text Char"/>
    <w:basedOn w:val="DefaultParagraphFont"/>
    <w:link w:val="CommentText"/>
    <w:uiPriority w:val="99"/>
    <w:rsid w:val="007C2CBF"/>
    <w:rPr>
      <w:sz w:val="20"/>
      <w:szCs w:val="20"/>
    </w:rPr>
  </w:style>
  <w:style w:type="paragraph" w:styleId="CommentSubject">
    <w:name w:val="annotation subject"/>
    <w:basedOn w:val="CommentText"/>
    <w:next w:val="CommentText"/>
    <w:link w:val="CommentSubjectChar"/>
    <w:uiPriority w:val="99"/>
    <w:semiHidden/>
    <w:unhideWhenUsed/>
    <w:rsid w:val="007C2CBF"/>
    <w:rPr>
      <w:b/>
      <w:bCs/>
    </w:rPr>
  </w:style>
  <w:style w:type="character" w:customStyle="1" w:styleId="CommentSubjectChar">
    <w:name w:val="Comment Subject Char"/>
    <w:basedOn w:val="CommentTextChar"/>
    <w:link w:val="CommentSubject"/>
    <w:uiPriority w:val="99"/>
    <w:semiHidden/>
    <w:rsid w:val="007C2CBF"/>
    <w:rPr>
      <w:b/>
      <w:bCs/>
      <w:sz w:val="20"/>
      <w:szCs w:val="20"/>
    </w:rPr>
  </w:style>
  <w:style w:type="paragraph" w:styleId="Revision">
    <w:name w:val="Revision"/>
    <w:hidden/>
    <w:uiPriority w:val="99"/>
    <w:semiHidden/>
    <w:rsid w:val="005B0B57"/>
    <w:pPr>
      <w:spacing w:after="0"/>
    </w:pPr>
  </w:style>
  <w:style w:type="paragraph" w:styleId="Footer">
    <w:name w:val="footer"/>
    <w:basedOn w:val="Normal"/>
    <w:link w:val="FooterChar"/>
    <w:uiPriority w:val="99"/>
    <w:unhideWhenUsed/>
    <w:rsid w:val="00A66BA6"/>
    <w:pPr>
      <w:tabs>
        <w:tab w:val="center" w:pos="4680"/>
        <w:tab w:val="right" w:pos="9360"/>
      </w:tabs>
      <w:spacing w:after="0"/>
    </w:pPr>
  </w:style>
  <w:style w:type="character" w:customStyle="1" w:styleId="FooterChar">
    <w:name w:val="Footer Char"/>
    <w:basedOn w:val="DefaultParagraphFont"/>
    <w:link w:val="Footer"/>
    <w:uiPriority w:val="99"/>
    <w:rsid w:val="00A66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3028">
      <w:bodyDiv w:val="1"/>
      <w:marLeft w:val="0"/>
      <w:marRight w:val="0"/>
      <w:marTop w:val="0"/>
      <w:marBottom w:val="0"/>
      <w:divBdr>
        <w:top w:val="none" w:sz="0" w:space="0" w:color="auto"/>
        <w:left w:val="none" w:sz="0" w:space="0" w:color="auto"/>
        <w:bottom w:val="none" w:sz="0" w:space="0" w:color="auto"/>
        <w:right w:val="none" w:sz="0" w:space="0" w:color="auto"/>
      </w:divBdr>
    </w:div>
    <w:div w:id="663899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2809</Characters>
  <Application>Microsoft Office Word</Application>
  <DocSecurity>0</DocSecurity>
  <Lines>56</Lines>
  <Paragraphs>30</Paragraphs>
  <ScaleCrop>false</ScaleCrop>
  <HeadingPairs>
    <vt:vector size="2" baseType="variant">
      <vt:variant>
        <vt:lpstr>Title</vt:lpstr>
      </vt:variant>
      <vt:variant>
        <vt:i4>1</vt:i4>
      </vt:variant>
    </vt:vector>
  </HeadingPairs>
  <TitlesOfParts>
    <vt:vector size="1" baseType="lpstr">
      <vt:lpstr>Maximizing Enrollment by Using Adjustment Factors - Contractor Information (CA Dept of Education)</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Maximizing Enrollment by Using Adjustment Factors - Contractor Information (CA Dept of Education)</dc:title>
  <dc:subject>Guidance on using adjustment factors in the California State Preschool Program.</dc:subject>
  <dc:creator/>
  <cp:lastModifiedBy/>
  <cp:revision>1</cp:revision>
  <dcterms:created xsi:type="dcterms:W3CDTF">2026-01-08T18:57:00Z</dcterms:created>
  <dcterms:modified xsi:type="dcterms:W3CDTF">2026-01-08T21:52:00Z</dcterms:modified>
</cp:coreProperties>
</file>