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669" w:rsidRPr="00BA395A" w:rsidRDefault="008B29FC" w:rsidP="001601B2">
      <w:pPr>
        <w:pStyle w:val="Heading1"/>
        <w:spacing w:before="0" w:after="960"/>
        <w:jc w:val="center"/>
        <w:rPr>
          <w:sz w:val="48"/>
          <w:szCs w:val="48"/>
        </w:rPr>
      </w:pPr>
      <w:bookmarkStart w:id="0" w:name="_Toc274054932"/>
      <w:bookmarkStart w:id="1" w:name="_Toc508894838"/>
      <w:r w:rsidRPr="00BA395A">
        <w:rPr>
          <w:sz w:val="48"/>
          <w:szCs w:val="48"/>
        </w:rPr>
        <w:t>A</w:t>
      </w:r>
      <w:r w:rsidR="00B54669" w:rsidRPr="00BA395A">
        <w:rPr>
          <w:sz w:val="48"/>
          <w:szCs w:val="48"/>
        </w:rPr>
        <w:t>merican Indian Education Center</w:t>
      </w:r>
      <w:r w:rsidR="001601B2">
        <w:rPr>
          <w:sz w:val="48"/>
          <w:szCs w:val="48"/>
        </w:rPr>
        <w:br/>
      </w:r>
      <w:r w:rsidRPr="00BA395A">
        <w:rPr>
          <w:sz w:val="48"/>
          <w:szCs w:val="48"/>
        </w:rPr>
        <w:t>Program Grant</w:t>
      </w:r>
    </w:p>
    <w:bookmarkEnd w:id="0"/>
    <w:bookmarkEnd w:id="1"/>
    <w:p w:rsidR="00B728B6" w:rsidRPr="001601B2" w:rsidRDefault="008B29FC" w:rsidP="001601B2">
      <w:pPr>
        <w:pStyle w:val="Heading2"/>
        <w:numPr>
          <w:ilvl w:val="0"/>
          <w:numId w:val="0"/>
        </w:numPr>
        <w:spacing w:after="960"/>
        <w:rPr>
          <w:b/>
          <w:sz w:val="48"/>
          <w:szCs w:val="48"/>
        </w:rPr>
      </w:pPr>
      <w:r w:rsidRPr="001601B2">
        <w:rPr>
          <w:b/>
          <w:sz w:val="48"/>
          <w:szCs w:val="48"/>
        </w:rPr>
        <w:t>Continuing Application</w:t>
      </w:r>
    </w:p>
    <w:p w:rsidR="00BA395A" w:rsidRPr="001601B2" w:rsidRDefault="00BA395A" w:rsidP="001601B2">
      <w:pPr>
        <w:jc w:val="center"/>
        <w:rPr>
          <w:b/>
          <w:sz w:val="44"/>
          <w:szCs w:val="44"/>
        </w:rPr>
      </w:pPr>
      <w:r w:rsidRPr="001601B2">
        <w:rPr>
          <w:b/>
          <w:sz w:val="44"/>
          <w:szCs w:val="44"/>
        </w:rPr>
        <w:t>October 1, 2018 to September 30, 2019</w:t>
      </w:r>
    </w:p>
    <w:p w:rsidR="00BA395A" w:rsidRPr="00BA395A" w:rsidRDefault="00BA395A" w:rsidP="00B54669">
      <w:pPr>
        <w:spacing w:after="480"/>
        <w:jc w:val="center"/>
        <w:rPr>
          <w:b/>
          <w:sz w:val="48"/>
          <w:szCs w:val="48"/>
        </w:rPr>
      </w:pPr>
    </w:p>
    <w:p w:rsidR="00BA395A" w:rsidRPr="00BA395A" w:rsidRDefault="00BA395A" w:rsidP="00BA395A">
      <w:pPr>
        <w:spacing w:before="240"/>
        <w:jc w:val="center"/>
        <w:rPr>
          <w:b/>
          <w:sz w:val="36"/>
          <w:szCs w:val="36"/>
        </w:rPr>
      </w:pPr>
      <w:bookmarkStart w:id="2" w:name="_Toc508894845"/>
      <w:r w:rsidRPr="00BA395A">
        <w:rPr>
          <w:b/>
          <w:sz w:val="36"/>
          <w:szCs w:val="36"/>
        </w:rPr>
        <w:t>APPLICATION DEADLINE:</w:t>
      </w:r>
      <w:bookmarkEnd w:id="2"/>
    </w:p>
    <w:p w:rsidR="00BA395A" w:rsidRPr="00BA395A" w:rsidRDefault="00BA395A" w:rsidP="00BA395A">
      <w:pPr>
        <w:jc w:val="center"/>
        <w:rPr>
          <w:b/>
          <w:sz w:val="36"/>
          <w:szCs w:val="36"/>
        </w:rPr>
      </w:pPr>
      <w:bookmarkStart w:id="3" w:name="_Toc508894846"/>
      <w:r w:rsidRPr="00BA395A">
        <w:rPr>
          <w:b/>
          <w:sz w:val="36"/>
          <w:szCs w:val="36"/>
        </w:rPr>
        <w:t>4:00 p.m.</w:t>
      </w:r>
      <w:bookmarkEnd w:id="3"/>
    </w:p>
    <w:p w:rsidR="00BA395A" w:rsidRPr="00BA395A" w:rsidRDefault="00F41CB2" w:rsidP="006372E3">
      <w:pPr>
        <w:spacing w:after="1440"/>
        <w:jc w:val="center"/>
        <w:rPr>
          <w:b/>
          <w:sz w:val="36"/>
          <w:szCs w:val="36"/>
        </w:rPr>
      </w:pPr>
      <w:bookmarkStart w:id="4" w:name="_Toc508894847"/>
      <w:r>
        <w:rPr>
          <w:b/>
          <w:sz w:val="36"/>
          <w:szCs w:val="36"/>
        </w:rPr>
        <w:t>Monday, September 24</w:t>
      </w:r>
      <w:r w:rsidR="00BA395A" w:rsidRPr="00BA395A">
        <w:rPr>
          <w:b/>
          <w:sz w:val="36"/>
          <w:szCs w:val="36"/>
        </w:rPr>
        <w:t>, 2018</w:t>
      </w:r>
      <w:bookmarkEnd w:id="4"/>
    </w:p>
    <w:p w:rsidR="00225334" w:rsidRPr="00BA395A" w:rsidRDefault="008B29FC" w:rsidP="00BA395A">
      <w:pPr>
        <w:jc w:val="center"/>
        <w:rPr>
          <w:b/>
          <w:sz w:val="40"/>
          <w:szCs w:val="40"/>
        </w:rPr>
      </w:pPr>
      <w:r w:rsidRPr="00BA395A">
        <w:rPr>
          <w:b/>
          <w:sz w:val="40"/>
          <w:szCs w:val="40"/>
        </w:rPr>
        <w:t>Educational Options, Student Support and American Indian Education Office</w:t>
      </w:r>
    </w:p>
    <w:p w:rsidR="00225334" w:rsidRPr="00BA395A" w:rsidRDefault="00225334" w:rsidP="00BA395A">
      <w:pPr>
        <w:jc w:val="center"/>
        <w:rPr>
          <w:b/>
          <w:sz w:val="40"/>
          <w:szCs w:val="40"/>
        </w:rPr>
      </w:pPr>
      <w:bookmarkStart w:id="5" w:name="_Toc508894841"/>
      <w:r w:rsidRPr="00BA395A">
        <w:rPr>
          <w:b/>
          <w:sz w:val="40"/>
          <w:szCs w:val="40"/>
        </w:rPr>
        <w:t>California Department of Education</w:t>
      </w:r>
      <w:bookmarkEnd w:id="5"/>
    </w:p>
    <w:p w:rsidR="00225334" w:rsidRPr="00BA395A" w:rsidRDefault="00225334" w:rsidP="00BA395A">
      <w:pPr>
        <w:jc w:val="center"/>
        <w:rPr>
          <w:b/>
          <w:sz w:val="40"/>
          <w:szCs w:val="40"/>
        </w:rPr>
      </w:pPr>
      <w:bookmarkStart w:id="6" w:name="_Toc274054933"/>
      <w:bookmarkStart w:id="7" w:name="_Toc508894842"/>
      <w:r w:rsidRPr="00BA395A">
        <w:rPr>
          <w:b/>
          <w:sz w:val="40"/>
          <w:szCs w:val="40"/>
        </w:rPr>
        <w:t>1430 N Street, Suite 6408</w:t>
      </w:r>
      <w:bookmarkEnd w:id="6"/>
      <w:bookmarkEnd w:id="7"/>
    </w:p>
    <w:p w:rsidR="00225334" w:rsidRPr="00BA395A" w:rsidRDefault="00225334" w:rsidP="00BA395A">
      <w:pPr>
        <w:jc w:val="center"/>
        <w:rPr>
          <w:b/>
          <w:sz w:val="40"/>
          <w:szCs w:val="40"/>
        </w:rPr>
      </w:pPr>
      <w:bookmarkStart w:id="8" w:name="_Toc274054934"/>
      <w:bookmarkStart w:id="9" w:name="_Toc508894843"/>
      <w:r w:rsidRPr="00BA395A">
        <w:rPr>
          <w:b/>
          <w:sz w:val="40"/>
          <w:szCs w:val="40"/>
        </w:rPr>
        <w:t>Sacramento, CA 95814-5901</w:t>
      </w:r>
      <w:bookmarkEnd w:id="8"/>
      <w:bookmarkEnd w:id="9"/>
    </w:p>
    <w:p w:rsidR="001E2A2E" w:rsidRDefault="00225334" w:rsidP="001E2A2E">
      <w:pPr>
        <w:spacing w:after="1440"/>
        <w:jc w:val="center"/>
        <w:rPr>
          <w:b/>
          <w:sz w:val="40"/>
          <w:szCs w:val="40"/>
        </w:rPr>
        <w:sectPr w:rsidR="001E2A2E" w:rsidSect="009C55CA">
          <w:footerReference w:type="default" r:id="rId8"/>
          <w:pgSz w:w="12240" w:h="15840" w:code="1"/>
          <w:pgMar w:top="1440" w:right="1440" w:bottom="864" w:left="1440" w:header="720" w:footer="720" w:gutter="0"/>
          <w:pgNumType w:fmt="lowerRoman" w:start="1"/>
          <w:cols w:space="720"/>
          <w:titlePg/>
          <w:docGrid w:linePitch="326"/>
        </w:sectPr>
      </w:pPr>
      <w:bookmarkStart w:id="10" w:name="_Toc274054935"/>
      <w:bookmarkStart w:id="11" w:name="_Toc508894844"/>
      <w:r w:rsidRPr="00BA395A">
        <w:rPr>
          <w:b/>
          <w:sz w:val="40"/>
          <w:szCs w:val="40"/>
        </w:rPr>
        <w:t>916-319-0</w:t>
      </w:r>
      <w:bookmarkEnd w:id="10"/>
      <w:bookmarkEnd w:id="11"/>
      <w:r w:rsidR="00C06924" w:rsidRPr="00BA395A">
        <w:rPr>
          <w:b/>
          <w:sz w:val="40"/>
          <w:szCs w:val="40"/>
        </w:rPr>
        <w:t>506</w:t>
      </w:r>
    </w:p>
    <w:sdt>
      <w:sdtPr>
        <w:rPr>
          <w:b/>
          <w:noProof/>
          <w:sz w:val="24"/>
        </w:rPr>
        <w:id w:val="-299999701"/>
        <w:docPartObj>
          <w:docPartGallery w:val="Table of Contents"/>
          <w:docPartUnique/>
        </w:docPartObj>
      </w:sdtPr>
      <w:sdtEndPr>
        <w:rPr>
          <w:b w:val="0"/>
          <w:noProof w:val="0"/>
        </w:rPr>
      </w:sdtEndPr>
      <w:sdtContent>
        <w:p w:rsidR="00AA454C" w:rsidRPr="00343163" w:rsidRDefault="00BB1ED5" w:rsidP="00343163">
          <w:pPr>
            <w:pStyle w:val="Heading2"/>
            <w:numPr>
              <w:ilvl w:val="0"/>
              <w:numId w:val="0"/>
            </w:numPr>
            <w:ind w:left="900"/>
            <w:rPr>
              <w:rFonts w:asciiTheme="minorHAnsi" w:eastAsiaTheme="minorEastAsia" w:hAnsiTheme="minorHAnsi" w:cstheme="minorBidi"/>
              <w:bCs w:val="0"/>
              <w:noProof/>
              <w:sz w:val="22"/>
              <w:szCs w:val="22"/>
            </w:rPr>
          </w:pPr>
          <w:r>
            <w:rPr>
              <w:b/>
              <w:szCs w:val="28"/>
            </w:rPr>
            <w:t>Table of Contents</w:t>
          </w:r>
          <w:r w:rsidR="00AA454C">
            <w:fldChar w:fldCharType="begin"/>
          </w:r>
          <w:r w:rsidR="00AA454C">
            <w:instrText xml:space="preserve"> TOC \o "1-3" \h \z \u </w:instrText>
          </w:r>
          <w:r w:rsidR="00AA454C">
            <w:fldChar w:fldCharType="separate"/>
          </w:r>
        </w:p>
        <w:p w:rsidR="00AA454C" w:rsidRDefault="007E2876" w:rsidP="00BA395A">
          <w:pPr>
            <w:pStyle w:val="TOC1"/>
            <w:rPr>
              <w:rFonts w:asciiTheme="minorHAnsi" w:eastAsiaTheme="minorEastAsia" w:hAnsiTheme="minorHAnsi" w:cstheme="minorBidi"/>
              <w:noProof/>
              <w:sz w:val="22"/>
              <w:szCs w:val="22"/>
            </w:rPr>
          </w:pPr>
          <w:hyperlink w:anchor="_Toc508894848" w:history="1">
            <w:r w:rsidR="00AA454C" w:rsidRPr="001A69A3">
              <w:rPr>
                <w:rStyle w:val="Hyperlink"/>
                <w:noProof/>
              </w:rPr>
              <w:t>I.</w:t>
            </w:r>
            <w:r w:rsidR="00AA454C">
              <w:rPr>
                <w:rFonts w:asciiTheme="minorHAnsi" w:eastAsiaTheme="minorEastAsia" w:hAnsiTheme="minorHAnsi" w:cstheme="minorBidi"/>
                <w:noProof/>
                <w:sz w:val="22"/>
                <w:szCs w:val="22"/>
              </w:rPr>
              <w:tab/>
            </w:r>
            <w:r w:rsidR="008B29FC">
              <w:rPr>
                <w:rStyle w:val="Hyperlink"/>
                <w:noProof/>
              </w:rPr>
              <w:t>Introduction</w:t>
            </w:r>
            <w:r w:rsidR="00AA454C">
              <w:rPr>
                <w:noProof/>
                <w:webHidden/>
              </w:rPr>
              <w:tab/>
            </w:r>
          </w:hyperlink>
          <w:r w:rsidR="00114CD0">
            <w:rPr>
              <w:noProof/>
            </w:rPr>
            <w:t>1</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50" w:history="1">
            <w:r w:rsidR="00AA454C" w:rsidRPr="001A69A3">
              <w:rPr>
                <w:rStyle w:val="Hyperlink"/>
                <w:noProof/>
              </w:rPr>
              <w:t>A.</w:t>
            </w:r>
            <w:r w:rsidR="00AA454C">
              <w:rPr>
                <w:rFonts w:asciiTheme="minorHAnsi" w:eastAsiaTheme="minorEastAsia" w:hAnsiTheme="minorHAnsi" w:cstheme="minorBidi"/>
                <w:bCs w:val="0"/>
                <w:noProof/>
                <w:sz w:val="22"/>
                <w:szCs w:val="22"/>
              </w:rPr>
              <w:tab/>
            </w:r>
            <w:r w:rsidR="008B29FC">
              <w:rPr>
                <w:rStyle w:val="Hyperlink"/>
                <w:noProof/>
              </w:rPr>
              <w:t>Purpose</w:t>
            </w:r>
            <w:r w:rsidR="00AA454C">
              <w:rPr>
                <w:noProof/>
                <w:webHidden/>
              </w:rPr>
              <w:tab/>
            </w:r>
            <w:r w:rsidR="00BA395A">
              <w:rPr>
                <w:noProof/>
                <w:webHidden/>
              </w:rPr>
              <w:t>1</w:t>
            </w:r>
          </w:hyperlink>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51" w:history="1">
            <w:r w:rsidR="00AA454C" w:rsidRPr="001A69A3">
              <w:rPr>
                <w:rStyle w:val="Hyperlink"/>
                <w:noProof/>
              </w:rPr>
              <w:t>B.</w:t>
            </w:r>
            <w:r w:rsidR="00AA454C">
              <w:rPr>
                <w:rFonts w:asciiTheme="minorHAnsi" w:eastAsiaTheme="minorEastAsia" w:hAnsiTheme="minorHAnsi" w:cstheme="minorBidi"/>
                <w:bCs w:val="0"/>
                <w:noProof/>
                <w:sz w:val="22"/>
                <w:szCs w:val="22"/>
              </w:rPr>
              <w:tab/>
            </w:r>
            <w:r w:rsidR="008B29FC">
              <w:rPr>
                <w:rStyle w:val="Hyperlink"/>
                <w:noProof/>
              </w:rPr>
              <w:t>Background</w:t>
            </w:r>
            <w:r w:rsidR="00AA454C">
              <w:rPr>
                <w:noProof/>
                <w:webHidden/>
              </w:rPr>
              <w:tab/>
            </w:r>
            <w:r w:rsidR="00BA395A">
              <w:rPr>
                <w:noProof/>
                <w:webHidden/>
              </w:rPr>
              <w:t>1</w:t>
            </w:r>
          </w:hyperlink>
        </w:p>
        <w:p w:rsidR="0013205E" w:rsidRDefault="007E2876">
          <w:pPr>
            <w:pStyle w:val="TOC2"/>
            <w:tabs>
              <w:tab w:val="left" w:pos="880"/>
              <w:tab w:val="right" w:leader="dot" w:pos="9350"/>
            </w:tabs>
            <w:rPr>
              <w:noProof/>
            </w:rPr>
          </w:pPr>
          <w:hyperlink w:anchor="_Toc508894852" w:history="1">
            <w:r w:rsidR="00AA454C" w:rsidRPr="001A69A3">
              <w:rPr>
                <w:rStyle w:val="Hyperlink"/>
                <w:noProof/>
              </w:rPr>
              <w:t>C.</w:t>
            </w:r>
            <w:r w:rsidR="00AA454C">
              <w:rPr>
                <w:rFonts w:asciiTheme="minorHAnsi" w:eastAsiaTheme="minorEastAsia" w:hAnsiTheme="minorHAnsi" w:cstheme="minorBidi"/>
                <w:bCs w:val="0"/>
                <w:noProof/>
                <w:sz w:val="22"/>
                <w:szCs w:val="22"/>
              </w:rPr>
              <w:tab/>
            </w:r>
            <w:r w:rsidR="008B29FC">
              <w:rPr>
                <w:rStyle w:val="Hyperlink"/>
                <w:noProof/>
              </w:rPr>
              <w:t>Grant Funding Period</w:t>
            </w:r>
            <w:r w:rsidR="00AA454C">
              <w:rPr>
                <w:noProof/>
                <w:webHidden/>
              </w:rPr>
              <w:tab/>
            </w:r>
          </w:hyperlink>
          <w:r w:rsidR="0013205E">
            <w:rPr>
              <w:noProof/>
            </w:rPr>
            <w:t>..2</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53" w:history="1">
            <w:r w:rsidR="00AA454C" w:rsidRPr="001A69A3">
              <w:rPr>
                <w:rStyle w:val="Hyperlink"/>
                <w:noProof/>
              </w:rPr>
              <w:t>D.</w:t>
            </w:r>
            <w:r w:rsidR="00AA454C">
              <w:rPr>
                <w:rFonts w:asciiTheme="minorHAnsi" w:eastAsiaTheme="minorEastAsia" w:hAnsiTheme="minorHAnsi" w:cstheme="minorBidi"/>
                <w:bCs w:val="0"/>
                <w:noProof/>
                <w:sz w:val="22"/>
                <w:szCs w:val="22"/>
              </w:rPr>
              <w:tab/>
            </w:r>
            <w:r w:rsidR="008B29FC">
              <w:rPr>
                <w:rStyle w:val="Hyperlink"/>
                <w:noProof/>
              </w:rPr>
              <w:t>Application Instructions</w:t>
            </w:r>
            <w:r w:rsidR="00AA454C">
              <w:rPr>
                <w:noProof/>
                <w:webHidden/>
              </w:rPr>
              <w:tab/>
            </w:r>
          </w:hyperlink>
          <w:r w:rsidR="0013205E">
            <w:rPr>
              <w:noProof/>
            </w:rPr>
            <w:t>2</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54" w:history="1">
            <w:r w:rsidR="00AA454C" w:rsidRPr="001A69A3">
              <w:rPr>
                <w:rStyle w:val="Hyperlink"/>
                <w:noProof/>
              </w:rPr>
              <w:t>E.</w:t>
            </w:r>
            <w:r w:rsidR="00AA454C">
              <w:rPr>
                <w:rFonts w:asciiTheme="minorHAnsi" w:eastAsiaTheme="minorEastAsia" w:hAnsiTheme="minorHAnsi" w:cstheme="minorBidi"/>
                <w:bCs w:val="0"/>
                <w:noProof/>
                <w:sz w:val="22"/>
                <w:szCs w:val="22"/>
              </w:rPr>
              <w:tab/>
            </w:r>
            <w:r w:rsidR="008B29FC">
              <w:rPr>
                <w:rStyle w:val="Hyperlink"/>
                <w:noProof/>
              </w:rPr>
              <w:t>Required Assurances</w:t>
            </w:r>
            <w:r w:rsidR="00AA454C">
              <w:rPr>
                <w:noProof/>
                <w:webHidden/>
              </w:rPr>
              <w:tab/>
            </w:r>
          </w:hyperlink>
          <w:r w:rsidR="0013205E">
            <w:rPr>
              <w:noProof/>
            </w:rPr>
            <w:t>3</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55" w:history="1">
            <w:r w:rsidR="00AA454C" w:rsidRPr="001A69A3">
              <w:rPr>
                <w:rStyle w:val="Hyperlink"/>
                <w:noProof/>
              </w:rPr>
              <w:t>F.</w:t>
            </w:r>
            <w:r w:rsidR="00AA454C">
              <w:rPr>
                <w:rFonts w:asciiTheme="minorHAnsi" w:eastAsiaTheme="minorEastAsia" w:hAnsiTheme="minorHAnsi" w:cstheme="minorBidi"/>
                <w:bCs w:val="0"/>
                <w:noProof/>
                <w:sz w:val="22"/>
                <w:szCs w:val="22"/>
              </w:rPr>
              <w:tab/>
            </w:r>
            <w:r w:rsidR="008B29FC">
              <w:rPr>
                <w:rStyle w:val="Hyperlink"/>
                <w:noProof/>
              </w:rPr>
              <w:t>Other Required Forms</w:t>
            </w:r>
            <w:r w:rsidR="00AA454C">
              <w:rPr>
                <w:noProof/>
                <w:webHidden/>
              </w:rPr>
              <w:tab/>
            </w:r>
          </w:hyperlink>
          <w:r w:rsidR="0013205E">
            <w:rPr>
              <w:noProof/>
            </w:rPr>
            <w:t>3</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57" w:history="1">
            <w:r w:rsidR="008B29FC">
              <w:rPr>
                <w:rStyle w:val="Hyperlink"/>
                <w:noProof/>
              </w:rPr>
              <w:t>G</w:t>
            </w:r>
            <w:r w:rsidR="00AA454C" w:rsidRPr="001A69A3">
              <w:rPr>
                <w:rStyle w:val="Hyperlink"/>
                <w:noProof/>
              </w:rPr>
              <w:t>.</w:t>
            </w:r>
            <w:r w:rsidR="00AA454C">
              <w:rPr>
                <w:rFonts w:asciiTheme="minorHAnsi" w:eastAsiaTheme="minorEastAsia" w:hAnsiTheme="minorHAnsi" w:cstheme="minorBidi"/>
                <w:bCs w:val="0"/>
                <w:noProof/>
                <w:sz w:val="22"/>
                <w:szCs w:val="22"/>
              </w:rPr>
              <w:tab/>
            </w:r>
            <w:r w:rsidR="008B29FC">
              <w:rPr>
                <w:rStyle w:val="Hyperlink"/>
                <w:noProof/>
              </w:rPr>
              <w:t>Revisions to the Comprehensive Plan</w:t>
            </w:r>
            <w:r w:rsidR="00AA454C">
              <w:rPr>
                <w:noProof/>
                <w:webHidden/>
              </w:rPr>
              <w:tab/>
            </w:r>
          </w:hyperlink>
          <w:r w:rsidR="0013205E">
            <w:rPr>
              <w:noProof/>
            </w:rPr>
            <w:t>4</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58" w:history="1">
            <w:r w:rsidR="008B29FC">
              <w:rPr>
                <w:rStyle w:val="Hyperlink"/>
                <w:noProof/>
              </w:rPr>
              <w:t>H</w:t>
            </w:r>
            <w:r w:rsidR="00AA454C" w:rsidRPr="001A69A3">
              <w:rPr>
                <w:rStyle w:val="Hyperlink"/>
                <w:noProof/>
              </w:rPr>
              <w:t>.</w:t>
            </w:r>
            <w:r w:rsidR="00AA454C">
              <w:rPr>
                <w:rFonts w:asciiTheme="minorHAnsi" w:eastAsiaTheme="minorEastAsia" w:hAnsiTheme="minorHAnsi" w:cstheme="minorBidi"/>
                <w:bCs w:val="0"/>
                <w:noProof/>
                <w:sz w:val="22"/>
                <w:szCs w:val="22"/>
              </w:rPr>
              <w:tab/>
            </w:r>
            <w:r w:rsidR="008B29FC">
              <w:rPr>
                <w:rStyle w:val="Hyperlink"/>
                <w:noProof/>
              </w:rPr>
              <w:t>Grant Funding Procedures</w:t>
            </w:r>
            <w:r w:rsidR="00AA454C">
              <w:rPr>
                <w:noProof/>
                <w:webHidden/>
              </w:rPr>
              <w:tab/>
            </w:r>
          </w:hyperlink>
          <w:r w:rsidR="0013205E">
            <w:rPr>
              <w:noProof/>
            </w:rPr>
            <w:t>4</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59" w:history="1">
            <w:r w:rsidR="008B29FC">
              <w:rPr>
                <w:rStyle w:val="Hyperlink"/>
                <w:caps/>
                <w:noProof/>
              </w:rPr>
              <w:t>I</w:t>
            </w:r>
            <w:r w:rsidR="00AA454C" w:rsidRPr="001A69A3">
              <w:rPr>
                <w:rStyle w:val="Hyperlink"/>
                <w:caps/>
                <w:noProof/>
              </w:rPr>
              <w:t>.</w:t>
            </w:r>
            <w:r w:rsidR="00AA454C">
              <w:rPr>
                <w:rFonts w:asciiTheme="minorHAnsi" w:eastAsiaTheme="minorEastAsia" w:hAnsiTheme="minorHAnsi" w:cstheme="minorBidi"/>
                <w:bCs w:val="0"/>
                <w:noProof/>
                <w:sz w:val="22"/>
                <w:szCs w:val="22"/>
              </w:rPr>
              <w:tab/>
            </w:r>
            <w:r w:rsidR="008B29FC">
              <w:rPr>
                <w:rStyle w:val="Hyperlink"/>
                <w:noProof/>
              </w:rPr>
              <w:t>California Healthy Kids Survey</w:t>
            </w:r>
            <w:r w:rsidR="00AA454C">
              <w:rPr>
                <w:noProof/>
                <w:webHidden/>
              </w:rPr>
              <w:tab/>
            </w:r>
          </w:hyperlink>
          <w:r w:rsidR="0013205E">
            <w:rPr>
              <w:noProof/>
            </w:rPr>
            <w:t>4</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60" w:history="1">
            <w:r w:rsidR="008B29FC">
              <w:rPr>
                <w:rStyle w:val="Hyperlink"/>
                <w:noProof/>
              </w:rPr>
              <w:t>J</w:t>
            </w:r>
            <w:r w:rsidR="00AA454C" w:rsidRPr="001A69A3">
              <w:rPr>
                <w:rStyle w:val="Hyperlink"/>
                <w:noProof/>
              </w:rPr>
              <w:t>.</w:t>
            </w:r>
            <w:r w:rsidR="00AA454C">
              <w:rPr>
                <w:rFonts w:asciiTheme="minorHAnsi" w:eastAsiaTheme="minorEastAsia" w:hAnsiTheme="minorHAnsi" w:cstheme="minorBidi"/>
                <w:bCs w:val="0"/>
                <w:noProof/>
                <w:sz w:val="22"/>
                <w:szCs w:val="22"/>
              </w:rPr>
              <w:tab/>
            </w:r>
            <w:r w:rsidR="008B29FC">
              <w:rPr>
                <w:rStyle w:val="Hyperlink"/>
                <w:noProof/>
              </w:rPr>
              <w:t>Program Budget</w:t>
            </w:r>
            <w:r w:rsidR="00AA454C">
              <w:rPr>
                <w:noProof/>
                <w:webHidden/>
              </w:rPr>
              <w:tab/>
            </w:r>
          </w:hyperlink>
          <w:r w:rsidR="0013205E">
            <w:rPr>
              <w:noProof/>
            </w:rPr>
            <w:t>5</w:t>
          </w:r>
        </w:p>
        <w:p w:rsidR="00AA454C" w:rsidRPr="00AA454C" w:rsidRDefault="008B29FC" w:rsidP="00F41CB2">
          <w:pPr>
            <w:pStyle w:val="TOC3"/>
            <w:rPr>
              <w:rFonts w:asciiTheme="minorHAnsi" w:eastAsiaTheme="minorEastAsia" w:hAnsiTheme="minorHAnsi" w:cstheme="minorBidi"/>
              <w:sz w:val="22"/>
              <w:szCs w:val="22"/>
            </w:rPr>
          </w:pPr>
          <w:r>
            <w:rPr>
              <w:rStyle w:val="Hyperlink"/>
              <w:color w:val="auto"/>
              <w:u w:val="none"/>
            </w:rPr>
            <w:t>K</w:t>
          </w:r>
          <w:r w:rsidR="00AA454C" w:rsidRPr="00AA454C">
            <w:rPr>
              <w:rStyle w:val="Hyperlink"/>
              <w:color w:val="auto"/>
              <w:u w:val="none"/>
            </w:rPr>
            <w:t>.</w:t>
          </w:r>
          <w:r w:rsidR="000F435D">
            <w:rPr>
              <w:rStyle w:val="Hyperlink"/>
              <w:color w:val="auto"/>
              <w:u w:val="none"/>
            </w:rPr>
            <w:tab/>
          </w:r>
          <w:r>
            <w:rPr>
              <w:rStyle w:val="Hyperlink"/>
              <w:color w:val="auto"/>
              <w:u w:val="none"/>
            </w:rPr>
            <w:t>Allowable and Reasonable Costs</w:t>
          </w:r>
          <w:r w:rsidR="00AA454C">
            <w:rPr>
              <w:rStyle w:val="Hyperlink"/>
              <w:color w:val="auto"/>
              <w:u w:val="none"/>
            </w:rPr>
            <w:tab/>
          </w:r>
          <w:r w:rsidR="0013205E">
            <w:rPr>
              <w:rStyle w:val="Hyperlink"/>
              <w:color w:val="auto"/>
              <w:u w:val="none"/>
            </w:rPr>
            <w:t>9</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62" w:history="1">
            <w:r w:rsidR="008B29FC">
              <w:rPr>
                <w:rStyle w:val="Hyperlink"/>
                <w:noProof/>
              </w:rPr>
              <w:t>L</w:t>
            </w:r>
            <w:r w:rsidR="00AA454C" w:rsidRPr="001A69A3">
              <w:rPr>
                <w:rStyle w:val="Hyperlink"/>
                <w:noProof/>
              </w:rPr>
              <w:t>.</w:t>
            </w:r>
            <w:r w:rsidR="00AA454C">
              <w:rPr>
                <w:rFonts w:asciiTheme="minorHAnsi" w:eastAsiaTheme="minorEastAsia" w:hAnsiTheme="minorHAnsi" w:cstheme="minorBidi"/>
                <w:bCs w:val="0"/>
                <w:noProof/>
                <w:sz w:val="22"/>
                <w:szCs w:val="22"/>
              </w:rPr>
              <w:tab/>
            </w:r>
            <w:r w:rsidR="008B29FC">
              <w:rPr>
                <w:rStyle w:val="Hyperlink"/>
                <w:noProof/>
              </w:rPr>
              <w:t>Unallowable Costs</w:t>
            </w:r>
            <w:r w:rsidR="00AA454C">
              <w:rPr>
                <w:noProof/>
                <w:webHidden/>
              </w:rPr>
              <w:tab/>
            </w:r>
          </w:hyperlink>
          <w:r w:rsidR="0013205E">
            <w:rPr>
              <w:noProof/>
            </w:rPr>
            <w:t>10</w:t>
          </w:r>
        </w:p>
        <w:p w:rsidR="00AA454C" w:rsidRDefault="007E2876" w:rsidP="00BA395A">
          <w:pPr>
            <w:pStyle w:val="TOC2"/>
            <w:tabs>
              <w:tab w:val="left" w:pos="880"/>
              <w:tab w:val="right" w:leader="dot" w:pos="9350"/>
            </w:tabs>
            <w:spacing w:after="240"/>
            <w:ind w:left="245"/>
            <w:rPr>
              <w:rFonts w:asciiTheme="minorHAnsi" w:eastAsiaTheme="minorEastAsia" w:hAnsiTheme="minorHAnsi" w:cstheme="minorBidi"/>
              <w:bCs w:val="0"/>
              <w:noProof/>
              <w:sz w:val="22"/>
              <w:szCs w:val="22"/>
            </w:rPr>
          </w:pPr>
          <w:hyperlink w:anchor="_Toc508894864" w:history="1">
            <w:r w:rsidR="00732EFE">
              <w:rPr>
                <w:rStyle w:val="Hyperlink"/>
                <w:caps/>
                <w:noProof/>
              </w:rPr>
              <w:t>M</w:t>
            </w:r>
            <w:r w:rsidR="00AA454C" w:rsidRPr="001A69A3">
              <w:rPr>
                <w:rStyle w:val="Hyperlink"/>
                <w:caps/>
                <w:noProof/>
              </w:rPr>
              <w:t>.</w:t>
            </w:r>
            <w:r w:rsidR="00AA454C">
              <w:rPr>
                <w:rFonts w:asciiTheme="minorHAnsi" w:eastAsiaTheme="minorEastAsia" w:hAnsiTheme="minorHAnsi" w:cstheme="minorBidi"/>
                <w:bCs w:val="0"/>
                <w:noProof/>
                <w:sz w:val="22"/>
                <w:szCs w:val="22"/>
              </w:rPr>
              <w:tab/>
            </w:r>
            <w:r w:rsidR="00732EFE">
              <w:rPr>
                <w:rStyle w:val="Hyperlink"/>
                <w:noProof/>
              </w:rPr>
              <w:t>Costs Requiring California Department of Education Approval</w:t>
            </w:r>
            <w:r w:rsidR="00AA454C">
              <w:rPr>
                <w:noProof/>
                <w:webHidden/>
              </w:rPr>
              <w:tab/>
            </w:r>
          </w:hyperlink>
          <w:r w:rsidR="0013205E">
            <w:rPr>
              <w:noProof/>
            </w:rPr>
            <w:t>11</w:t>
          </w:r>
        </w:p>
        <w:p w:rsidR="00AA454C" w:rsidRDefault="007E2876" w:rsidP="00BA395A">
          <w:pPr>
            <w:pStyle w:val="TOC1"/>
            <w:rPr>
              <w:rFonts w:asciiTheme="minorHAnsi" w:eastAsiaTheme="minorEastAsia" w:hAnsiTheme="minorHAnsi" w:cstheme="minorBidi"/>
              <w:noProof/>
              <w:sz w:val="22"/>
              <w:szCs w:val="22"/>
            </w:rPr>
          </w:pPr>
          <w:hyperlink w:anchor="_Toc508894869" w:history="1">
            <w:r w:rsidR="00732EFE">
              <w:rPr>
                <w:rStyle w:val="Hyperlink"/>
                <w:noProof/>
              </w:rPr>
              <w:t>II</w:t>
            </w:r>
            <w:r w:rsidR="00AA454C" w:rsidRPr="001A69A3">
              <w:rPr>
                <w:rStyle w:val="Hyperlink"/>
                <w:noProof/>
              </w:rPr>
              <w:t>.</w:t>
            </w:r>
            <w:r w:rsidR="00AA454C">
              <w:rPr>
                <w:rFonts w:asciiTheme="minorHAnsi" w:eastAsiaTheme="minorEastAsia" w:hAnsiTheme="minorHAnsi" w:cstheme="minorBidi"/>
                <w:noProof/>
                <w:sz w:val="22"/>
                <w:szCs w:val="22"/>
              </w:rPr>
              <w:tab/>
            </w:r>
            <w:r w:rsidR="00732EFE">
              <w:rPr>
                <w:rStyle w:val="Hyperlink"/>
                <w:noProof/>
              </w:rPr>
              <w:t>Budget Revisions, Fiscal, and Programmatic Reporting Requirements</w:t>
            </w:r>
            <w:r w:rsidR="00AA454C">
              <w:rPr>
                <w:noProof/>
                <w:webHidden/>
              </w:rPr>
              <w:tab/>
            </w:r>
          </w:hyperlink>
          <w:r w:rsidR="0013205E">
            <w:rPr>
              <w:noProof/>
            </w:rPr>
            <w:t>12</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70" w:history="1">
            <w:r w:rsidR="00AA454C" w:rsidRPr="001A69A3">
              <w:rPr>
                <w:rStyle w:val="Hyperlink"/>
                <w:noProof/>
              </w:rPr>
              <w:t>A.</w:t>
            </w:r>
            <w:r w:rsidR="00AA454C">
              <w:rPr>
                <w:rFonts w:asciiTheme="minorHAnsi" w:eastAsiaTheme="minorEastAsia" w:hAnsiTheme="minorHAnsi" w:cstheme="minorBidi"/>
                <w:bCs w:val="0"/>
                <w:noProof/>
                <w:sz w:val="22"/>
                <w:szCs w:val="22"/>
              </w:rPr>
              <w:tab/>
            </w:r>
            <w:r w:rsidR="00732EFE">
              <w:rPr>
                <w:rStyle w:val="Hyperlink"/>
                <w:noProof/>
              </w:rPr>
              <w:t>Fiscal Accountability Requirements</w:t>
            </w:r>
            <w:r w:rsidR="00AA454C">
              <w:rPr>
                <w:noProof/>
                <w:webHidden/>
              </w:rPr>
              <w:tab/>
            </w:r>
          </w:hyperlink>
          <w:r w:rsidR="0013205E">
            <w:rPr>
              <w:noProof/>
            </w:rPr>
            <w:t>12</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71" w:history="1">
            <w:r w:rsidR="00AA454C" w:rsidRPr="001A69A3">
              <w:rPr>
                <w:rStyle w:val="Hyperlink"/>
                <w:noProof/>
              </w:rPr>
              <w:t>B.</w:t>
            </w:r>
            <w:r w:rsidR="00AA454C">
              <w:rPr>
                <w:rFonts w:asciiTheme="minorHAnsi" w:eastAsiaTheme="minorEastAsia" w:hAnsiTheme="minorHAnsi" w:cstheme="minorBidi"/>
                <w:bCs w:val="0"/>
                <w:noProof/>
                <w:sz w:val="22"/>
                <w:szCs w:val="22"/>
              </w:rPr>
              <w:tab/>
            </w:r>
            <w:r w:rsidR="00732EFE">
              <w:rPr>
                <w:rStyle w:val="Hyperlink"/>
                <w:noProof/>
              </w:rPr>
              <w:t>Financial Management Standards</w:t>
            </w:r>
            <w:r w:rsidR="00AA454C">
              <w:rPr>
                <w:noProof/>
                <w:webHidden/>
              </w:rPr>
              <w:tab/>
            </w:r>
          </w:hyperlink>
          <w:r w:rsidR="0013205E">
            <w:rPr>
              <w:noProof/>
            </w:rPr>
            <w:t>12</w:t>
          </w:r>
        </w:p>
        <w:p w:rsidR="00AA454C" w:rsidRDefault="007E2876">
          <w:pPr>
            <w:pStyle w:val="TOC2"/>
            <w:tabs>
              <w:tab w:val="left" w:pos="880"/>
              <w:tab w:val="right" w:leader="dot" w:pos="9350"/>
            </w:tabs>
            <w:rPr>
              <w:rFonts w:asciiTheme="minorHAnsi" w:eastAsiaTheme="minorEastAsia" w:hAnsiTheme="minorHAnsi" w:cstheme="minorBidi"/>
              <w:bCs w:val="0"/>
              <w:noProof/>
              <w:sz w:val="22"/>
              <w:szCs w:val="22"/>
            </w:rPr>
          </w:pPr>
          <w:hyperlink w:anchor="_Toc508894872" w:history="1">
            <w:r w:rsidR="00AA454C" w:rsidRPr="001A69A3">
              <w:rPr>
                <w:rStyle w:val="Hyperlink"/>
                <w:noProof/>
              </w:rPr>
              <w:t>C.</w:t>
            </w:r>
            <w:r w:rsidR="00AA454C">
              <w:rPr>
                <w:rFonts w:asciiTheme="minorHAnsi" w:eastAsiaTheme="minorEastAsia" w:hAnsiTheme="minorHAnsi" w:cstheme="minorBidi"/>
                <w:bCs w:val="0"/>
                <w:noProof/>
                <w:sz w:val="22"/>
                <w:szCs w:val="22"/>
              </w:rPr>
              <w:tab/>
            </w:r>
            <w:r w:rsidR="00732EFE">
              <w:rPr>
                <w:rStyle w:val="Hyperlink"/>
                <w:noProof/>
              </w:rPr>
              <w:t>Internal Control Standards</w:t>
            </w:r>
            <w:r w:rsidR="00AA454C">
              <w:rPr>
                <w:noProof/>
                <w:webHidden/>
              </w:rPr>
              <w:tab/>
            </w:r>
          </w:hyperlink>
          <w:r w:rsidR="0013205E">
            <w:rPr>
              <w:noProof/>
            </w:rPr>
            <w:t>14</w:t>
          </w:r>
        </w:p>
        <w:p w:rsidR="00AA454C" w:rsidRDefault="007E2876" w:rsidP="00AA454C">
          <w:pPr>
            <w:pStyle w:val="TOC2"/>
            <w:tabs>
              <w:tab w:val="left" w:pos="880"/>
              <w:tab w:val="right" w:leader="dot" w:pos="9350"/>
            </w:tabs>
            <w:rPr>
              <w:noProof/>
            </w:rPr>
          </w:pPr>
          <w:hyperlink w:anchor="_Toc508894864" w:history="1">
            <w:r w:rsidR="00732EFE">
              <w:rPr>
                <w:rStyle w:val="Hyperlink"/>
                <w:caps/>
                <w:noProof/>
              </w:rPr>
              <w:t>D</w:t>
            </w:r>
            <w:r w:rsidR="00AA454C" w:rsidRPr="001A69A3">
              <w:rPr>
                <w:rStyle w:val="Hyperlink"/>
                <w:caps/>
                <w:noProof/>
              </w:rPr>
              <w:t>.</w:t>
            </w:r>
            <w:r w:rsidR="00AA454C">
              <w:rPr>
                <w:rFonts w:asciiTheme="minorHAnsi" w:eastAsiaTheme="minorEastAsia" w:hAnsiTheme="minorHAnsi" w:cstheme="minorBidi"/>
                <w:bCs w:val="0"/>
                <w:noProof/>
                <w:sz w:val="22"/>
                <w:szCs w:val="22"/>
              </w:rPr>
              <w:tab/>
            </w:r>
            <w:r w:rsidR="00732EFE">
              <w:rPr>
                <w:rStyle w:val="Hyperlink"/>
                <w:noProof/>
              </w:rPr>
              <w:t>Audit Standards</w:t>
            </w:r>
            <w:r w:rsidR="00AA454C">
              <w:rPr>
                <w:rStyle w:val="Hyperlink"/>
                <w:noProof/>
              </w:rPr>
              <w:tab/>
            </w:r>
          </w:hyperlink>
          <w:r w:rsidR="00766B98">
            <w:rPr>
              <w:noProof/>
            </w:rPr>
            <w:t>1</w:t>
          </w:r>
          <w:r w:rsidR="0013205E">
            <w:rPr>
              <w:noProof/>
            </w:rPr>
            <w:t>6</w:t>
          </w:r>
        </w:p>
        <w:p w:rsidR="005745C1" w:rsidRPr="0013205E" w:rsidRDefault="007E2876" w:rsidP="005745C1">
          <w:pPr>
            <w:pStyle w:val="TOC2"/>
            <w:tabs>
              <w:tab w:val="left" w:pos="880"/>
              <w:tab w:val="right" w:leader="dot" w:pos="9350"/>
            </w:tabs>
            <w:rPr>
              <w:rFonts w:asciiTheme="minorHAnsi" w:eastAsiaTheme="minorEastAsia" w:hAnsiTheme="minorHAnsi" w:cstheme="minorBidi"/>
              <w:bCs w:val="0"/>
              <w:noProof/>
              <w:sz w:val="22"/>
              <w:szCs w:val="22"/>
            </w:rPr>
          </w:pPr>
          <w:hyperlink w:anchor="_Toc508894864" w:history="1">
            <w:r w:rsidR="00732EFE">
              <w:rPr>
                <w:rStyle w:val="Hyperlink"/>
                <w:caps/>
                <w:noProof/>
              </w:rPr>
              <w:t>E</w:t>
            </w:r>
            <w:r w:rsidR="005745C1" w:rsidRPr="001A69A3">
              <w:rPr>
                <w:rStyle w:val="Hyperlink"/>
                <w:caps/>
                <w:noProof/>
              </w:rPr>
              <w:t>.</w:t>
            </w:r>
            <w:r w:rsidR="005745C1">
              <w:rPr>
                <w:rFonts w:asciiTheme="minorHAnsi" w:eastAsiaTheme="minorEastAsia" w:hAnsiTheme="minorHAnsi" w:cstheme="minorBidi"/>
                <w:bCs w:val="0"/>
                <w:noProof/>
                <w:sz w:val="22"/>
                <w:szCs w:val="22"/>
              </w:rPr>
              <w:tab/>
            </w:r>
            <w:r w:rsidR="00732EFE">
              <w:rPr>
                <w:rStyle w:val="Hyperlink"/>
                <w:noProof/>
              </w:rPr>
              <w:t>References</w:t>
            </w:r>
            <w:r w:rsidR="005745C1">
              <w:rPr>
                <w:rStyle w:val="Hyperlink"/>
                <w:noProof/>
              </w:rPr>
              <w:tab/>
            </w:r>
            <w:r w:rsidR="00766B98">
              <w:rPr>
                <w:rStyle w:val="Hyperlink"/>
                <w:noProof/>
              </w:rPr>
              <w:t>1</w:t>
            </w:r>
          </w:hyperlink>
          <w:r w:rsidR="0013205E" w:rsidRPr="0013205E">
            <w:rPr>
              <w:rStyle w:val="Hyperlink"/>
              <w:noProof/>
              <w:color w:val="auto"/>
              <w:u w:val="none"/>
            </w:rPr>
            <w:t>6</w:t>
          </w:r>
        </w:p>
        <w:p w:rsidR="00AA454C" w:rsidRDefault="007E2876" w:rsidP="00AA454C">
          <w:pPr>
            <w:pStyle w:val="TOC2"/>
            <w:tabs>
              <w:tab w:val="left" w:pos="880"/>
              <w:tab w:val="right" w:leader="dot" w:pos="9350"/>
            </w:tabs>
            <w:rPr>
              <w:rFonts w:asciiTheme="minorHAnsi" w:eastAsiaTheme="minorEastAsia" w:hAnsiTheme="minorHAnsi" w:cstheme="minorBidi"/>
              <w:bCs w:val="0"/>
              <w:noProof/>
              <w:sz w:val="22"/>
              <w:szCs w:val="22"/>
            </w:rPr>
          </w:pPr>
          <w:hyperlink w:anchor="_Toc508894866" w:history="1">
            <w:r w:rsidR="00732EFE">
              <w:rPr>
                <w:rStyle w:val="Hyperlink"/>
                <w:noProof/>
              </w:rPr>
              <w:t>F</w:t>
            </w:r>
            <w:r w:rsidR="00AA454C" w:rsidRPr="001A69A3">
              <w:rPr>
                <w:rStyle w:val="Hyperlink"/>
                <w:noProof/>
              </w:rPr>
              <w:t>.</w:t>
            </w:r>
            <w:r w:rsidR="00AA454C">
              <w:rPr>
                <w:rFonts w:asciiTheme="minorHAnsi" w:eastAsiaTheme="minorEastAsia" w:hAnsiTheme="minorHAnsi" w:cstheme="minorBidi"/>
                <w:bCs w:val="0"/>
                <w:noProof/>
                <w:sz w:val="22"/>
                <w:szCs w:val="22"/>
              </w:rPr>
              <w:tab/>
            </w:r>
            <w:r w:rsidR="00732EFE">
              <w:rPr>
                <w:rStyle w:val="Hyperlink"/>
                <w:noProof/>
              </w:rPr>
              <w:t>Application Budget Revisions</w:t>
            </w:r>
            <w:r w:rsidR="00AA454C">
              <w:rPr>
                <w:noProof/>
                <w:webHidden/>
              </w:rPr>
              <w:tab/>
            </w:r>
          </w:hyperlink>
          <w:r w:rsidR="00766B98">
            <w:rPr>
              <w:noProof/>
            </w:rPr>
            <w:t>1</w:t>
          </w:r>
          <w:r w:rsidR="0013205E">
            <w:rPr>
              <w:noProof/>
            </w:rPr>
            <w:t>6</w:t>
          </w:r>
        </w:p>
        <w:p w:rsidR="00AA454C" w:rsidRDefault="007E2876" w:rsidP="00AA454C">
          <w:pPr>
            <w:pStyle w:val="TOC2"/>
            <w:tabs>
              <w:tab w:val="left" w:pos="880"/>
              <w:tab w:val="right" w:leader="dot" w:pos="9350"/>
            </w:tabs>
            <w:rPr>
              <w:rFonts w:asciiTheme="minorHAnsi" w:eastAsiaTheme="minorEastAsia" w:hAnsiTheme="minorHAnsi" w:cstheme="minorBidi"/>
              <w:bCs w:val="0"/>
              <w:noProof/>
              <w:sz w:val="22"/>
              <w:szCs w:val="22"/>
            </w:rPr>
          </w:pPr>
          <w:hyperlink w:anchor="_Toc508894867" w:history="1">
            <w:r w:rsidR="00732EFE">
              <w:rPr>
                <w:rStyle w:val="Hyperlink"/>
                <w:noProof/>
              </w:rPr>
              <w:t>G</w:t>
            </w:r>
            <w:r w:rsidR="00AA454C" w:rsidRPr="001A69A3">
              <w:rPr>
                <w:rStyle w:val="Hyperlink"/>
                <w:noProof/>
              </w:rPr>
              <w:t>.</w:t>
            </w:r>
            <w:r w:rsidR="00AA454C">
              <w:rPr>
                <w:rFonts w:asciiTheme="minorHAnsi" w:eastAsiaTheme="minorEastAsia" w:hAnsiTheme="minorHAnsi" w:cstheme="minorBidi"/>
                <w:bCs w:val="0"/>
                <w:noProof/>
                <w:sz w:val="22"/>
                <w:szCs w:val="22"/>
              </w:rPr>
              <w:tab/>
            </w:r>
            <w:r w:rsidR="00732EFE">
              <w:rPr>
                <w:rStyle w:val="Hyperlink"/>
                <w:noProof/>
              </w:rPr>
              <w:t>Reporting Requirements</w:t>
            </w:r>
            <w:r w:rsidR="00AA454C">
              <w:rPr>
                <w:noProof/>
                <w:webHidden/>
              </w:rPr>
              <w:tab/>
            </w:r>
          </w:hyperlink>
          <w:r w:rsidR="00766B98">
            <w:rPr>
              <w:noProof/>
            </w:rPr>
            <w:t>1</w:t>
          </w:r>
          <w:r w:rsidR="0013205E">
            <w:rPr>
              <w:noProof/>
            </w:rPr>
            <w:t>7</w:t>
          </w:r>
        </w:p>
        <w:p w:rsidR="00AA454C" w:rsidRDefault="007E2876" w:rsidP="00AA454C">
          <w:pPr>
            <w:pStyle w:val="TOC2"/>
            <w:tabs>
              <w:tab w:val="left" w:pos="880"/>
              <w:tab w:val="right" w:leader="dot" w:pos="9350"/>
            </w:tabs>
            <w:rPr>
              <w:rStyle w:val="Hyperlink"/>
              <w:noProof/>
              <w:color w:val="auto"/>
              <w:u w:val="none"/>
            </w:rPr>
          </w:pPr>
          <w:hyperlink w:anchor="_Toc508894868" w:history="1">
            <w:r w:rsidR="00732EFE">
              <w:rPr>
                <w:rStyle w:val="Hyperlink"/>
                <w:noProof/>
              </w:rPr>
              <w:t>H</w:t>
            </w:r>
            <w:r w:rsidR="00AA454C" w:rsidRPr="001A69A3">
              <w:rPr>
                <w:rStyle w:val="Hyperlink"/>
                <w:noProof/>
              </w:rPr>
              <w:t>.</w:t>
            </w:r>
            <w:r w:rsidR="00AA454C">
              <w:rPr>
                <w:rFonts w:asciiTheme="minorHAnsi" w:eastAsiaTheme="minorEastAsia" w:hAnsiTheme="minorHAnsi" w:cstheme="minorBidi"/>
                <w:bCs w:val="0"/>
                <w:noProof/>
                <w:sz w:val="22"/>
                <w:szCs w:val="22"/>
              </w:rPr>
              <w:tab/>
            </w:r>
            <w:r w:rsidR="00732EFE">
              <w:rPr>
                <w:rStyle w:val="Hyperlink"/>
                <w:noProof/>
              </w:rPr>
              <w:t>Programmatic Reporting</w:t>
            </w:r>
            <w:r w:rsidR="00AA454C">
              <w:rPr>
                <w:noProof/>
                <w:webHidden/>
              </w:rPr>
              <w:tab/>
            </w:r>
          </w:hyperlink>
          <w:r w:rsidR="00766B98">
            <w:rPr>
              <w:noProof/>
            </w:rPr>
            <w:t>1</w:t>
          </w:r>
          <w:r w:rsidR="0013205E">
            <w:rPr>
              <w:noProof/>
            </w:rPr>
            <w:t>7</w:t>
          </w:r>
        </w:p>
        <w:p w:rsidR="0019656E" w:rsidRDefault="007E2876" w:rsidP="00F41CB2">
          <w:pPr>
            <w:pStyle w:val="TOC2"/>
            <w:tabs>
              <w:tab w:val="left" w:pos="880"/>
              <w:tab w:val="right" w:leader="dot" w:pos="9350"/>
            </w:tabs>
            <w:spacing w:after="240"/>
            <w:ind w:left="245"/>
            <w:rPr>
              <w:rFonts w:asciiTheme="minorHAnsi" w:eastAsiaTheme="minorEastAsia" w:hAnsiTheme="minorHAnsi" w:cstheme="minorBidi"/>
              <w:bCs w:val="0"/>
              <w:noProof/>
              <w:sz w:val="22"/>
              <w:szCs w:val="22"/>
            </w:rPr>
          </w:pPr>
          <w:hyperlink w:anchor="_Toc508894867" w:history="1">
            <w:r w:rsidR="00732EFE">
              <w:rPr>
                <w:rStyle w:val="Hyperlink"/>
                <w:noProof/>
              </w:rPr>
              <w:t>I</w:t>
            </w:r>
            <w:r w:rsidR="0019656E" w:rsidRPr="001A69A3">
              <w:rPr>
                <w:rStyle w:val="Hyperlink"/>
                <w:noProof/>
              </w:rPr>
              <w:t>.</w:t>
            </w:r>
            <w:r w:rsidR="0019656E">
              <w:rPr>
                <w:rFonts w:asciiTheme="minorHAnsi" w:eastAsiaTheme="minorEastAsia" w:hAnsiTheme="minorHAnsi" w:cstheme="minorBidi"/>
                <w:bCs w:val="0"/>
                <w:noProof/>
                <w:sz w:val="22"/>
                <w:szCs w:val="22"/>
              </w:rPr>
              <w:tab/>
            </w:r>
            <w:r w:rsidR="00732EFE">
              <w:rPr>
                <w:rStyle w:val="Hyperlink"/>
                <w:noProof/>
              </w:rPr>
              <w:t>Fiscal Reporting</w:t>
            </w:r>
            <w:r w:rsidR="0019656E">
              <w:rPr>
                <w:noProof/>
                <w:webHidden/>
              </w:rPr>
              <w:tab/>
            </w:r>
          </w:hyperlink>
          <w:r w:rsidR="00766B98">
            <w:rPr>
              <w:noProof/>
            </w:rPr>
            <w:t>18</w:t>
          </w:r>
        </w:p>
        <w:p w:rsidR="0019656E" w:rsidRPr="0019656E" w:rsidRDefault="0019656E" w:rsidP="00BA395A">
          <w:pPr>
            <w:tabs>
              <w:tab w:val="left" w:pos="540"/>
            </w:tabs>
            <w:spacing w:after="100"/>
            <w:rPr>
              <w:rFonts w:eastAsiaTheme="minorEastAsia"/>
              <w:noProof/>
            </w:rPr>
          </w:pPr>
          <w:r>
            <w:rPr>
              <w:rFonts w:eastAsiaTheme="minorEastAsia"/>
              <w:noProof/>
            </w:rPr>
            <w:t>A</w:t>
          </w:r>
          <w:r w:rsidR="00BA395A">
            <w:rPr>
              <w:rFonts w:eastAsiaTheme="minorEastAsia"/>
              <w:noProof/>
            </w:rPr>
            <w:t>ttachments</w:t>
          </w:r>
        </w:p>
        <w:p w:rsidR="00AA454C" w:rsidRDefault="007E2876" w:rsidP="000F435D">
          <w:pPr>
            <w:pStyle w:val="TOC2"/>
            <w:tabs>
              <w:tab w:val="right" w:leader="dot" w:pos="9350"/>
            </w:tabs>
            <w:ind w:left="225"/>
            <w:rPr>
              <w:rFonts w:asciiTheme="minorHAnsi" w:eastAsiaTheme="minorEastAsia" w:hAnsiTheme="minorHAnsi" w:cstheme="minorBidi"/>
              <w:bCs w:val="0"/>
              <w:noProof/>
              <w:sz w:val="22"/>
              <w:szCs w:val="22"/>
            </w:rPr>
          </w:pPr>
          <w:hyperlink w:anchor="_Toc508894876" w:history="1">
            <w:r w:rsidR="00F41CB2">
              <w:rPr>
                <w:rStyle w:val="Hyperlink"/>
                <w:noProof/>
              </w:rPr>
              <w:t>Attachment</w:t>
            </w:r>
            <w:r w:rsidR="00AA454C" w:rsidRPr="001A69A3">
              <w:rPr>
                <w:rStyle w:val="Hyperlink"/>
                <w:noProof/>
              </w:rPr>
              <w:t xml:space="preserve"> 1</w:t>
            </w:r>
            <w:r w:rsidR="00F41CB2">
              <w:rPr>
                <w:rStyle w:val="Hyperlink"/>
                <w:noProof/>
              </w:rPr>
              <w:t>: Cover Page</w:t>
            </w:r>
            <w:r w:rsidR="00AA454C">
              <w:rPr>
                <w:noProof/>
                <w:webHidden/>
              </w:rPr>
              <w:tab/>
            </w:r>
          </w:hyperlink>
          <w:r w:rsidR="0013205E">
            <w:rPr>
              <w:noProof/>
            </w:rPr>
            <w:t>20</w:t>
          </w:r>
        </w:p>
        <w:p w:rsidR="00AA454C" w:rsidRDefault="007E2876" w:rsidP="00F41CB2">
          <w:pPr>
            <w:pStyle w:val="TOC3"/>
            <w:rPr>
              <w:rFonts w:asciiTheme="minorHAnsi" w:eastAsiaTheme="minorEastAsia" w:hAnsiTheme="minorHAnsi" w:cstheme="minorBidi"/>
              <w:sz w:val="22"/>
              <w:szCs w:val="22"/>
            </w:rPr>
          </w:pPr>
          <w:hyperlink w:anchor="_Toc508894878" w:history="1">
            <w:r w:rsidR="00F41CB2">
              <w:rPr>
                <w:rStyle w:val="Hyperlink"/>
              </w:rPr>
              <w:t>Attachment</w:t>
            </w:r>
            <w:r w:rsidR="000F435D">
              <w:rPr>
                <w:rStyle w:val="Hyperlink"/>
              </w:rPr>
              <w:t xml:space="preserve"> </w:t>
            </w:r>
            <w:r w:rsidR="002753FF">
              <w:rPr>
                <w:rStyle w:val="Hyperlink"/>
              </w:rPr>
              <w:t>2</w:t>
            </w:r>
            <w:r w:rsidR="00F41CB2">
              <w:rPr>
                <w:rStyle w:val="Hyperlink"/>
              </w:rPr>
              <w:t>: Documentation Requirements</w:t>
            </w:r>
            <w:r w:rsidR="00AA454C">
              <w:rPr>
                <w:webHidden/>
              </w:rPr>
              <w:tab/>
            </w:r>
          </w:hyperlink>
          <w:r w:rsidR="0013205E">
            <w:t>21</w:t>
          </w:r>
        </w:p>
        <w:p w:rsidR="000F435D" w:rsidRPr="0036125E" w:rsidRDefault="00F41CB2" w:rsidP="00F41CB2">
          <w:pPr>
            <w:pStyle w:val="TOC3"/>
            <w:rPr>
              <w:rFonts w:eastAsiaTheme="minorEastAsia"/>
            </w:rPr>
          </w:pPr>
          <w:r>
            <w:rPr>
              <w:rFonts w:eastAsiaTheme="minorEastAsia"/>
            </w:rPr>
            <w:t>Attachment</w:t>
          </w:r>
          <w:r w:rsidR="0036125E">
            <w:rPr>
              <w:rFonts w:eastAsiaTheme="minorEastAsia"/>
            </w:rPr>
            <w:t xml:space="preserve"> </w:t>
          </w:r>
          <w:r w:rsidR="002753FF">
            <w:rPr>
              <w:rFonts w:eastAsiaTheme="minorEastAsia"/>
            </w:rPr>
            <w:t>3</w:t>
          </w:r>
          <w:r w:rsidR="0036125E">
            <w:rPr>
              <w:rFonts w:eastAsiaTheme="minorEastAsia"/>
            </w:rPr>
            <w:t>:</w:t>
          </w:r>
          <w:r>
            <w:rPr>
              <w:rFonts w:eastAsiaTheme="minorEastAsia"/>
            </w:rPr>
            <w:t xml:space="preserve"> Commercial Tobacco-Free Certification</w:t>
          </w:r>
          <w:r w:rsidR="0036125E">
            <w:rPr>
              <w:rFonts w:eastAsiaTheme="minorEastAsia"/>
            </w:rPr>
            <w:tab/>
          </w:r>
          <w:r w:rsidR="0013205E">
            <w:rPr>
              <w:rFonts w:eastAsiaTheme="minorEastAsia"/>
            </w:rPr>
            <w:t>2</w:t>
          </w:r>
          <w:r w:rsidR="009F3CF0">
            <w:rPr>
              <w:rFonts w:eastAsiaTheme="minorEastAsia"/>
            </w:rPr>
            <w:t>3</w:t>
          </w:r>
        </w:p>
        <w:p w:rsidR="00F41CB2" w:rsidRDefault="007E2876" w:rsidP="00F41CB2">
          <w:pPr>
            <w:pStyle w:val="TOC3"/>
          </w:pPr>
          <w:hyperlink w:anchor="_Toc508894878" w:history="1">
            <w:r w:rsidR="00F41CB2">
              <w:rPr>
                <w:rStyle w:val="Hyperlink"/>
              </w:rPr>
              <w:t>Attachment</w:t>
            </w:r>
            <w:r w:rsidR="000F435D">
              <w:rPr>
                <w:rStyle w:val="Hyperlink"/>
              </w:rPr>
              <w:t xml:space="preserve"> </w:t>
            </w:r>
            <w:r w:rsidR="002753FF">
              <w:rPr>
                <w:rStyle w:val="Hyperlink"/>
              </w:rPr>
              <w:t>4</w:t>
            </w:r>
            <w:r w:rsidR="00F41CB2">
              <w:rPr>
                <w:rStyle w:val="Hyperlink"/>
              </w:rPr>
              <w:t>: Board of Directors</w:t>
            </w:r>
            <w:r w:rsidR="000F435D">
              <w:rPr>
                <w:webHidden/>
              </w:rPr>
              <w:tab/>
            </w:r>
          </w:hyperlink>
          <w:r w:rsidR="00AA454C">
            <w:rPr>
              <w:b/>
            </w:rPr>
            <w:fldChar w:fldCharType="end"/>
          </w:r>
          <w:r w:rsidR="003B3DF4">
            <w:t>25</w:t>
          </w:r>
        </w:p>
        <w:p w:rsidR="00AA454C" w:rsidRPr="00F41CB2" w:rsidRDefault="007E2876" w:rsidP="0012089C">
          <w:pPr>
            <w:spacing w:after="100"/>
          </w:pPr>
        </w:p>
      </w:sdtContent>
    </w:sdt>
    <w:p w:rsidR="00AE2D08" w:rsidRPr="00B56786" w:rsidRDefault="00AE2D08" w:rsidP="00720560">
      <w:pPr>
        <w:rPr>
          <w:szCs w:val="24"/>
        </w:rPr>
        <w:sectPr w:rsidR="00AE2D08" w:rsidRPr="00B56786" w:rsidSect="009C55CA">
          <w:footerReference w:type="first" r:id="rId9"/>
          <w:pgSz w:w="12240" w:h="15840" w:code="1"/>
          <w:pgMar w:top="1440" w:right="1440" w:bottom="864" w:left="1440" w:header="720" w:footer="720" w:gutter="0"/>
          <w:pgNumType w:fmt="lowerRoman" w:start="1"/>
          <w:cols w:space="720"/>
          <w:titlePg/>
          <w:docGrid w:linePitch="326"/>
        </w:sectPr>
      </w:pPr>
    </w:p>
    <w:p w:rsidR="00732EFE" w:rsidRPr="001601B2" w:rsidRDefault="00D544E6" w:rsidP="001601B2">
      <w:pPr>
        <w:pStyle w:val="Heading2"/>
        <w:numPr>
          <w:ilvl w:val="0"/>
          <w:numId w:val="0"/>
        </w:numPr>
        <w:tabs>
          <w:tab w:val="left" w:pos="360"/>
        </w:tabs>
        <w:spacing w:after="240"/>
        <w:rPr>
          <w:b/>
          <w:sz w:val="32"/>
          <w:szCs w:val="32"/>
        </w:rPr>
      </w:pPr>
      <w:r w:rsidRPr="001601B2">
        <w:rPr>
          <w:b/>
          <w:sz w:val="32"/>
          <w:szCs w:val="32"/>
        </w:rPr>
        <w:lastRenderedPageBreak/>
        <w:t>INTRODUCTION</w:t>
      </w:r>
    </w:p>
    <w:p w:rsidR="00732EFE" w:rsidRDefault="00732EFE" w:rsidP="001914FD">
      <w:pPr>
        <w:pStyle w:val="Heading3"/>
        <w:numPr>
          <w:ilvl w:val="0"/>
          <w:numId w:val="9"/>
        </w:numPr>
        <w:tabs>
          <w:tab w:val="clear" w:pos="960"/>
          <w:tab w:val="clear" w:pos="1440"/>
          <w:tab w:val="clear" w:pos="1800"/>
          <w:tab w:val="clear" w:pos="2160"/>
        </w:tabs>
        <w:spacing w:after="240"/>
      </w:pPr>
      <w:r>
        <w:t>Purpose</w:t>
      </w:r>
    </w:p>
    <w:p w:rsidR="00732EFE" w:rsidRDefault="00732EFE" w:rsidP="00732EFE">
      <w:pPr>
        <w:spacing w:after="240"/>
        <w:ind w:left="720"/>
        <w:rPr>
          <w:bCs w:val="0"/>
          <w:szCs w:val="24"/>
        </w:rPr>
      </w:pPr>
      <w:r>
        <w:t xml:space="preserve">The purpose of this Continuing Application is to continue to support eligible Tribal Groups or Incorporated American Indian Associations for grants to operate American Indian Education Centers (AIEC) authorized by sections 33370 and 33380–33385 of the </w:t>
      </w:r>
      <w:r w:rsidRPr="005322E2">
        <w:rPr>
          <w:bCs w:val="0"/>
          <w:szCs w:val="24"/>
        </w:rPr>
        <w:t xml:space="preserve">California </w:t>
      </w:r>
      <w:r w:rsidRPr="005322E2">
        <w:rPr>
          <w:bCs w:val="0"/>
          <w:i/>
          <w:szCs w:val="24"/>
        </w:rPr>
        <w:t>Education Code (EC)</w:t>
      </w:r>
      <w:r w:rsidRPr="005322E2">
        <w:rPr>
          <w:bCs w:val="0"/>
          <w:szCs w:val="24"/>
        </w:rPr>
        <w:t>. It is anticipated that the Budget Act allocated approximately $4.1 million for fiscal year 201</w:t>
      </w:r>
      <w:r>
        <w:rPr>
          <w:bCs w:val="0"/>
          <w:szCs w:val="24"/>
        </w:rPr>
        <w:t>8</w:t>
      </w:r>
      <w:r w:rsidRPr="005322E2">
        <w:rPr>
          <w:szCs w:val="24"/>
        </w:rPr>
        <w:t>–</w:t>
      </w:r>
      <w:r w:rsidRPr="005322E2">
        <w:rPr>
          <w:bCs w:val="0"/>
          <w:szCs w:val="24"/>
        </w:rPr>
        <w:t>1</w:t>
      </w:r>
      <w:r>
        <w:rPr>
          <w:bCs w:val="0"/>
          <w:szCs w:val="24"/>
        </w:rPr>
        <w:t>9</w:t>
      </w:r>
      <w:r w:rsidRPr="005322E2">
        <w:rPr>
          <w:bCs w:val="0"/>
          <w:szCs w:val="24"/>
        </w:rPr>
        <w:t>.</w:t>
      </w:r>
    </w:p>
    <w:p w:rsidR="00732EFE" w:rsidRDefault="00732EFE" w:rsidP="00732EFE">
      <w:pPr>
        <w:spacing w:after="240"/>
        <w:ind w:left="720"/>
        <w:rPr>
          <w:szCs w:val="24"/>
        </w:rPr>
      </w:pPr>
      <w:r>
        <w:rPr>
          <w:bCs w:val="0"/>
          <w:szCs w:val="24"/>
        </w:rPr>
        <w:t xml:space="preserve">The AIEC grant funds may be used for any of the purposes specified in the authorizing </w:t>
      </w:r>
      <w:r w:rsidRPr="005322E2">
        <w:rPr>
          <w:bCs w:val="0"/>
          <w:szCs w:val="24"/>
        </w:rPr>
        <w:t>legislation and the program regulations (</w:t>
      </w:r>
      <w:r w:rsidRPr="005322E2">
        <w:rPr>
          <w:bCs w:val="0"/>
          <w:i/>
          <w:szCs w:val="24"/>
        </w:rPr>
        <w:t>California Code of Regulations,</w:t>
      </w:r>
      <w:r w:rsidRPr="005322E2">
        <w:rPr>
          <w:bCs w:val="0"/>
          <w:szCs w:val="24"/>
        </w:rPr>
        <w:t xml:space="preserve"> Title 5 [5 </w:t>
      </w:r>
      <w:r w:rsidRPr="005322E2">
        <w:rPr>
          <w:bCs w:val="0"/>
          <w:i/>
          <w:szCs w:val="24"/>
        </w:rPr>
        <w:t>CCR</w:t>
      </w:r>
      <w:r w:rsidRPr="005322E2">
        <w:rPr>
          <w:bCs w:val="0"/>
          <w:szCs w:val="24"/>
        </w:rPr>
        <w:t>], Section 11996)</w:t>
      </w:r>
      <w:r w:rsidRPr="005322E2">
        <w:rPr>
          <w:szCs w:val="24"/>
        </w:rPr>
        <w:t xml:space="preserve"> to promote the academic and cultural achievement of the students. The AIEC grant funds may be used, on the basis of established priority needs, to accomplish the following:</w:t>
      </w:r>
    </w:p>
    <w:p w:rsidR="00732EFE" w:rsidRDefault="00A62F48" w:rsidP="001914FD">
      <w:pPr>
        <w:pStyle w:val="ListParagraph"/>
        <w:numPr>
          <w:ilvl w:val="0"/>
          <w:numId w:val="10"/>
        </w:numPr>
        <w:spacing w:after="240"/>
      </w:pPr>
      <w:r>
        <w:t>Improve the academic achievement of American Indian students in kindergarten and grades one to twelve, inclusive.</w:t>
      </w:r>
    </w:p>
    <w:p w:rsidR="00A62F48" w:rsidRDefault="00A62F48" w:rsidP="001914FD">
      <w:pPr>
        <w:numPr>
          <w:ilvl w:val="0"/>
          <w:numId w:val="10"/>
        </w:numPr>
        <w:tabs>
          <w:tab w:val="left" w:pos="10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szCs w:val="24"/>
        </w:rPr>
      </w:pPr>
      <w:r w:rsidRPr="005322E2">
        <w:rPr>
          <w:szCs w:val="24"/>
        </w:rPr>
        <w:t>Improve the self-concept and sense of identity of American Indian students and adults.</w:t>
      </w:r>
    </w:p>
    <w:p w:rsidR="00A62F48" w:rsidRDefault="00A62F48" w:rsidP="001914FD">
      <w:pPr>
        <w:numPr>
          <w:ilvl w:val="0"/>
          <w:numId w:val="10"/>
        </w:numPr>
        <w:tabs>
          <w:tab w:val="left" w:pos="10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szCs w:val="24"/>
        </w:rPr>
      </w:pPr>
      <w:r>
        <w:rPr>
          <w:szCs w:val="24"/>
        </w:rPr>
        <w:t>Have the AIEC serve as a center for related community activities.</w:t>
      </w:r>
    </w:p>
    <w:p w:rsidR="00A62F48" w:rsidRDefault="00A62F48" w:rsidP="001914FD">
      <w:pPr>
        <w:numPr>
          <w:ilvl w:val="0"/>
          <w:numId w:val="10"/>
        </w:numPr>
        <w:tabs>
          <w:tab w:val="left" w:pos="10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szCs w:val="24"/>
        </w:rPr>
      </w:pPr>
      <w:r>
        <w:rPr>
          <w:szCs w:val="24"/>
        </w:rPr>
        <w:t xml:space="preserve">Provide </w:t>
      </w:r>
      <w:r w:rsidRPr="005322E2">
        <w:rPr>
          <w:szCs w:val="24"/>
        </w:rPr>
        <w:t>individual and group counseling to students and adults related to personal adjustment, academic progress, and vocational planning.</w:t>
      </w:r>
    </w:p>
    <w:p w:rsidR="00A62F48" w:rsidRDefault="00A62F48" w:rsidP="001914FD">
      <w:pPr>
        <w:numPr>
          <w:ilvl w:val="0"/>
          <w:numId w:val="10"/>
        </w:numPr>
        <w:tabs>
          <w:tab w:val="left" w:pos="10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szCs w:val="24"/>
        </w:rPr>
      </w:pPr>
      <w:r>
        <w:rPr>
          <w:szCs w:val="24"/>
        </w:rPr>
        <w:t>Create and offer coordinated programs with the public schools.</w:t>
      </w:r>
    </w:p>
    <w:p w:rsidR="00A62F48" w:rsidRDefault="00A62F48" w:rsidP="001914FD">
      <w:pPr>
        <w:numPr>
          <w:ilvl w:val="0"/>
          <w:numId w:val="10"/>
        </w:numPr>
        <w:tabs>
          <w:tab w:val="left" w:pos="10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szCs w:val="24"/>
        </w:rPr>
      </w:pPr>
      <w:r>
        <w:rPr>
          <w:szCs w:val="24"/>
        </w:rPr>
        <w:t>Provide a focus for summer cultural, recreational, and academic experiences.</w:t>
      </w:r>
    </w:p>
    <w:p w:rsidR="00A62F48" w:rsidRDefault="00A62F48" w:rsidP="001914FD">
      <w:pPr>
        <w:numPr>
          <w:ilvl w:val="0"/>
          <w:numId w:val="10"/>
        </w:numPr>
        <w:tabs>
          <w:tab w:val="left" w:pos="10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szCs w:val="24"/>
        </w:rPr>
      </w:pPr>
      <w:r>
        <w:rPr>
          <w:szCs w:val="24"/>
        </w:rPr>
        <w:t>Create and offer adult classes and activities that benefit parents or guardians of students in the AIEC programs.</w:t>
      </w:r>
    </w:p>
    <w:p w:rsidR="00A62F48" w:rsidRDefault="00A62F48" w:rsidP="001914FD">
      <w:pPr>
        <w:numPr>
          <w:ilvl w:val="0"/>
          <w:numId w:val="10"/>
        </w:numPr>
        <w:tabs>
          <w:tab w:val="left" w:pos="10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szCs w:val="24"/>
        </w:rPr>
      </w:pPr>
      <w:r>
        <w:rPr>
          <w:szCs w:val="24"/>
        </w:rPr>
        <w:t>Provide training programs to develop pathways to college and the workplace for American Indian students.</w:t>
      </w:r>
    </w:p>
    <w:p w:rsidR="00A62F48" w:rsidRDefault="00A62F48" w:rsidP="001914FD">
      <w:pPr>
        <w:numPr>
          <w:ilvl w:val="0"/>
          <w:numId w:val="10"/>
        </w:numPr>
        <w:tabs>
          <w:tab w:val="left" w:pos="10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szCs w:val="24"/>
        </w:rPr>
      </w:pPr>
      <w:r>
        <w:rPr>
          <w:szCs w:val="24"/>
        </w:rPr>
        <w:t xml:space="preserve">Provide American </w:t>
      </w:r>
      <w:r w:rsidRPr="005322E2">
        <w:rPr>
          <w:szCs w:val="24"/>
        </w:rPr>
        <w:t>Indian educational resource materials to students, their parents, and the schools they attend to ensure that information on appropriate tribal histories and cultures is made available.</w:t>
      </w:r>
    </w:p>
    <w:p w:rsidR="00A62F48" w:rsidRDefault="00A62F48" w:rsidP="001914FD">
      <w:pPr>
        <w:pStyle w:val="Heading3"/>
        <w:numPr>
          <w:ilvl w:val="0"/>
          <w:numId w:val="9"/>
        </w:numPr>
        <w:spacing w:after="240"/>
      </w:pPr>
      <w:r>
        <w:t>Background</w:t>
      </w:r>
    </w:p>
    <w:p w:rsidR="00A62F48" w:rsidRDefault="00A62F48" w:rsidP="00A62F48">
      <w:pPr>
        <w:spacing w:after="360"/>
        <w:ind w:left="720"/>
        <w:rPr>
          <w:szCs w:val="24"/>
        </w:rPr>
      </w:pPr>
      <w:r>
        <w:t xml:space="preserve">The AIEC Program </w:t>
      </w:r>
      <w:r w:rsidRPr="005322E2">
        <w:rPr>
          <w:szCs w:val="24"/>
        </w:rPr>
        <w:t xml:space="preserve">was established in 1974 by Senate Bill 2264. The </w:t>
      </w:r>
      <w:r w:rsidRPr="005322E2">
        <w:rPr>
          <w:color w:val="000000"/>
          <w:szCs w:val="24"/>
        </w:rPr>
        <w:t xml:space="preserve">intent was </w:t>
      </w:r>
      <w:r w:rsidRPr="005322E2">
        <w:rPr>
          <w:vanish/>
          <w:color w:val="000000"/>
          <w:szCs w:val="24"/>
        </w:rPr>
        <w:t xml:space="preserve">of that legislation </w:t>
      </w:r>
      <w:r w:rsidRPr="005322E2">
        <w:rPr>
          <w:color w:val="000000"/>
          <w:szCs w:val="24"/>
        </w:rPr>
        <w:t xml:space="preserve">to provide educational services </w:t>
      </w:r>
      <w:r w:rsidRPr="005322E2">
        <w:rPr>
          <w:vanish/>
          <w:color w:val="000000"/>
          <w:szCs w:val="24"/>
        </w:rPr>
        <w:t xml:space="preserve">from within the Indian community </w:t>
      </w:r>
      <w:r w:rsidRPr="005322E2">
        <w:rPr>
          <w:color w:val="000000"/>
          <w:szCs w:val="24"/>
        </w:rPr>
        <w:t xml:space="preserve">that promote academic success for American Indian students by providing community-based programs to address the unique academic and </w:t>
      </w:r>
      <w:r w:rsidRPr="005322E2">
        <w:rPr>
          <w:color w:val="000000"/>
          <w:szCs w:val="24"/>
        </w:rPr>
        <w:lastRenderedPageBreak/>
        <w:t xml:space="preserve">cultural needs of American Indian students in California’s public schools. The </w:t>
      </w:r>
      <w:r w:rsidRPr="005322E2">
        <w:rPr>
          <w:szCs w:val="24"/>
        </w:rPr>
        <w:t>AIECs serve as educational resource centers in American Indian communities for American Indian students, their families, and the public schools in those communities. A student’s heritage may be from any of the 109 California tribes or from any of the hundreds of tribes from across the country. Primary emphasis is placed on the provision of direct services to improve achievement in reading/language arts and mathematics. A secondary purpose is to build students’ self-concept in relation to their heritage through cultural activities. A primary outcome of these activities is to create a skilled, educated workforce in the American Indian community and in California.</w:t>
      </w:r>
    </w:p>
    <w:p w:rsidR="00A62F48" w:rsidRDefault="00A62F48" w:rsidP="001914FD">
      <w:pPr>
        <w:pStyle w:val="Heading3"/>
        <w:numPr>
          <w:ilvl w:val="0"/>
          <w:numId w:val="9"/>
        </w:numPr>
        <w:spacing w:after="240"/>
      </w:pPr>
      <w:r>
        <w:t>Grant Funding Period</w:t>
      </w:r>
    </w:p>
    <w:p w:rsidR="00A62F48" w:rsidRDefault="00A62F48" w:rsidP="00A62F48">
      <w:pPr>
        <w:spacing w:after="360"/>
        <w:ind w:left="720"/>
        <w:rPr>
          <w:color w:val="000000"/>
        </w:rPr>
      </w:pPr>
      <w:r>
        <w:t xml:space="preserve">The </w:t>
      </w:r>
      <w:r w:rsidRPr="005322E2">
        <w:rPr>
          <w:color w:val="000000"/>
        </w:rPr>
        <w:t>AIEC Continuing Application grant funding period shall be October 1, 201</w:t>
      </w:r>
      <w:r>
        <w:rPr>
          <w:color w:val="000000"/>
        </w:rPr>
        <w:t>8</w:t>
      </w:r>
      <w:r w:rsidRPr="005322E2">
        <w:rPr>
          <w:color w:val="000000"/>
        </w:rPr>
        <w:t>, through September 30, 201</w:t>
      </w:r>
      <w:r>
        <w:rPr>
          <w:color w:val="000000"/>
        </w:rPr>
        <w:t>9</w:t>
      </w:r>
      <w:r w:rsidRPr="005322E2">
        <w:rPr>
          <w:color w:val="000000"/>
        </w:rPr>
        <w:t>.</w:t>
      </w:r>
    </w:p>
    <w:p w:rsidR="00A62F48" w:rsidRDefault="00A62F48" w:rsidP="001914FD">
      <w:pPr>
        <w:pStyle w:val="Heading3"/>
        <w:numPr>
          <w:ilvl w:val="0"/>
          <w:numId w:val="9"/>
        </w:numPr>
        <w:spacing w:after="240"/>
      </w:pPr>
      <w:r>
        <w:t>Application Instructions</w:t>
      </w:r>
    </w:p>
    <w:p w:rsidR="00A62F48" w:rsidRDefault="00A62F48" w:rsidP="00A62F48">
      <w:pPr>
        <w:spacing w:after="240"/>
        <w:ind w:left="720"/>
        <w:rPr>
          <w:szCs w:val="24"/>
        </w:rPr>
      </w:pPr>
      <w:r>
        <w:t xml:space="preserve">Please </w:t>
      </w:r>
      <w:r w:rsidRPr="005322E2">
        <w:rPr>
          <w:szCs w:val="24"/>
        </w:rPr>
        <w:t>complete all sections of this application on single</w:t>
      </w:r>
      <w:r w:rsidRPr="005322E2">
        <w:rPr>
          <w:szCs w:val="24"/>
        </w:rPr>
        <w:noBreakHyphen/>
        <w:t>sided, 8½- by 11-inch paper, using 12-point Arial font, with half-inch margins (not including required budget forms, other required documentation forms, and appendices). Appendices shall be limited to</w:t>
      </w:r>
      <w:r>
        <w:rPr>
          <w:szCs w:val="24"/>
        </w:rPr>
        <w:t xml:space="preserve"> the forms provided by the CDE:</w:t>
      </w:r>
    </w:p>
    <w:p w:rsidR="00A62F48" w:rsidRPr="00D06605" w:rsidRDefault="00A62F48" w:rsidP="001914FD">
      <w:pPr>
        <w:numPr>
          <w:ilvl w:val="0"/>
          <w:numId w:val="11"/>
        </w:numPr>
        <w:spacing w:after="240"/>
        <w:rPr>
          <w:bCs w:val="0"/>
          <w:szCs w:val="24"/>
        </w:rPr>
      </w:pPr>
      <w:r>
        <w:rPr>
          <w:szCs w:val="24"/>
        </w:rPr>
        <w:t>Cover Page</w:t>
      </w:r>
      <w:r w:rsidRPr="005322E2">
        <w:rPr>
          <w:szCs w:val="24"/>
        </w:rPr>
        <w:t xml:space="preserve"> (</w:t>
      </w:r>
      <w:r>
        <w:rPr>
          <w:szCs w:val="24"/>
        </w:rPr>
        <w:t>Attachment</w:t>
      </w:r>
      <w:r w:rsidRPr="005322E2">
        <w:rPr>
          <w:szCs w:val="24"/>
        </w:rPr>
        <w:t xml:space="preserve"> </w:t>
      </w:r>
      <w:r>
        <w:rPr>
          <w:szCs w:val="24"/>
        </w:rPr>
        <w:t>1</w:t>
      </w:r>
      <w:r w:rsidRPr="005322E2">
        <w:rPr>
          <w:szCs w:val="24"/>
        </w:rPr>
        <w:t>)</w:t>
      </w:r>
    </w:p>
    <w:p w:rsidR="00A62F48" w:rsidRPr="00D06605" w:rsidRDefault="00A62F48" w:rsidP="001914FD">
      <w:pPr>
        <w:numPr>
          <w:ilvl w:val="0"/>
          <w:numId w:val="11"/>
        </w:numPr>
        <w:spacing w:after="240"/>
        <w:rPr>
          <w:bCs w:val="0"/>
          <w:szCs w:val="24"/>
        </w:rPr>
      </w:pPr>
      <w:r w:rsidRPr="005322E2">
        <w:rPr>
          <w:szCs w:val="24"/>
        </w:rPr>
        <w:t>Documentation Requirements (</w:t>
      </w:r>
      <w:r>
        <w:rPr>
          <w:szCs w:val="24"/>
        </w:rPr>
        <w:t>Attachment</w:t>
      </w:r>
      <w:r w:rsidRPr="005322E2">
        <w:rPr>
          <w:szCs w:val="24"/>
        </w:rPr>
        <w:t xml:space="preserve"> </w:t>
      </w:r>
      <w:r>
        <w:rPr>
          <w:szCs w:val="24"/>
        </w:rPr>
        <w:t>2</w:t>
      </w:r>
      <w:r w:rsidRPr="005322E2">
        <w:rPr>
          <w:szCs w:val="24"/>
        </w:rPr>
        <w:t>)</w:t>
      </w:r>
    </w:p>
    <w:p w:rsidR="00A62F48" w:rsidRPr="00D06605" w:rsidRDefault="00A62F48" w:rsidP="001914FD">
      <w:pPr>
        <w:numPr>
          <w:ilvl w:val="0"/>
          <w:numId w:val="11"/>
        </w:numPr>
        <w:spacing w:after="240"/>
        <w:rPr>
          <w:szCs w:val="24"/>
        </w:rPr>
      </w:pPr>
      <w:r w:rsidRPr="00D06605">
        <w:rPr>
          <w:szCs w:val="24"/>
        </w:rPr>
        <w:t>Commercial Tobacco-Free Certification (Attachment 3)</w:t>
      </w:r>
    </w:p>
    <w:p w:rsidR="00A62F48" w:rsidRPr="00D06605" w:rsidRDefault="00A62F48" w:rsidP="001914FD">
      <w:pPr>
        <w:numPr>
          <w:ilvl w:val="0"/>
          <w:numId w:val="11"/>
        </w:numPr>
        <w:spacing w:after="240"/>
        <w:ind w:right="-187"/>
        <w:rPr>
          <w:szCs w:val="24"/>
        </w:rPr>
      </w:pPr>
      <w:r w:rsidRPr="005322E2">
        <w:rPr>
          <w:szCs w:val="24"/>
        </w:rPr>
        <w:t>Board of Directors/Tribal Council and Parent Advisory Council List (</w:t>
      </w:r>
      <w:r>
        <w:rPr>
          <w:szCs w:val="24"/>
        </w:rPr>
        <w:t>Attachment</w:t>
      </w:r>
      <w:r w:rsidRPr="005322E2">
        <w:rPr>
          <w:szCs w:val="24"/>
        </w:rPr>
        <w:t xml:space="preserve"> </w:t>
      </w:r>
      <w:r>
        <w:rPr>
          <w:szCs w:val="24"/>
        </w:rPr>
        <w:t>4</w:t>
      </w:r>
      <w:r w:rsidRPr="005322E2">
        <w:rPr>
          <w:szCs w:val="24"/>
        </w:rPr>
        <w:t>)</w:t>
      </w:r>
    </w:p>
    <w:p w:rsidR="00A62F48" w:rsidRPr="00D06605" w:rsidRDefault="0012089C" w:rsidP="0012089C">
      <w:pPr>
        <w:numPr>
          <w:ilvl w:val="0"/>
          <w:numId w:val="11"/>
        </w:numPr>
        <w:spacing w:after="240"/>
        <w:rPr>
          <w:szCs w:val="24"/>
        </w:rPr>
      </w:pPr>
      <w:r w:rsidRPr="001601B2">
        <w:rPr>
          <w:szCs w:val="24"/>
        </w:rPr>
        <w:t>Budget Summary</w:t>
      </w:r>
      <w:r w:rsidR="001601B2">
        <w:rPr>
          <w:szCs w:val="24"/>
        </w:rPr>
        <w:t xml:space="preserve"> -</w:t>
      </w:r>
      <w:r>
        <w:rPr>
          <w:szCs w:val="24"/>
        </w:rPr>
        <w:t xml:space="preserve"> </w:t>
      </w:r>
      <w:hyperlink r:id="rId10" w:history="1">
        <w:r w:rsidR="001601B2" w:rsidRPr="005B235F">
          <w:rPr>
            <w:rStyle w:val="Hyperlink"/>
            <w:szCs w:val="24"/>
          </w:rPr>
          <w:t>https://www.cde.ca.gov/fg/fo/r8/aiec17rfa.asp</w:t>
        </w:r>
      </w:hyperlink>
      <w:r w:rsidR="001601B2">
        <w:rPr>
          <w:szCs w:val="24"/>
        </w:rPr>
        <w:t xml:space="preserve"> </w:t>
      </w:r>
    </w:p>
    <w:p w:rsidR="00A62F48" w:rsidRPr="00D06605" w:rsidRDefault="0012089C" w:rsidP="0012089C">
      <w:pPr>
        <w:numPr>
          <w:ilvl w:val="0"/>
          <w:numId w:val="11"/>
        </w:numPr>
        <w:spacing w:after="240"/>
        <w:rPr>
          <w:bCs w:val="0"/>
          <w:szCs w:val="24"/>
        </w:rPr>
      </w:pPr>
      <w:r w:rsidRPr="001601B2">
        <w:rPr>
          <w:bCs w:val="0"/>
          <w:szCs w:val="24"/>
        </w:rPr>
        <w:t>Budget Detail</w:t>
      </w:r>
      <w:r w:rsidR="001601B2">
        <w:rPr>
          <w:bCs w:val="0"/>
          <w:szCs w:val="24"/>
        </w:rPr>
        <w:t xml:space="preserve"> -</w:t>
      </w:r>
      <w:r>
        <w:rPr>
          <w:bCs w:val="0"/>
          <w:szCs w:val="24"/>
        </w:rPr>
        <w:t xml:space="preserve"> </w:t>
      </w:r>
      <w:hyperlink r:id="rId11" w:history="1">
        <w:r w:rsidR="001601B2" w:rsidRPr="005B235F">
          <w:rPr>
            <w:rStyle w:val="Hyperlink"/>
            <w:bCs w:val="0"/>
            <w:szCs w:val="24"/>
          </w:rPr>
          <w:t>https://www.cde.ca.gov/fg/fo/r8/aiec17rfa.asp</w:t>
        </w:r>
      </w:hyperlink>
      <w:r w:rsidR="001601B2">
        <w:rPr>
          <w:bCs w:val="0"/>
          <w:szCs w:val="24"/>
        </w:rPr>
        <w:t xml:space="preserve">  </w:t>
      </w:r>
    </w:p>
    <w:p w:rsidR="00A62F48" w:rsidRPr="00D06605" w:rsidRDefault="0012089C" w:rsidP="0012089C">
      <w:pPr>
        <w:numPr>
          <w:ilvl w:val="0"/>
          <w:numId w:val="11"/>
        </w:numPr>
        <w:tabs>
          <w:tab w:val="left" w:pos="360"/>
        </w:tabs>
        <w:spacing w:after="240"/>
        <w:rPr>
          <w:color w:val="000000"/>
          <w:szCs w:val="24"/>
        </w:rPr>
      </w:pPr>
      <w:r w:rsidRPr="001601B2">
        <w:rPr>
          <w:bCs w:val="0"/>
          <w:szCs w:val="24"/>
        </w:rPr>
        <w:t>Budget Narrative</w:t>
      </w:r>
      <w:r>
        <w:rPr>
          <w:bCs w:val="0"/>
          <w:szCs w:val="24"/>
        </w:rPr>
        <w:t xml:space="preserve"> </w:t>
      </w:r>
      <w:r w:rsidR="001601B2">
        <w:rPr>
          <w:bCs w:val="0"/>
          <w:szCs w:val="24"/>
        </w:rPr>
        <w:t xml:space="preserve">- </w:t>
      </w:r>
      <w:hyperlink r:id="rId12" w:history="1">
        <w:r w:rsidR="001601B2" w:rsidRPr="005B235F">
          <w:rPr>
            <w:rStyle w:val="Hyperlink"/>
            <w:bCs w:val="0"/>
            <w:szCs w:val="24"/>
          </w:rPr>
          <w:t>https://www.cde.ca.gov/fg/fo/r8/aiec17rfa.asp</w:t>
        </w:r>
      </w:hyperlink>
      <w:r w:rsidR="001601B2">
        <w:rPr>
          <w:bCs w:val="0"/>
          <w:szCs w:val="24"/>
        </w:rPr>
        <w:t xml:space="preserve"> </w:t>
      </w:r>
    </w:p>
    <w:p w:rsidR="00A62F48" w:rsidRPr="00D06605" w:rsidRDefault="00A62F48" w:rsidP="0012089C">
      <w:pPr>
        <w:numPr>
          <w:ilvl w:val="0"/>
          <w:numId w:val="11"/>
        </w:numPr>
        <w:spacing w:after="240"/>
        <w:rPr>
          <w:szCs w:val="24"/>
        </w:rPr>
      </w:pPr>
      <w:r w:rsidRPr="001601B2">
        <w:rPr>
          <w:szCs w:val="24"/>
        </w:rPr>
        <w:t>Fu</w:t>
      </w:r>
      <w:r w:rsidR="0012089C" w:rsidRPr="001601B2">
        <w:rPr>
          <w:szCs w:val="24"/>
        </w:rPr>
        <w:t>nding from Other Sources Table</w:t>
      </w:r>
      <w:r w:rsidR="0012089C">
        <w:rPr>
          <w:szCs w:val="24"/>
        </w:rPr>
        <w:t xml:space="preserve"> </w:t>
      </w:r>
      <w:hyperlink r:id="rId13" w:history="1">
        <w:r w:rsidR="001601B2" w:rsidRPr="005B235F">
          <w:rPr>
            <w:rStyle w:val="Hyperlink"/>
            <w:szCs w:val="24"/>
          </w:rPr>
          <w:t>https://www.cde.ca.gov/fg/fo/r8/aiec17rfa.asp</w:t>
        </w:r>
      </w:hyperlink>
      <w:r w:rsidR="001601B2">
        <w:rPr>
          <w:szCs w:val="24"/>
        </w:rPr>
        <w:t xml:space="preserve"> </w:t>
      </w:r>
    </w:p>
    <w:p w:rsidR="00A62F48" w:rsidRPr="00D06605" w:rsidRDefault="00A62F48" w:rsidP="0012089C">
      <w:pPr>
        <w:numPr>
          <w:ilvl w:val="0"/>
          <w:numId w:val="11"/>
        </w:numPr>
        <w:spacing w:after="240"/>
        <w:rPr>
          <w:szCs w:val="24"/>
        </w:rPr>
      </w:pPr>
      <w:r w:rsidRPr="001601B2">
        <w:rPr>
          <w:szCs w:val="24"/>
        </w:rPr>
        <w:t>Project Activities T</w:t>
      </w:r>
      <w:r w:rsidR="0012089C" w:rsidRPr="001601B2">
        <w:rPr>
          <w:szCs w:val="24"/>
        </w:rPr>
        <w:t>able</w:t>
      </w:r>
      <w:r w:rsidR="00E92039">
        <w:rPr>
          <w:szCs w:val="24"/>
        </w:rPr>
        <w:t xml:space="preserve"> -</w:t>
      </w:r>
      <w:r w:rsidR="0012089C">
        <w:rPr>
          <w:szCs w:val="24"/>
        </w:rPr>
        <w:t xml:space="preserve"> </w:t>
      </w:r>
      <w:hyperlink r:id="rId14" w:history="1">
        <w:r w:rsidR="00E92039" w:rsidRPr="005B235F">
          <w:rPr>
            <w:rStyle w:val="Hyperlink"/>
            <w:szCs w:val="24"/>
          </w:rPr>
          <w:t>https://www.cde.ca.gov/fg/fo/r8/aiec17rfa.asp</w:t>
        </w:r>
      </w:hyperlink>
      <w:r w:rsidR="00E92039">
        <w:rPr>
          <w:szCs w:val="24"/>
        </w:rPr>
        <w:t xml:space="preserve"> </w:t>
      </w:r>
    </w:p>
    <w:p w:rsidR="00A62F48" w:rsidRPr="005322E2" w:rsidRDefault="00A62F48" w:rsidP="00A62F48">
      <w:pPr>
        <w:tabs>
          <w:tab w:val="left" w:pos="5040"/>
        </w:tabs>
        <w:ind w:left="720"/>
        <w:rPr>
          <w:szCs w:val="24"/>
        </w:rPr>
      </w:pPr>
      <w:r w:rsidRPr="005322E2">
        <w:rPr>
          <w:szCs w:val="24"/>
        </w:rPr>
        <w:t xml:space="preserve">Each </w:t>
      </w:r>
      <w:r>
        <w:rPr>
          <w:szCs w:val="24"/>
        </w:rPr>
        <w:t>C</w:t>
      </w:r>
      <w:r w:rsidRPr="005322E2">
        <w:rPr>
          <w:szCs w:val="24"/>
        </w:rPr>
        <w:t xml:space="preserve">ontinuing </w:t>
      </w:r>
      <w:r>
        <w:rPr>
          <w:szCs w:val="24"/>
        </w:rPr>
        <w:t>A</w:t>
      </w:r>
      <w:r w:rsidRPr="005322E2">
        <w:rPr>
          <w:szCs w:val="24"/>
        </w:rPr>
        <w:t>pplication must be stapled or clipped in the upper left-hand corner with the Application Cover Sheet on the top of the application. Do not use binders, covers, flat folders, or cover letters.</w:t>
      </w:r>
    </w:p>
    <w:p w:rsidR="00A62F48" w:rsidRPr="005322E2" w:rsidRDefault="00A62F48" w:rsidP="00A62F48">
      <w:pPr>
        <w:tabs>
          <w:tab w:val="left" w:pos="5040"/>
        </w:tabs>
        <w:ind w:left="360"/>
        <w:rPr>
          <w:szCs w:val="24"/>
        </w:rPr>
      </w:pPr>
    </w:p>
    <w:p w:rsidR="00A62F48" w:rsidRPr="005322E2" w:rsidRDefault="00A62F48" w:rsidP="00D06605">
      <w:pPr>
        <w:tabs>
          <w:tab w:val="left" w:pos="5040"/>
        </w:tabs>
        <w:spacing w:after="240"/>
        <w:ind w:left="720"/>
        <w:rPr>
          <w:szCs w:val="24"/>
        </w:rPr>
      </w:pPr>
      <w:r>
        <w:rPr>
          <w:szCs w:val="24"/>
        </w:rPr>
        <w:lastRenderedPageBreak/>
        <w:t>The A</w:t>
      </w:r>
      <w:r w:rsidRPr="005322E2">
        <w:rPr>
          <w:szCs w:val="24"/>
        </w:rPr>
        <w:t>pplicant is responsible for ensuring that the application package is complete and that there are no missing pages/forms prior to submission. The CDE cannot add items to or remove items from the applications received.</w:t>
      </w:r>
    </w:p>
    <w:p w:rsidR="00A62F48" w:rsidRPr="005322E2" w:rsidRDefault="00A62F48" w:rsidP="00D06605">
      <w:pPr>
        <w:tabs>
          <w:tab w:val="left" w:pos="5040"/>
        </w:tabs>
        <w:spacing w:after="240"/>
        <w:ind w:left="720"/>
        <w:rPr>
          <w:szCs w:val="24"/>
        </w:rPr>
      </w:pPr>
      <w:r w:rsidRPr="005322E2">
        <w:rPr>
          <w:szCs w:val="24"/>
        </w:rPr>
        <w:t xml:space="preserve">An original AIEC </w:t>
      </w:r>
      <w:r>
        <w:rPr>
          <w:szCs w:val="24"/>
        </w:rPr>
        <w:t>Continuing Application</w:t>
      </w:r>
      <w:r w:rsidRPr="005322E2">
        <w:rPr>
          <w:szCs w:val="24"/>
        </w:rPr>
        <w:t xml:space="preserve"> must be received by the CDE </w:t>
      </w:r>
      <w:r w:rsidRPr="005322E2">
        <w:rPr>
          <w:b/>
          <w:szCs w:val="24"/>
        </w:rPr>
        <w:t>no late</w:t>
      </w:r>
      <w:r w:rsidR="00F41CB2">
        <w:rPr>
          <w:b/>
          <w:szCs w:val="24"/>
        </w:rPr>
        <w:t>r than 4 p.m., Mon</w:t>
      </w:r>
      <w:r>
        <w:rPr>
          <w:b/>
          <w:szCs w:val="24"/>
        </w:rPr>
        <w:t>day</w:t>
      </w:r>
      <w:r w:rsidRPr="005322E2">
        <w:rPr>
          <w:b/>
          <w:szCs w:val="24"/>
        </w:rPr>
        <w:t xml:space="preserve">, </w:t>
      </w:r>
      <w:r w:rsidR="00F41CB2">
        <w:rPr>
          <w:b/>
          <w:szCs w:val="24"/>
        </w:rPr>
        <w:t>September 24</w:t>
      </w:r>
      <w:r>
        <w:rPr>
          <w:b/>
          <w:szCs w:val="24"/>
        </w:rPr>
        <w:t>, 2018</w:t>
      </w:r>
      <w:r w:rsidRPr="005322E2">
        <w:rPr>
          <w:b/>
          <w:szCs w:val="24"/>
        </w:rPr>
        <w:t xml:space="preserve">. </w:t>
      </w:r>
      <w:r w:rsidRPr="005322E2">
        <w:rPr>
          <w:szCs w:val="24"/>
        </w:rPr>
        <w:t>The application package must be clearly labeled on the outside with the application title:</w:t>
      </w:r>
    </w:p>
    <w:p w:rsidR="00A62F48" w:rsidRPr="005322E2" w:rsidRDefault="00A62F48" w:rsidP="00D06605">
      <w:pPr>
        <w:tabs>
          <w:tab w:val="left" w:pos="5040"/>
        </w:tabs>
        <w:spacing w:after="240"/>
        <w:ind w:left="360"/>
        <w:jc w:val="center"/>
        <w:rPr>
          <w:b/>
          <w:szCs w:val="24"/>
        </w:rPr>
      </w:pPr>
      <w:r w:rsidRPr="005322E2">
        <w:rPr>
          <w:b/>
          <w:szCs w:val="24"/>
        </w:rPr>
        <w:t>American Indian Education Center Program Application</w:t>
      </w:r>
    </w:p>
    <w:p w:rsidR="00A62F48" w:rsidRPr="00D06605" w:rsidRDefault="00A62F48" w:rsidP="00D06605">
      <w:pPr>
        <w:tabs>
          <w:tab w:val="left" w:pos="5040"/>
        </w:tabs>
        <w:spacing w:after="240"/>
        <w:ind w:left="720"/>
        <w:rPr>
          <w:b/>
          <w:szCs w:val="24"/>
        </w:rPr>
      </w:pPr>
      <w:r w:rsidRPr="005322E2">
        <w:rPr>
          <w:b/>
          <w:szCs w:val="24"/>
        </w:rPr>
        <w:t>Transmission of applications by electronic mail (e-mail) or facsimile is not allowed</w:t>
      </w:r>
      <w:r>
        <w:rPr>
          <w:b/>
          <w:szCs w:val="24"/>
        </w:rPr>
        <w:t>.</w:t>
      </w:r>
      <w:r w:rsidRPr="005322E2">
        <w:rPr>
          <w:szCs w:val="24"/>
        </w:rPr>
        <w:t xml:space="preserve"> </w:t>
      </w:r>
      <w:r w:rsidRPr="00690075">
        <w:rPr>
          <w:szCs w:val="24"/>
        </w:rPr>
        <w:t xml:space="preserve">Applicants should mail </w:t>
      </w:r>
      <w:r>
        <w:rPr>
          <w:szCs w:val="24"/>
        </w:rPr>
        <w:t xml:space="preserve">the </w:t>
      </w:r>
      <w:r w:rsidRPr="00690075">
        <w:rPr>
          <w:szCs w:val="24"/>
        </w:rPr>
        <w:t>application</w:t>
      </w:r>
      <w:r>
        <w:rPr>
          <w:szCs w:val="24"/>
        </w:rPr>
        <w:t>,</w:t>
      </w:r>
      <w:r w:rsidRPr="00690075">
        <w:rPr>
          <w:szCs w:val="24"/>
        </w:rPr>
        <w:t xml:space="preserve"> </w:t>
      </w:r>
      <w:r>
        <w:rPr>
          <w:szCs w:val="24"/>
        </w:rPr>
        <w:t xml:space="preserve">or deliver it in person </w:t>
      </w:r>
      <w:r w:rsidR="00D06605">
        <w:rPr>
          <w:szCs w:val="24"/>
        </w:rPr>
        <w:t>to:</w:t>
      </w:r>
    </w:p>
    <w:p w:rsidR="00A62F48" w:rsidRPr="005322E2" w:rsidRDefault="00A62F48" w:rsidP="00A62F48">
      <w:pPr>
        <w:tabs>
          <w:tab w:val="left" w:pos="5040"/>
        </w:tabs>
        <w:jc w:val="center"/>
        <w:rPr>
          <w:b/>
          <w:szCs w:val="24"/>
        </w:rPr>
      </w:pPr>
      <w:r w:rsidRPr="005322E2">
        <w:rPr>
          <w:b/>
          <w:szCs w:val="24"/>
        </w:rPr>
        <w:t>Judy Delgado, American Indian Education Consultant</w:t>
      </w:r>
    </w:p>
    <w:p w:rsidR="00A62F48" w:rsidRPr="005322E2" w:rsidRDefault="00A62F48" w:rsidP="00A62F48">
      <w:pPr>
        <w:tabs>
          <w:tab w:val="left" w:pos="5040"/>
        </w:tabs>
        <w:jc w:val="center"/>
        <w:rPr>
          <w:b/>
          <w:szCs w:val="24"/>
        </w:rPr>
      </w:pPr>
      <w:r w:rsidRPr="005322E2">
        <w:rPr>
          <w:b/>
          <w:szCs w:val="24"/>
        </w:rPr>
        <w:t>Educational Options, Student Support, and American Indian Education Office</w:t>
      </w:r>
    </w:p>
    <w:p w:rsidR="00A62F48" w:rsidRPr="005322E2" w:rsidRDefault="00A62F48" w:rsidP="00A62F48">
      <w:pPr>
        <w:tabs>
          <w:tab w:val="left" w:pos="5040"/>
        </w:tabs>
        <w:jc w:val="center"/>
        <w:rPr>
          <w:b/>
          <w:szCs w:val="24"/>
        </w:rPr>
      </w:pPr>
      <w:r w:rsidRPr="005322E2">
        <w:rPr>
          <w:b/>
          <w:szCs w:val="24"/>
        </w:rPr>
        <w:t>California Department of Education</w:t>
      </w:r>
    </w:p>
    <w:p w:rsidR="00A62F48" w:rsidRPr="005322E2" w:rsidRDefault="00A62F48" w:rsidP="00A62F48">
      <w:pPr>
        <w:tabs>
          <w:tab w:val="left" w:pos="5040"/>
        </w:tabs>
        <w:jc w:val="center"/>
        <w:rPr>
          <w:b/>
          <w:szCs w:val="24"/>
        </w:rPr>
      </w:pPr>
      <w:r w:rsidRPr="005322E2">
        <w:rPr>
          <w:b/>
          <w:szCs w:val="24"/>
        </w:rPr>
        <w:t>1430 N Street, Suite 6408</w:t>
      </w:r>
    </w:p>
    <w:p w:rsidR="00A62F48" w:rsidRPr="00D06605" w:rsidRDefault="00A62F48" w:rsidP="00D06605">
      <w:pPr>
        <w:tabs>
          <w:tab w:val="left" w:pos="5040"/>
        </w:tabs>
        <w:spacing w:after="240"/>
        <w:jc w:val="center"/>
        <w:rPr>
          <w:b/>
          <w:szCs w:val="24"/>
        </w:rPr>
      </w:pPr>
      <w:r w:rsidRPr="005322E2">
        <w:rPr>
          <w:b/>
          <w:szCs w:val="24"/>
        </w:rPr>
        <w:t>Sacramento, CA 95814-5901</w:t>
      </w:r>
    </w:p>
    <w:p w:rsidR="00A62F48" w:rsidRDefault="00A62F48" w:rsidP="00A62F48">
      <w:pPr>
        <w:tabs>
          <w:tab w:val="left" w:pos="5040"/>
        </w:tabs>
        <w:spacing w:after="360"/>
        <w:ind w:left="720"/>
        <w:rPr>
          <w:szCs w:val="24"/>
        </w:rPr>
      </w:pPr>
      <w:r w:rsidRPr="005322E2">
        <w:rPr>
          <w:szCs w:val="24"/>
        </w:rPr>
        <w:t>The CDE reserves the right to reject any or all applications. The state's waiver of any submission of material not required in the Continuing Application does not excuse the grantee from full compliance with the grant terms, if a grant is awarded.</w:t>
      </w:r>
    </w:p>
    <w:p w:rsidR="00A62F48" w:rsidRDefault="00D06605" w:rsidP="001914FD">
      <w:pPr>
        <w:pStyle w:val="Heading3"/>
        <w:numPr>
          <w:ilvl w:val="0"/>
          <w:numId w:val="9"/>
        </w:numPr>
        <w:spacing w:after="240"/>
      </w:pPr>
      <w:r>
        <w:t>Required Assurances</w:t>
      </w:r>
    </w:p>
    <w:p w:rsidR="00D06605" w:rsidRPr="005322E2" w:rsidRDefault="00D06605" w:rsidP="00D06605">
      <w:pPr>
        <w:spacing w:after="240"/>
        <w:ind w:left="360" w:firstLine="360"/>
        <w:rPr>
          <w:color w:val="000000"/>
          <w:szCs w:val="24"/>
        </w:rPr>
      </w:pPr>
      <w:r w:rsidRPr="005322E2">
        <w:rPr>
          <w:color w:val="000000"/>
          <w:szCs w:val="24"/>
        </w:rPr>
        <w:t>General Assurances are required for grant app</w:t>
      </w:r>
      <w:r>
        <w:rPr>
          <w:color w:val="000000"/>
          <w:szCs w:val="24"/>
        </w:rPr>
        <w:t>lications submitted to the CDE.</w:t>
      </w:r>
    </w:p>
    <w:p w:rsidR="00D06605" w:rsidRPr="005322E2" w:rsidRDefault="00D06605" w:rsidP="00D06605">
      <w:pPr>
        <w:spacing w:after="240"/>
        <w:ind w:left="720"/>
        <w:rPr>
          <w:color w:val="000000"/>
          <w:szCs w:val="24"/>
        </w:rPr>
      </w:pPr>
      <w:r w:rsidRPr="005322E2">
        <w:rPr>
          <w:b/>
          <w:color w:val="000000"/>
          <w:szCs w:val="24"/>
        </w:rPr>
        <w:t>Note:</w:t>
      </w:r>
      <w:r w:rsidRPr="005322E2">
        <w:rPr>
          <w:color w:val="000000"/>
          <w:szCs w:val="24"/>
        </w:rPr>
        <w:t xml:space="preserve"> The signed </w:t>
      </w:r>
      <w:r>
        <w:rPr>
          <w:color w:val="000000"/>
          <w:szCs w:val="24"/>
        </w:rPr>
        <w:t>C</w:t>
      </w:r>
      <w:r w:rsidRPr="005322E2">
        <w:rPr>
          <w:color w:val="000000"/>
          <w:szCs w:val="24"/>
        </w:rPr>
        <w:t xml:space="preserve">ontinuing </w:t>
      </w:r>
      <w:r>
        <w:rPr>
          <w:color w:val="000000"/>
          <w:szCs w:val="24"/>
        </w:rPr>
        <w:t>Program Grant A</w:t>
      </w:r>
      <w:r w:rsidRPr="005322E2">
        <w:rPr>
          <w:color w:val="000000"/>
          <w:szCs w:val="24"/>
        </w:rPr>
        <w:t xml:space="preserve">pplication </w:t>
      </w:r>
      <w:r>
        <w:rPr>
          <w:color w:val="000000"/>
          <w:szCs w:val="24"/>
        </w:rPr>
        <w:t xml:space="preserve">Cover Page </w:t>
      </w:r>
      <w:r w:rsidRPr="005322E2">
        <w:rPr>
          <w:color w:val="000000"/>
          <w:szCs w:val="24"/>
        </w:rPr>
        <w:t>submitted to the CDE confirms a commitment to comp</w:t>
      </w:r>
      <w:r>
        <w:rPr>
          <w:color w:val="000000"/>
          <w:szCs w:val="24"/>
        </w:rPr>
        <w:t>ly with the General Assurances.</w:t>
      </w:r>
    </w:p>
    <w:p w:rsidR="00D06605" w:rsidRPr="005322E2" w:rsidRDefault="00D06605" w:rsidP="00D06605">
      <w:pPr>
        <w:spacing w:after="240"/>
        <w:ind w:left="720"/>
        <w:rPr>
          <w:color w:val="000000"/>
          <w:szCs w:val="24"/>
        </w:rPr>
      </w:pPr>
      <w:r w:rsidRPr="005322E2">
        <w:rPr>
          <w:color w:val="000000"/>
          <w:szCs w:val="24"/>
        </w:rPr>
        <w:t>Applicants must download the General Assurances form and keep it on file for compliance reviews, compla</w:t>
      </w:r>
      <w:r>
        <w:rPr>
          <w:color w:val="000000"/>
          <w:szCs w:val="24"/>
        </w:rPr>
        <w:t>int investigations, or audits.</w:t>
      </w:r>
    </w:p>
    <w:p w:rsidR="00D06605" w:rsidRPr="00D06605" w:rsidRDefault="00D06605" w:rsidP="001914FD">
      <w:pPr>
        <w:numPr>
          <w:ilvl w:val="0"/>
          <w:numId w:val="13"/>
        </w:numPr>
        <w:spacing w:after="240"/>
        <w:rPr>
          <w:szCs w:val="24"/>
        </w:rPr>
      </w:pPr>
      <w:r w:rsidRPr="00E92039">
        <w:rPr>
          <w:szCs w:val="24"/>
        </w:rPr>
        <w:t>General Assurances form</w:t>
      </w:r>
      <w:r w:rsidRPr="005322E2">
        <w:rPr>
          <w:szCs w:val="24"/>
        </w:rPr>
        <w:t>:</w:t>
      </w:r>
      <w:r>
        <w:rPr>
          <w:szCs w:val="24"/>
        </w:rPr>
        <w:t xml:space="preserve"> </w:t>
      </w:r>
      <w:hyperlink r:id="rId15" w:history="1">
        <w:r w:rsidR="00E92039" w:rsidRPr="005B235F">
          <w:rPr>
            <w:rStyle w:val="Hyperlink"/>
            <w:szCs w:val="24"/>
          </w:rPr>
          <w:t>http://www.cde.ca.gov/fg/fo/fm/generalassurances2018.asp</w:t>
        </w:r>
      </w:hyperlink>
      <w:r w:rsidR="00E92039">
        <w:rPr>
          <w:szCs w:val="24"/>
        </w:rPr>
        <w:t xml:space="preserve"> </w:t>
      </w:r>
    </w:p>
    <w:p w:rsidR="00D06605" w:rsidRPr="005322E2" w:rsidRDefault="00D06605" w:rsidP="00D06605">
      <w:pPr>
        <w:pStyle w:val="Footer"/>
        <w:tabs>
          <w:tab w:val="clear" w:pos="4320"/>
          <w:tab w:val="clear" w:pos="8640"/>
        </w:tabs>
        <w:spacing w:after="240"/>
        <w:ind w:left="360" w:firstLine="360"/>
        <w:rPr>
          <w:szCs w:val="24"/>
        </w:rPr>
      </w:pPr>
      <w:r w:rsidRPr="005322E2">
        <w:rPr>
          <w:szCs w:val="24"/>
        </w:rPr>
        <w:t>The following also must be completed and submitted:</w:t>
      </w:r>
    </w:p>
    <w:p w:rsidR="00D06605" w:rsidRDefault="00D06605" w:rsidP="001914FD">
      <w:pPr>
        <w:pStyle w:val="Footer"/>
        <w:numPr>
          <w:ilvl w:val="0"/>
          <w:numId w:val="12"/>
        </w:numPr>
        <w:tabs>
          <w:tab w:val="clear" w:pos="2160"/>
          <w:tab w:val="clear" w:pos="4320"/>
          <w:tab w:val="clear" w:pos="8640"/>
        </w:tabs>
        <w:ind w:left="1440"/>
        <w:rPr>
          <w:szCs w:val="24"/>
        </w:rPr>
      </w:pPr>
      <w:r w:rsidRPr="005322E2">
        <w:rPr>
          <w:szCs w:val="24"/>
        </w:rPr>
        <w:t>AIEC</w:t>
      </w:r>
      <w:r>
        <w:rPr>
          <w:szCs w:val="24"/>
        </w:rPr>
        <w:t>—</w:t>
      </w:r>
      <w:r w:rsidRPr="005322E2">
        <w:rPr>
          <w:szCs w:val="24"/>
        </w:rPr>
        <w:t>Documentation Requirements (A</w:t>
      </w:r>
      <w:r>
        <w:rPr>
          <w:szCs w:val="24"/>
        </w:rPr>
        <w:t>ttachment</w:t>
      </w:r>
      <w:r w:rsidRPr="005322E2">
        <w:rPr>
          <w:szCs w:val="24"/>
        </w:rPr>
        <w:t xml:space="preserve"> </w:t>
      </w:r>
      <w:r>
        <w:rPr>
          <w:szCs w:val="24"/>
        </w:rPr>
        <w:t>2</w:t>
      </w:r>
      <w:r w:rsidRPr="005322E2">
        <w:rPr>
          <w:szCs w:val="24"/>
        </w:rPr>
        <w:t>)</w:t>
      </w:r>
    </w:p>
    <w:p w:rsidR="00D06605" w:rsidRDefault="00D06605" w:rsidP="001914FD">
      <w:pPr>
        <w:pStyle w:val="Footer"/>
        <w:numPr>
          <w:ilvl w:val="0"/>
          <w:numId w:val="12"/>
        </w:numPr>
        <w:tabs>
          <w:tab w:val="clear" w:pos="2160"/>
          <w:tab w:val="clear" w:pos="4320"/>
          <w:tab w:val="clear" w:pos="8640"/>
        </w:tabs>
        <w:spacing w:after="360"/>
        <w:ind w:left="1440"/>
        <w:rPr>
          <w:szCs w:val="24"/>
        </w:rPr>
      </w:pPr>
      <w:r>
        <w:rPr>
          <w:szCs w:val="24"/>
        </w:rPr>
        <w:t>AIEC—Commercial Tobacco-Free Certification (Attachment 3)</w:t>
      </w:r>
    </w:p>
    <w:p w:rsidR="00D06605" w:rsidRDefault="00D06605" w:rsidP="001914FD">
      <w:pPr>
        <w:pStyle w:val="Heading3"/>
        <w:numPr>
          <w:ilvl w:val="0"/>
          <w:numId w:val="9"/>
        </w:numPr>
        <w:spacing w:after="240"/>
      </w:pPr>
      <w:r>
        <w:t>Other Required Forms</w:t>
      </w:r>
    </w:p>
    <w:p w:rsidR="00D06605" w:rsidRDefault="00D06605" w:rsidP="00D06605">
      <w:pPr>
        <w:keepNext/>
        <w:spacing w:after="240"/>
        <w:ind w:left="360" w:firstLine="360"/>
        <w:rPr>
          <w:szCs w:val="24"/>
        </w:rPr>
      </w:pPr>
      <w:r w:rsidRPr="005322E2">
        <w:rPr>
          <w:szCs w:val="24"/>
        </w:rPr>
        <w:t>Please also complete and submit:</w:t>
      </w:r>
    </w:p>
    <w:p w:rsidR="00D06605" w:rsidRPr="005322E2" w:rsidRDefault="00D06605" w:rsidP="001914FD">
      <w:pPr>
        <w:pStyle w:val="Footer"/>
        <w:numPr>
          <w:ilvl w:val="0"/>
          <w:numId w:val="14"/>
        </w:numPr>
        <w:tabs>
          <w:tab w:val="clear" w:pos="756"/>
          <w:tab w:val="clear" w:pos="4320"/>
          <w:tab w:val="clear" w:pos="8640"/>
        </w:tabs>
        <w:ind w:left="1440"/>
        <w:rPr>
          <w:szCs w:val="24"/>
        </w:rPr>
      </w:pPr>
      <w:r w:rsidRPr="005322E2">
        <w:rPr>
          <w:szCs w:val="24"/>
        </w:rPr>
        <w:t xml:space="preserve">AIEC Board of Directors/Tribal Council and Parent Advisory Council List </w:t>
      </w:r>
    </w:p>
    <w:p w:rsidR="00D06605" w:rsidRPr="005322E2" w:rsidRDefault="00D06605" w:rsidP="00D06605">
      <w:pPr>
        <w:pStyle w:val="Footer"/>
        <w:tabs>
          <w:tab w:val="clear" w:pos="4320"/>
          <w:tab w:val="clear" w:pos="8640"/>
        </w:tabs>
        <w:spacing w:after="240"/>
        <w:ind w:left="1440"/>
        <w:rPr>
          <w:szCs w:val="24"/>
        </w:rPr>
      </w:pPr>
      <w:r>
        <w:rPr>
          <w:szCs w:val="24"/>
        </w:rPr>
        <w:lastRenderedPageBreak/>
        <w:t>(Attachment 4</w:t>
      </w:r>
      <w:r w:rsidRPr="005322E2">
        <w:rPr>
          <w:szCs w:val="24"/>
        </w:rPr>
        <w:t>)</w:t>
      </w:r>
    </w:p>
    <w:p w:rsidR="00D06605" w:rsidRPr="00D06605" w:rsidRDefault="00D06605" w:rsidP="0012089C">
      <w:pPr>
        <w:numPr>
          <w:ilvl w:val="0"/>
          <w:numId w:val="15"/>
        </w:numPr>
        <w:spacing w:after="240"/>
        <w:ind w:left="1440"/>
        <w:rPr>
          <w:szCs w:val="24"/>
        </w:rPr>
      </w:pPr>
      <w:r w:rsidRPr="00E92039">
        <w:rPr>
          <w:szCs w:val="24"/>
        </w:rPr>
        <w:t>Fu</w:t>
      </w:r>
      <w:r w:rsidR="0012089C" w:rsidRPr="00E92039">
        <w:rPr>
          <w:szCs w:val="24"/>
        </w:rPr>
        <w:t>nding from Other Sources Table</w:t>
      </w:r>
      <w:r w:rsidR="00E92039">
        <w:rPr>
          <w:szCs w:val="24"/>
        </w:rPr>
        <w:t xml:space="preserve"> </w:t>
      </w:r>
      <w:hyperlink r:id="rId16" w:history="1">
        <w:r w:rsidR="00E92039" w:rsidRPr="005B235F">
          <w:rPr>
            <w:rStyle w:val="Hyperlink"/>
            <w:szCs w:val="24"/>
          </w:rPr>
          <w:t>https://www.cde.ca.gov/fg/fo/r8/aiec17rfa.asp</w:t>
        </w:r>
      </w:hyperlink>
      <w:r w:rsidR="00E92039">
        <w:rPr>
          <w:szCs w:val="24"/>
        </w:rPr>
        <w:t xml:space="preserve"> </w:t>
      </w:r>
    </w:p>
    <w:p w:rsidR="00D06605" w:rsidRPr="00D06605" w:rsidRDefault="0012089C" w:rsidP="0012089C">
      <w:pPr>
        <w:numPr>
          <w:ilvl w:val="0"/>
          <w:numId w:val="15"/>
        </w:numPr>
        <w:spacing w:after="360"/>
        <w:ind w:firstLine="360"/>
        <w:rPr>
          <w:szCs w:val="24"/>
        </w:rPr>
      </w:pPr>
      <w:r w:rsidRPr="00E92039">
        <w:rPr>
          <w:szCs w:val="24"/>
        </w:rPr>
        <w:t>Project Activities Table</w:t>
      </w:r>
      <w:r w:rsidR="00E92039">
        <w:rPr>
          <w:szCs w:val="24"/>
        </w:rPr>
        <w:t xml:space="preserve"> -</w:t>
      </w:r>
      <w:r w:rsidR="006F5DC2">
        <w:rPr>
          <w:szCs w:val="24"/>
        </w:rPr>
        <w:t xml:space="preserve"> </w:t>
      </w:r>
      <w:hyperlink r:id="rId17" w:history="1">
        <w:r w:rsidR="00E92039" w:rsidRPr="005B235F">
          <w:rPr>
            <w:rStyle w:val="Hyperlink"/>
            <w:szCs w:val="24"/>
          </w:rPr>
          <w:t>https://www.cde.ca.gov/fg/fo/r8/aiec17rfa.asp</w:t>
        </w:r>
      </w:hyperlink>
      <w:r w:rsidR="00E92039">
        <w:rPr>
          <w:szCs w:val="24"/>
        </w:rPr>
        <w:t xml:space="preserve"> </w:t>
      </w:r>
    </w:p>
    <w:p w:rsidR="00D06605" w:rsidRDefault="00D06605" w:rsidP="001914FD">
      <w:pPr>
        <w:pStyle w:val="Heading3"/>
        <w:numPr>
          <w:ilvl w:val="0"/>
          <w:numId w:val="9"/>
        </w:numPr>
        <w:spacing w:after="240"/>
      </w:pPr>
      <w:r>
        <w:t>Revisions to the Comprehensive Plan</w:t>
      </w:r>
    </w:p>
    <w:p w:rsidR="00D06605" w:rsidRDefault="00D06605" w:rsidP="00D06605">
      <w:pPr>
        <w:pStyle w:val="ListParagraph"/>
        <w:spacing w:after="240"/>
        <w:rPr>
          <w:color w:val="000000"/>
          <w:szCs w:val="24"/>
        </w:rPr>
      </w:pPr>
      <w:r w:rsidRPr="00D06605">
        <w:rPr>
          <w:color w:val="000000"/>
          <w:szCs w:val="24"/>
        </w:rPr>
        <w:t>Identify and describe in detail any changes to your current comprehensive plan components. Include rationale and justification for program or measurable objective changes.</w:t>
      </w:r>
    </w:p>
    <w:p w:rsidR="00D06605" w:rsidRDefault="00D06605" w:rsidP="00D06605">
      <w:pPr>
        <w:pStyle w:val="ListParagraph"/>
        <w:spacing w:after="360"/>
        <w:rPr>
          <w:color w:val="44546A"/>
          <w:szCs w:val="24"/>
        </w:rPr>
      </w:pPr>
      <w:r>
        <w:rPr>
          <w:color w:val="222000"/>
          <w:szCs w:val="24"/>
        </w:rPr>
        <w:t>If you provide an after school snack, e</w:t>
      </w:r>
      <w:r w:rsidRPr="00A32F64">
        <w:rPr>
          <w:color w:val="222000"/>
          <w:szCs w:val="24"/>
        </w:rPr>
        <w:t>ach program is required to develop and maintain an After School Snack Menu. This menu must follow the current California Guidelines for healthy snacks</w:t>
      </w:r>
      <w:r w:rsidRPr="00EB6EA1">
        <w:rPr>
          <w:rStyle w:val="Hyperlink"/>
          <w:color w:val="000000"/>
          <w:szCs w:val="24"/>
        </w:rPr>
        <w:t xml:space="preserve"> (</w:t>
      </w:r>
      <w:r>
        <w:rPr>
          <w:rStyle w:val="Emphasis"/>
          <w:color w:val="000000"/>
          <w:szCs w:val="24"/>
        </w:rPr>
        <w:t>EC</w:t>
      </w:r>
      <w:r>
        <w:rPr>
          <w:color w:val="000000"/>
          <w:szCs w:val="24"/>
        </w:rPr>
        <w:t xml:space="preserve"> sections 49430–49431.7, 8423[c</w:t>
      </w:r>
      <w:proofErr w:type="gramStart"/>
      <w:r>
        <w:rPr>
          <w:color w:val="000000"/>
          <w:szCs w:val="24"/>
        </w:rPr>
        <w:t>]3</w:t>
      </w:r>
      <w:proofErr w:type="gramEnd"/>
      <w:r>
        <w:rPr>
          <w:color w:val="000000"/>
          <w:szCs w:val="24"/>
        </w:rPr>
        <w:t>, 8482–</w:t>
      </w:r>
      <w:r w:rsidRPr="00A32F64">
        <w:rPr>
          <w:color w:val="000000"/>
          <w:szCs w:val="24"/>
        </w:rPr>
        <w:t>8484.6)</w:t>
      </w:r>
      <w:r w:rsidRPr="00A32F64">
        <w:rPr>
          <w:color w:val="222000"/>
          <w:szCs w:val="24"/>
        </w:rPr>
        <w:t xml:space="preserve">. </w:t>
      </w:r>
      <w:r w:rsidRPr="00A32F64">
        <w:rPr>
          <w:color w:val="333333"/>
          <w:szCs w:val="24"/>
        </w:rPr>
        <w:t xml:space="preserve">The </w:t>
      </w:r>
      <w:r w:rsidRPr="00A32F64">
        <w:rPr>
          <w:i/>
          <w:iCs/>
          <w:color w:val="222000"/>
          <w:szCs w:val="24"/>
        </w:rPr>
        <w:t xml:space="preserve">Healthy </w:t>
      </w:r>
      <w:proofErr w:type="gramStart"/>
      <w:r w:rsidRPr="00A32F64">
        <w:rPr>
          <w:i/>
          <w:iCs/>
          <w:color w:val="222000"/>
          <w:szCs w:val="24"/>
        </w:rPr>
        <w:t>After</w:t>
      </w:r>
      <w:proofErr w:type="gramEnd"/>
      <w:r w:rsidRPr="00A32F64">
        <w:rPr>
          <w:i/>
          <w:iCs/>
          <w:color w:val="222000"/>
          <w:szCs w:val="24"/>
        </w:rPr>
        <w:t xml:space="preserve"> School Snack and Meal Guide (Revised March 2014) </w:t>
      </w:r>
      <w:r w:rsidRPr="00A32F64">
        <w:rPr>
          <w:color w:val="222000"/>
          <w:szCs w:val="24"/>
        </w:rPr>
        <w:t>can</w:t>
      </w:r>
      <w:r w:rsidRPr="00A32F64">
        <w:rPr>
          <w:color w:val="333333"/>
          <w:szCs w:val="24"/>
        </w:rPr>
        <w:t xml:space="preserve"> help staff serve healthy snacks and meals while respecting the unique challenges that after school programs face such as funding, equipment limitations</w:t>
      </w:r>
      <w:r>
        <w:rPr>
          <w:color w:val="333333"/>
          <w:szCs w:val="24"/>
        </w:rPr>
        <w:t>,</w:t>
      </w:r>
      <w:r w:rsidRPr="00A32F64">
        <w:rPr>
          <w:color w:val="333333"/>
          <w:szCs w:val="24"/>
        </w:rPr>
        <w:t xml:space="preserve"> and cultural influences. The guide contains helpful tips on how to start serving healthy snacks, as well as sample cycle menus to make it easier for you.</w:t>
      </w:r>
      <w:r>
        <w:rPr>
          <w:color w:val="333333"/>
          <w:szCs w:val="24"/>
        </w:rPr>
        <w:t xml:space="preserve"> The</w:t>
      </w:r>
      <w:r w:rsidRPr="00A32F64">
        <w:rPr>
          <w:color w:val="333333"/>
          <w:szCs w:val="24"/>
        </w:rPr>
        <w:t xml:space="preserve"> </w:t>
      </w:r>
      <w:r w:rsidRPr="00A32F64">
        <w:rPr>
          <w:i/>
          <w:iCs/>
          <w:color w:val="222000"/>
          <w:szCs w:val="24"/>
        </w:rPr>
        <w:t xml:space="preserve">Healthy </w:t>
      </w:r>
      <w:proofErr w:type="gramStart"/>
      <w:r w:rsidRPr="00A32F64">
        <w:rPr>
          <w:i/>
          <w:iCs/>
          <w:color w:val="222000"/>
          <w:szCs w:val="24"/>
        </w:rPr>
        <w:t>After</w:t>
      </w:r>
      <w:proofErr w:type="gramEnd"/>
      <w:r w:rsidRPr="00A32F64">
        <w:rPr>
          <w:i/>
          <w:iCs/>
          <w:color w:val="222000"/>
          <w:szCs w:val="24"/>
        </w:rPr>
        <w:t xml:space="preserve"> School Snack and Meal Guide</w:t>
      </w:r>
      <w:r>
        <w:rPr>
          <w:color w:val="222000"/>
          <w:szCs w:val="24"/>
        </w:rPr>
        <w:t xml:space="preserve"> can be found on the </w:t>
      </w:r>
      <w:r w:rsidRPr="00E92039">
        <w:rPr>
          <w:szCs w:val="24"/>
        </w:rPr>
        <w:t>CANFIT</w:t>
      </w:r>
      <w:r w:rsidR="009300B1">
        <w:rPr>
          <w:color w:val="222000"/>
          <w:szCs w:val="24"/>
        </w:rPr>
        <w:t xml:space="preserve"> w</w:t>
      </w:r>
      <w:r>
        <w:rPr>
          <w:color w:val="222000"/>
          <w:szCs w:val="24"/>
        </w:rPr>
        <w:t xml:space="preserve">eb page at </w:t>
      </w:r>
      <w:hyperlink r:id="rId18" w:history="1">
        <w:r w:rsidR="00E92039" w:rsidRPr="005B235F">
          <w:rPr>
            <w:rStyle w:val="Hyperlink"/>
            <w:szCs w:val="24"/>
          </w:rPr>
          <w:t>http://canfit.org/our_work/programs/snackguide</w:t>
        </w:r>
      </w:hyperlink>
      <w:r w:rsidR="00E92039">
        <w:rPr>
          <w:color w:val="44546A"/>
          <w:szCs w:val="24"/>
        </w:rPr>
        <w:t>.</w:t>
      </w:r>
    </w:p>
    <w:p w:rsidR="00D06605" w:rsidRDefault="00D06605" w:rsidP="001914FD">
      <w:pPr>
        <w:pStyle w:val="Heading3"/>
        <w:numPr>
          <w:ilvl w:val="0"/>
          <w:numId w:val="9"/>
        </w:numPr>
        <w:spacing w:after="240"/>
      </w:pPr>
      <w:r>
        <w:t>Grant Funding Procedures</w:t>
      </w:r>
    </w:p>
    <w:p w:rsidR="00D06605" w:rsidRDefault="00D06605" w:rsidP="00D06605">
      <w:pPr>
        <w:spacing w:after="240"/>
        <w:ind w:left="720"/>
        <w:rPr>
          <w:szCs w:val="24"/>
        </w:rPr>
      </w:pPr>
      <w:r>
        <w:t xml:space="preserve">The CDE shall distribute 75 percent of the grant award for </w:t>
      </w:r>
      <w:r w:rsidRPr="005322E2">
        <w:rPr>
          <w:szCs w:val="24"/>
        </w:rPr>
        <w:t>each year of the grant no later than 45 days after enactment of the annual Budget Act or any additional authorizing statute, whichever is later (</w:t>
      </w:r>
      <w:r w:rsidRPr="005322E2">
        <w:rPr>
          <w:i/>
          <w:szCs w:val="24"/>
        </w:rPr>
        <w:t>EC</w:t>
      </w:r>
      <w:r w:rsidRPr="005322E2">
        <w:rPr>
          <w:szCs w:val="24"/>
        </w:rPr>
        <w:t xml:space="preserve"> Section 33383[g][1]), </w:t>
      </w:r>
      <w:r w:rsidRPr="005322E2">
        <w:rPr>
          <w:b/>
          <w:szCs w:val="24"/>
        </w:rPr>
        <w:t>provided</w:t>
      </w:r>
      <w:r w:rsidRPr="005322E2">
        <w:rPr>
          <w:szCs w:val="24"/>
        </w:rPr>
        <w:t xml:space="preserve"> </w:t>
      </w:r>
      <w:r w:rsidRPr="005322E2">
        <w:rPr>
          <w:b/>
          <w:szCs w:val="24"/>
        </w:rPr>
        <w:t>that</w:t>
      </w:r>
      <w:r w:rsidRPr="005322E2">
        <w:rPr>
          <w:szCs w:val="24"/>
        </w:rPr>
        <w:t xml:space="preserve"> the application for an AIEC has been approved by the CDE, the applicant has received written verification of that approval, the applicant has returned a signed Grant Award Notification (AO-400), and all outstanding reports have been approved by the CDE. The final 25 percent of the grant award shall be distributed no later than April 1 (</w:t>
      </w:r>
      <w:r w:rsidRPr="005322E2">
        <w:rPr>
          <w:i/>
          <w:szCs w:val="24"/>
        </w:rPr>
        <w:t xml:space="preserve">EC </w:t>
      </w:r>
      <w:r w:rsidRPr="005322E2">
        <w:rPr>
          <w:szCs w:val="24"/>
        </w:rPr>
        <w:t>Section 33383[g</w:t>
      </w:r>
      <w:proofErr w:type="gramStart"/>
      <w:r w:rsidRPr="005322E2">
        <w:rPr>
          <w:szCs w:val="24"/>
        </w:rPr>
        <w:t>][</w:t>
      </w:r>
      <w:proofErr w:type="gramEnd"/>
      <w:r w:rsidRPr="005322E2">
        <w:rPr>
          <w:szCs w:val="24"/>
        </w:rPr>
        <w:t>2]), provided all outstanding reports have been approved by the CDE.</w:t>
      </w:r>
    </w:p>
    <w:p w:rsidR="00D06605" w:rsidRDefault="00D06605" w:rsidP="00EC00A9">
      <w:pPr>
        <w:spacing w:after="360"/>
        <w:ind w:left="720"/>
        <w:rPr>
          <w:szCs w:val="24"/>
        </w:rPr>
      </w:pPr>
      <w:r>
        <w:rPr>
          <w:szCs w:val="24"/>
        </w:rPr>
        <w:t xml:space="preserve">Failure to </w:t>
      </w:r>
      <w:r w:rsidRPr="005322E2">
        <w:rPr>
          <w:szCs w:val="24"/>
        </w:rPr>
        <w:t xml:space="preserve">submit the annual program report, quarterly fiscal reports, or results of the fiscal audit of expenditures by the due dates will result in a delay of the second payment for the current year and all payments for subsequent grant years until the reports are submitted (5 </w:t>
      </w:r>
      <w:r w:rsidRPr="005322E2">
        <w:rPr>
          <w:i/>
          <w:szCs w:val="24"/>
        </w:rPr>
        <w:t>CCR</w:t>
      </w:r>
      <w:r>
        <w:rPr>
          <w:szCs w:val="24"/>
        </w:rPr>
        <w:t>, Section 11996.7</w:t>
      </w:r>
      <w:r w:rsidRPr="005322E2">
        <w:rPr>
          <w:szCs w:val="24"/>
        </w:rPr>
        <w:t>, subdivision [d]).</w:t>
      </w:r>
    </w:p>
    <w:p w:rsidR="00EC00A9" w:rsidRDefault="00EC00A9" w:rsidP="001914FD">
      <w:pPr>
        <w:pStyle w:val="Heading3"/>
        <w:numPr>
          <w:ilvl w:val="0"/>
          <w:numId w:val="9"/>
        </w:numPr>
        <w:spacing w:after="240"/>
      </w:pPr>
      <w:r>
        <w:t>California Healthy Kids Survey</w:t>
      </w:r>
    </w:p>
    <w:p w:rsidR="00EC00A9" w:rsidRDefault="00EC00A9" w:rsidP="00EC00A9">
      <w:pPr>
        <w:spacing w:after="240"/>
        <w:ind w:left="720"/>
        <w:rPr>
          <w:szCs w:val="24"/>
        </w:rPr>
      </w:pPr>
      <w:r>
        <w:t xml:space="preserve">All grantees will be required </w:t>
      </w:r>
      <w:r w:rsidRPr="006631E9">
        <w:rPr>
          <w:szCs w:val="24"/>
        </w:rPr>
        <w:t xml:space="preserve">to conduct the California Healthy Kids Survey (CHKS) Core Module to students in grade seven through </w:t>
      </w:r>
      <w:r>
        <w:rPr>
          <w:szCs w:val="24"/>
        </w:rPr>
        <w:t>grade twelve (K–12(</w:t>
      </w:r>
      <w:r w:rsidRPr="006631E9">
        <w:rPr>
          <w:szCs w:val="24"/>
        </w:rPr>
        <w:t xml:space="preserve"> and the CHKS Elementary Module to students in grades </w:t>
      </w:r>
      <w:r>
        <w:rPr>
          <w:szCs w:val="24"/>
        </w:rPr>
        <w:t>K–6</w:t>
      </w:r>
      <w:r w:rsidRPr="006631E9">
        <w:rPr>
          <w:szCs w:val="24"/>
        </w:rPr>
        <w:t xml:space="preserve">. </w:t>
      </w:r>
      <w:r w:rsidRPr="006631E9">
        <w:rPr>
          <w:color w:val="000000"/>
          <w:szCs w:val="24"/>
        </w:rPr>
        <w:t xml:space="preserve">Grantees may use </w:t>
      </w:r>
      <w:r w:rsidRPr="006631E9">
        <w:rPr>
          <w:color w:val="000000"/>
          <w:szCs w:val="24"/>
        </w:rPr>
        <w:lastRenderedPageBreak/>
        <w:t xml:space="preserve">grant funds to support the cost of implementing the CHKS Core Module and the CHKS Elementary Module. </w:t>
      </w:r>
      <w:r w:rsidRPr="006631E9">
        <w:rPr>
          <w:szCs w:val="24"/>
        </w:rPr>
        <w:t xml:space="preserve">Applicants must receive parental permission prior to conducting the survey. For additional information regarding the administration of the CHKS, visit the </w:t>
      </w:r>
      <w:proofErr w:type="spellStart"/>
      <w:r w:rsidRPr="00E92039">
        <w:rPr>
          <w:szCs w:val="24"/>
        </w:rPr>
        <w:t>WestEd</w:t>
      </w:r>
      <w:proofErr w:type="spellEnd"/>
      <w:r w:rsidR="009300B1">
        <w:rPr>
          <w:szCs w:val="24"/>
        </w:rPr>
        <w:t xml:space="preserve"> w</w:t>
      </w:r>
      <w:r w:rsidRPr="006631E9">
        <w:rPr>
          <w:szCs w:val="24"/>
        </w:rPr>
        <w:t xml:space="preserve">eb site at </w:t>
      </w:r>
      <w:hyperlink r:id="rId19" w:history="1">
        <w:r w:rsidR="00E92039" w:rsidRPr="005B235F">
          <w:rPr>
            <w:rStyle w:val="Hyperlink"/>
            <w:szCs w:val="24"/>
          </w:rPr>
          <w:t>http://wested.org/resources/healthy-kids-survey-hks</w:t>
        </w:r>
      </w:hyperlink>
      <w:r w:rsidR="00E92039">
        <w:rPr>
          <w:szCs w:val="24"/>
        </w:rPr>
        <w:t xml:space="preserve"> </w:t>
      </w:r>
      <w:r w:rsidRPr="006631E9">
        <w:rPr>
          <w:szCs w:val="24"/>
        </w:rPr>
        <w:t>or request assistance by phone at 888-841-7536. The signature of the Chairperson or Designee on the Application Cover Page, serves as an assurance that the grantee will administer the CHKS.</w:t>
      </w:r>
    </w:p>
    <w:p w:rsidR="00EC00A9" w:rsidRPr="006631E9" w:rsidRDefault="00EC00A9" w:rsidP="00EC00A9">
      <w:pPr>
        <w:spacing w:after="240"/>
        <w:ind w:left="720"/>
        <w:rPr>
          <w:szCs w:val="24"/>
        </w:rPr>
      </w:pPr>
      <w:r>
        <w:rPr>
          <w:szCs w:val="24"/>
        </w:rPr>
        <w:t xml:space="preserve">Provide a description </w:t>
      </w:r>
      <w:r w:rsidRPr="006631E9">
        <w:rPr>
          <w:szCs w:val="24"/>
        </w:rPr>
        <w:t>of the steps the applicant will take to administer the CHKS and the applicant’s commitment to the analysis and use of the data to substantiate or improve the Program</w:t>
      </w:r>
      <w:r w:rsidRPr="006631E9">
        <w:rPr>
          <w:b/>
          <w:bCs w:val="0"/>
          <w:szCs w:val="24"/>
        </w:rPr>
        <w:t xml:space="preserve">. </w:t>
      </w:r>
      <w:r w:rsidRPr="006631E9">
        <w:rPr>
          <w:szCs w:val="24"/>
        </w:rPr>
        <w:t>The use of tables to document this data is acceptable. Applications must contain the following elements:</w:t>
      </w:r>
    </w:p>
    <w:p w:rsidR="00EC00A9" w:rsidRPr="00EC00A9" w:rsidRDefault="00EC00A9" w:rsidP="001914FD">
      <w:pPr>
        <w:numPr>
          <w:ilvl w:val="0"/>
          <w:numId w:val="16"/>
        </w:numPr>
        <w:tabs>
          <w:tab w:val="clear" w:pos="1560"/>
        </w:tabs>
        <w:autoSpaceDE w:val="0"/>
        <w:autoSpaceDN w:val="0"/>
        <w:spacing w:after="240"/>
        <w:ind w:left="1440"/>
        <w:rPr>
          <w:szCs w:val="24"/>
        </w:rPr>
      </w:pPr>
      <w:r w:rsidRPr="006631E9">
        <w:rPr>
          <w:szCs w:val="24"/>
        </w:rPr>
        <w:t>A description as to when the first administration of the CHKS will occur, the approximate dates on which the CHKS w</w:t>
      </w:r>
      <w:r>
        <w:rPr>
          <w:szCs w:val="24"/>
        </w:rPr>
        <w:t>ill be administered every year.</w:t>
      </w:r>
    </w:p>
    <w:p w:rsidR="00EC00A9" w:rsidRPr="00EC00A9" w:rsidRDefault="00EC00A9" w:rsidP="001914FD">
      <w:pPr>
        <w:numPr>
          <w:ilvl w:val="0"/>
          <w:numId w:val="16"/>
        </w:numPr>
        <w:tabs>
          <w:tab w:val="clear" w:pos="1560"/>
        </w:tabs>
        <w:autoSpaceDE w:val="0"/>
        <w:autoSpaceDN w:val="0"/>
        <w:spacing w:after="240"/>
        <w:ind w:left="1440"/>
        <w:rPr>
          <w:szCs w:val="24"/>
        </w:rPr>
      </w:pPr>
      <w:r w:rsidRPr="006631E9">
        <w:rPr>
          <w:szCs w:val="24"/>
        </w:rPr>
        <w:t>A description of the roles and responsibilities of site staff for conducting the CHKS.</w:t>
      </w:r>
    </w:p>
    <w:p w:rsidR="00EC00A9" w:rsidRPr="00EC00A9" w:rsidRDefault="00EC00A9" w:rsidP="001914FD">
      <w:pPr>
        <w:numPr>
          <w:ilvl w:val="0"/>
          <w:numId w:val="16"/>
        </w:numPr>
        <w:tabs>
          <w:tab w:val="clear" w:pos="1560"/>
        </w:tabs>
        <w:autoSpaceDE w:val="0"/>
        <w:autoSpaceDN w:val="0"/>
        <w:spacing w:after="240"/>
        <w:ind w:left="1440"/>
        <w:rPr>
          <w:szCs w:val="24"/>
        </w:rPr>
      </w:pPr>
      <w:r w:rsidRPr="006631E9">
        <w:rPr>
          <w:szCs w:val="24"/>
        </w:rPr>
        <w:t>A description as to how the data and analysis will be publicly disseminated.</w:t>
      </w:r>
    </w:p>
    <w:p w:rsidR="00EC00A9" w:rsidRDefault="00EC00A9" w:rsidP="001914FD">
      <w:pPr>
        <w:numPr>
          <w:ilvl w:val="0"/>
          <w:numId w:val="16"/>
        </w:numPr>
        <w:tabs>
          <w:tab w:val="clear" w:pos="1560"/>
        </w:tabs>
        <w:autoSpaceDE w:val="0"/>
        <w:autoSpaceDN w:val="0"/>
        <w:spacing w:after="360"/>
        <w:ind w:left="1440"/>
        <w:rPr>
          <w:szCs w:val="24"/>
        </w:rPr>
      </w:pPr>
      <w:r w:rsidRPr="006631E9">
        <w:rPr>
          <w:szCs w:val="24"/>
        </w:rPr>
        <w:t>A description of the level of commitment that staff and administrators have to ongoing collection, analysis, and use of CHKS data.</w:t>
      </w:r>
    </w:p>
    <w:p w:rsidR="00EC00A9" w:rsidRDefault="00EC00A9" w:rsidP="001914FD">
      <w:pPr>
        <w:pStyle w:val="Heading3"/>
        <w:numPr>
          <w:ilvl w:val="0"/>
          <w:numId w:val="9"/>
        </w:numPr>
        <w:spacing w:after="240"/>
      </w:pPr>
      <w:r>
        <w:t>Program Budget</w:t>
      </w:r>
    </w:p>
    <w:p w:rsidR="00EC00A9" w:rsidRPr="005322E2" w:rsidRDefault="00EC00A9" w:rsidP="00EC00A9">
      <w:pPr>
        <w:pStyle w:val="ListBullet"/>
        <w:numPr>
          <w:ilvl w:val="0"/>
          <w:numId w:val="0"/>
        </w:numPr>
        <w:tabs>
          <w:tab w:val="clear" w:pos="720"/>
          <w:tab w:val="left" w:pos="360"/>
        </w:tabs>
        <w:spacing w:before="0" w:after="240" w:line="240" w:lineRule="auto"/>
        <w:ind w:left="720"/>
        <w:rPr>
          <w:rFonts w:cs="Arial"/>
        </w:rPr>
      </w:pPr>
      <w:r>
        <w:t xml:space="preserve">The Program Budget must be clearly tied to program activities. </w:t>
      </w:r>
      <w:r w:rsidRPr="005322E2">
        <w:rPr>
          <w:rFonts w:cs="Arial"/>
        </w:rPr>
        <w:t>Expenditure</w:t>
      </w:r>
      <w:r>
        <w:rPr>
          <w:rFonts w:cs="Arial"/>
        </w:rPr>
        <w:t xml:space="preserve"> line items and </w:t>
      </w:r>
      <w:r w:rsidRPr="005322E2">
        <w:rPr>
          <w:rFonts w:cs="Arial"/>
        </w:rPr>
        <w:t>Object Codes used in the budget proposal and subsequent expenditure reports should be consistent with the Standardized Account Code Structure. The budget documents must be arranged in the following order:</w:t>
      </w:r>
    </w:p>
    <w:p w:rsidR="00EC00A9" w:rsidRPr="005322E2" w:rsidRDefault="00EC00A9" w:rsidP="0012089C">
      <w:pPr>
        <w:pStyle w:val="ListBullet"/>
        <w:numPr>
          <w:ilvl w:val="0"/>
          <w:numId w:val="19"/>
        </w:numPr>
        <w:tabs>
          <w:tab w:val="clear" w:pos="720"/>
        </w:tabs>
        <w:spacing w:before="0" w:after="0" w:line="240" w:lineRule="auto"/>
        <w:rPr>
          <w:rFonts w:cs="Arial"/>
        </w:rPr>
      </w:pPr>
      <w:r w:rsidRPr="00E92039">
        <w:rPr>
          <w:rFonts w:cs="Arial"/>
        </w:rPr>
        <w:t>Budget Summary</w:t>
      </w:r>
      <w:r w:rsidR="00E92039">
        <w:rPr>
          <w:rFonts w:cs="Arial"/>
        </w:rPr>
        <w:t xml:space="preserve"> -</w:t>
      </w:r>
      <w:r w:rsidR="006F5DC2">
        <w:rPr>
          <w:rFonts w:cs="Arial"/>
        </w:rPr>
        <w:t xml:space="preserve"> </w:t>
      </w:r>
      <w:hyperlink r:id="rId20" w:history="1">
        <w:r w:rsidR="00E92039" w:rsidRPr="005B235F">
          <w:rPr>
            <w:rStyle w:val="Hyperlink"/>
            <w:rFonts w:cs="Arial"/>
          </w:rPr>
          <w:t>https://www.cde.ca.gov/fg/fo/r8/aiec17rfa.asp</w:t>
        </w:r>
      </w:hyperlink>
      <w:r w:rsidR="00E92039">
        <w:rPr>
          <w:rFonts w:cs="Arial"/>
        </w:rPr>
        <w:t xml:space="preserve"> </w:t>
      </w:r>
    </w:p>
    <w:p w:rsidR="00EC00A9" w:rsidRPr="005322E2" w:rsidRDefault="00EC00A9" w:rsidP="0012089C">
      <w:pPr>
        <w:pStyle w:val="ListBullet"/>
        <w:numPr>
          <w:ilvl w:val="0"/>
          <w:numId w:val="19"/>
        </w:numPr>
        <w:tabs>
          <w:tab w:val="clear" w:pos="720"/>
        </w:tabs>
        <w:spacing w:before="0" w:after="0" w:line="240" w:lineRule="auto"/>
        <w:rPr>
          <w:rFonts w:cs="Arial"/>
        </w:rPr>
      </w:pPr>
      <w:r w:rsidRPr="00E92039">
        <w:rPr>
          <w:rFonts w:cs="Arial"/>
        </w:rPr>
        <w:t>Budget Detail</w:t>
      </w:r>
      <w:r w:rsidR="00E92039">
        <w:rPr>
          <w:rFonts w:cs="Arial"/>
        </w:rPr>
        <w:t xml:space="preserve"> -</w:t>
      </w:r>
      <w:r w:rsidR="006F5DC2">
        <w:rPr>
          <w:rFonts w:cs="Arial"/>
        </w:rPr>
        <w:t xml:space="preserve"> </w:t>
      </w:r>
      <w:hyperlink r:id="rId21" w:history="1">
        <w:r w:rsidR="00E92039" w:rsidRPr="005B235F">
          <w:rPr>
            <w:rStyle w:val="Hyperlink"/>
            <w:rFonts w:cs="Arial"/>
          </w:rPr>
          <w:t>https://www.cde.ca.gov/fg/fo/r8/aiec17rfa.asp</w:t>
        </w:r>
      </w:hyperlink>
      <w:r w:rsidR="00E92039">
        <w:rPr>
          <w:rFonts w:cs="Arial"/>
        </w:rPr>
        <w:t xml:space="preserve"> </w:t>
      </w:r>
    </w:p>
    <w:p w:rsidR="00EC00A9" w:rsidRPr="00EC00A9" w:rsidRDefault="006F5DC2" w:rsidP="0012089C">
      <w:pPr>
        <w:pStyle w:val="ListBullet"/>
        <w:numPr>
          <w:ilvl w:val="0"/>
          <w:numId w:val="19"/>
        </w:numPr>
        <w:tabs>
          <w:tab w:val="clear" w:pos="720"/>
        </w:tabs>
        <w:spacing w:before="0" w:after="240" w:line="240" w:lineRule="auto"/>
        <w:rPr>
          <w:rFonts w:cs="Arial"/>
        </w:rPr>
      </w:pPr>
      <w:r w:rsidRPr="00E92039">
        <w:rPr>
          <w:rFonts w:cs="Arial"/>
        </w:rPr>
        <w:t>Budget Narrative Form</w:t>
      </w:r>
      <w:r w:rsidR="00E92039">
        <w:rPr>
          <w:rFonts w:cs="Arial"/>
        </w:rPr>
        <w:t xml:space="preserve"> -</w:t>
      </w:r>
      <w:r>
        <w:rPr>
          <w:rFonts w:cs="Arial"/>
        </w:rPr>
        <w:t xml:space="preserve"> </w:t>
      </w:r>
      <w:hyperlink r:id="rId22" w:history="1">
        <w:r w:rsidR="00E92039" w:rsidRPr="005B235F">
          <w:rPr>
            <w:rStyle w:val="Hyperlink"/>
            <w:rFonts w:cs="Arial"/>
          </w:rPr>
          <w:t>https://www.cde.ca.gov/fg/fo/r8/aiec17rfa.asp</w:t>
        </w:r>
      </w:hyperlink>
      <w:r w:rsidR="00E92039">
        <w:rPr>
          <w:rFonts w:cs="Arial"/>
        </w:rPr>
        <w:t xml:space="preserve"> </w:t>
      </w:r>
    </w:p>
    <w:p w:rsidR="00EC00A9" w:rsidRPr="005322E2" w:rsidRDefault="0012089C" w:rsidP="00EC00A9">
      <w:pPr>
        <w:pStyle w:val="BodyTextIndent"/>
        <w:spacing w:after="240"/>
        <w:ind w:left="965"/>
        <w:rPr>
          <w:szCs w:val="24"/>
        </w:rPr>
      </w:pPr>
      <w:r>
        <w:rPr>
          <w:szCs w:val="24"/>
        </w:rPr>
        <w:t>The Budget Summary</w:t>
      </w:r>
      <w:r w:rsidR="00EC00A9" w:rsidRPr="005322E2">
        <w:rPr>
          <w:szCs w:val="24"/>
        </w:rPr>
        <w:t xml:space="preserve"> is a summary of each </w:t>
      </w:r>
      <w:r w:rsidR="00EC00A9">
        <w:rPr>
          <w:szCs w:val="24"/>
        </w:rPr>
        <w:t>Object Code</w:t>
      </w:r>
      <w:r w:rsidR="00EC00A9" w:rsidRPr="005322E2">
        <w:rPr>
          <w:szCs w:val="24"/>
        </w:rPr>
        <w:t xml:space="preserve"> amount. The Budget Summary must reflect </w:t>
      </w:r>
      <w:r>
        <w:rPr>
          <w:szCs w:val="24"/>
        </w:rPr>
        <w:t>the totals on the Budget Detail</w:t>
      </w:r>
      <w:r w:rsidR="00EC00A9">
        <w:rPr>
          <w:szCs w:val="24"/>
        </w:rPr>
        <w:t xml:space="preserve"> </w:t>
      </w:r>
      <w:r w:rsidR="00EC00A9" w:rsidRPr="005322E2">
        <w:rPr>
          <w:szCs w:val="24"/>
        </w:rPr>
        <w:t>and Budget Narrative</w:t>
      </w:r>
      <w:r>
        <w:rPr>
          <w:szCs w:val="24"/>
        </w:rPr>
        <w:t xml:space="preserve"> Form</w:t>
      </w:r>
      <w:r w:rsidR="00EC00A9" w:rsidRPr="005322E2">
        <w:rPr>
          <w:szCs w:val="24"/>
        </w:rPr>
        <w:t>.</w:t>
      </w:r>
    </w:p>
    <w:p w:rsidR="00EC00A9" w:rsidRPr="00EC00A9" w:rsidRDefault="00EC00A9" w:rsidP="00EC00A9">
      <w:pPr>
        <w:pStyle w:val="BodyTextIndent"/>
        <w:spacing w:after="240"/>
        <w:ind w:left="965"/>
        <w:rPr>
          <w:szCs w:val="24"/>
        </w:rPr>
      </w:pPr>
      <w:r w:rsidRPr="005322E2">
        <w:rPr>
          <w:szCs w:val="24"/>
        </w:rPr>
        <w:t xml:space="preserve">The Budget Narrative </w:t>
      </w:r>
      <w:r w:rsidR="0012089C">
        <w:rPr>
          <w:szCs w:val="24"/>
        </w:rPr>
        <w:t>Form</w:t>
      </w:r>
      <w:r w:rsidRPr="005322E2">
        <w:rPr>
          <w:szCs w:val="24"/>
        </w:rPr>
        <w:t xml:space="preserve"> must provide sufficient information to support the proposed goals, program, and activities. The Budget Narrative </w:t>
      </w:r>
      <w:r>
        <w:rPr>
          <w:szCs w:val="24"/>
        </w:rPr>
        <w:t xml:space="preserve">Form </w:t>
      </w:r>
      <w:r w:rsidRPr="005322E2">
        <w:rPr>
          <w:szCs w:val="24"/>
        </w:rPr>
        <w:t>must p</w:t>
      </w:r>
      <w:r w:rsidRPr="005322E2">
        <w:rPr>
          <w:bCs w:val="0"/>
          <w:szCs w:val="24"/>
        </w:rPr>
        <w:t>rovide a descript</w:t>
      </w:r>
      <w:r>
        <w:rPr>
          <w:bCs w:val="0"/>
          <w:szCs w:val="24"/>
        </w:rPr>
        <w:t>ion of the costs for each line item of</w:t>
      </w:r>
      <w:r w:rsidRPr="005322E2">
        <w:rPr>
          <w:bCs w:val="0"/>
          <w:szCs w:val="24"/>
        </w:rPr>
        <w:t xml:space="preserve"> expenditure for which grant funding will be allocated. </w:t>
      </w:r>
      <w:r w:rsidRPr="005322E2">
        <w:rPr>
          <w:iCs/>
          <w:szCs w:val="24"/>
        </w:rPr>
        <w:t>For all personnel, include full-time equivalent (FTE) value, number of days or percentage of time, and duties/services to be performed.</w:t>
      </w:r>
      <w:r w:rsidRPr="005322E2">
        <w:rPr>
          <w:szCs w:val="24"/>
        </w:rPr>
        <w:t xml:space="preserve"> For partial salary expenses, indicate the percentage of salary costs </w:t>
      </w:r>
      <w:r w:rsidRPr="005322E2">
        <w:rPr>
          <w:szCs w:val="24"/>
        </w:rPr>
        <w:lastRenderedPageBreak/>
        <w:t>charged to the AIEC</w:t>
      </w:r>
      <w:r w:rsidRPr="005322E2">
        <w:rPr>
          <w:i/>
          <w:iCs/>
          <w:szCs w:val="24"/>
        </w:rPr>
        <w:t xml:space="preserve"> </w:t>
      </w:r>
      <w:r w:rsidRPr="005322E2">
        <w:rPr>
          <w:szCs w:val="24"/>
        </w:rPr>
        <w:t>Program. For multi-funded positions, justify the percentage charged to the AIEC Program. No position may be funded 100 percent by AIEC funding unless the staff member in that position works solely on the AIEC Program. If a position is part-time, please justify that position’s t</w:t>
      </w:r>
      <w:r>
        <w:rPr>
          <w:szCs w:val="24"/>
        </w:rPr>
        <w:t>ime charged to the AIEC grant.</w:t>
      </w:r>
    </w:p>
    <w:p w:rsidR="00EC00A9" w:rsidRDefault="0012089C" w:rsidP="00EC00A9">
      <w:pPr>
        <w:spacing w:after="240"/>
        <w:ind w:left="990"/>
        <w:rPr>
          <w:szCs w:val="24"/>
        </w:rPr>
      </w:pPr>
      <w:r>
        <w:rPr>
          <w:szCs w:val="24"/>
        </w:rPr>
        <w:t>The Budget Detail</w:t>
      </w:r>
      <w:r w:rsidR="00EC00A9" w:rsidRPr="005322E2">
        <w:rPr>
          <w:szCs w:val="24"/>
        </w:rPr>
        <w:t xml:space="preserve"> must provide a breakdown of the expenses for each line item, as follows:</w:t>
      </w:r>
    </w:p>
    <w:p w:rsidR="00EC00A9" w:rsidRDefault="00EC00A9" w:rsidP="001914FD">
      <w:pPr>
        <w:pStyle w:val="ListParagraph"/>
        <w:numPr>
          <w:ilvl w:val="0"/>
          <w:numId w:val="20"/>
        </w:numPr>
        <w:spacing w:after="240"/>
        <w:rPr>
          <w:szCs w:val="24"/>
        </w:rPr>
      </w:pPr>
      <w:r>
        <w:rPr>
          <w:szCs w:val="24"/>
        </w:rPr>
        <w:t>Name; position; labor cost detail, including percentage FTE; hourly or billing rates for all personnel; and the total number of hours projected for the project.</w:t>
      </w:r>
    </w:p>
    <w:p w:rsidR="00EC00A9" w:rsidRDefault="00EC00A9" w:rsidP="001914FD">
      <w:pPr>
        <w:pStyle w:val="ListParagraph"/>
        <w:numPr>
          <w:ilvl w:val="0"/>
          <w:numId w:val="20"/>
        </w:numPr>
        <w:spacing w:after="240"/>
        <w:ind w:left="1714"/>
        <w:rPr>
          <w:szCs w:val="24"/>
        </w:rPr>
      </w:pPr>
      <w:r>
        <w:rPr>
          <w:szCs w:val="24"/>
        </w:rPr>
        <w:t>Vacation hours cannot be accrued from year to year and must be used within the grant year in which it was accumulated.</w:t>
      </w:r>
    </w:p>
    <w:p w:rsidR="00EC00A9" w:rsidRDefault="00EC00A9" w:rsidP="00EC00A9">
      <w:pPr>
        <w:spacing w:after="240"/>
        <w:ind w:firstLine="994"/>
        <w:rPr>
          <w:szCs w:val="24"/>
        </w:rPr>
      </w:pPr>
      <w:r>
        <w:rPr>
          <w:szCs w:val="24"/>
        </w:rPr>
        <w:t>Example:</w:t>
      </w:r>
    </w:p>
    <w:p w:rsidR="00EC00A9" w:rsidRDefault="00EC00A9" w:rsidP="00EC00A9">
      <w:pPr>
        <w:spacing w:after="240"/>
        <w:ind w:firstLine="994"/>
        <w:jc w:val="center"/>
        <w:rPr>
          <w:szCs w:val="24"/>
        </w:rPr>
      </w:pPr>
      <w:r>
        <w:rPr>
          <w:szCs w:val="24"/>
        </w:rPr>
        <w:t>2100 Instructional Aides’ Salaries</w:t>
      </w:r>
    </w:p>
    <w:tbl>
      <w:tblPr>
        <w:tblW w:w="9006" w:type="dxa"/>
        <w:tblInd w:w="985" w:type="dxa"/>
        <w:tblLook w:val="04A0" w:firstRow="1" w:lastRow="0" w:firstColumn="1" w:lastColumn="0" w:noHBand="0" w:noVBand="1"/>
        <w:tblCaption w:val="Example"/>
        <w:tblDescription w:val="Example of how to calculate wages."/>
      </w:tblPr>
      <w:tblGrid>
        <w:gridCol w:w="2215"/>
        <w:gridCol w:w="1860"/>
        <w:gridCol w:w="960"/>
        <w:gridCol w:w="951"/>
        <w:gridCol w:w="940"/>
        <w:gridCol w:w="950"/>
        <w:gridCol w:w="1418"/>
      </w:tblGrid>
      <w:tr w:rsidR="006B6DA0" w:rsidRPr="006B6DA0" w:rsidTr="00E35FCD">
        <w:trPr>
          <w:cantSplit/>
          <w:trHeight w:val="900"/>
          <w:tblHeader/>
        </w:trPr>
        <w:tc>
          <w:tcPr>
            <w:tcW w:w="2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color w:val="000000"/>
                <w:szCs w:val="24"/>
              </w:rPr>
              <w:t>Employee Name</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6B6DA0" w:rsidRPr="006B6DA0" w:rsidRDefault="006B6DA0" w:rsidP="006B6DA0">
            <w:pPr>
              <w:jc w:val="center"/>
              <w:rPr>
                <w:color w:val="000000"/>
                <w:szCs w:val="24"/>
              </w:rPr>
            </w:pPr>
            <w:r w:rsidRPr="006B6DA0">
              <w:rPr>
                <w:color w:val="000000"/>
                <w:szCs w:val="24"/>
              </w:rPr>
              <w:t>Position Title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B6DA0" w:rsidRPr="006B6DA0" w:rsidRDefault="006B6DA0" w:rsidP="006B6DA0">
            <w:pPr>
              <w:jc w:val="center"/>
              <w:rPr>
                <w:color w:val="000000"/>
                <w:szCs w:val="24"/>
              </w:rPr>
            </w:pPr>
            <w:r w:rsidRPr="006B6DA0">
              <w:rPr>
                <w:color w:val="000000"/>
                <w:szCs w:val="24"/>
              </w:rPr>
              <w:t>FTE*</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6B6DA0" w:rsidRPr="006B6DA0" w:rsidRDefault="006B6DA0" w:rsidP="006B6DA0">
            <w:pPr>
              <w:jc w:val="center"/>
              <w:rPr>
                <w:color w:val="000000"/>
                <w:szCs w:val="24"/>
              </w:rPr>
            </w:pPr>
            <w:r w:rsidRPr="006B6DA0">
              <w:rPr>
                <w:color w:val="000000"/>
                <w:szCs w:val="24"/>
              </w:rPr>
              <w:t>Rate per Hour</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6B6DA0" w:rsidRPr="006B6DA0" w:rsidRDefault="006B6DA0" w:rsidP="006B6DA0">
            <w:pPr>
              <w:jc w:val="center"/>
              <w:rPr>
                <w:color w:val="000000"/>
                <w:szCs w:val="24"/>
              </w:rPr>
            </w:pPr>
            <w:r w:rsidRPr="006B6DA0">
              <w:rPr>
                <w:color w:val="000000"/>
                <w:szCs w:val="24"/>
              </w:rPr>
              <w:t>Hours Per Week</w:t>
            </w:r>
          </w:p>
        </w:tc>
        <w:tc>
          <w:tcPr>
            <w:tcW w:w="831" w:type="dxa"/>
            <w:tcBorders>
              <w:top w:val="single" w:sz="4" w:space="0" w:color="auto"/>
              <w:left w:val="nil"/>
              <w:bottom w:val="single" w:sz="4" w:space="0" w:color="auto"/>
              <w:right w:val="single" w:sz="4" w:space="0" w:color="auto"/>
            </w:tcBorders>
            <w:shd w:val="clear" w:color="auto" w:fill="auto"/>
            <w:vAlign w:val="bottom"/>
            <w:hideMark/>
          </w:tcPr>
          <w:p w:rsidR="006B6DA0" w:rsidRPr="006B6DA0" w:rsidRDefault="006B6DA0" w:rsidP="006B6DA0">
            <w:pPr>
              <w:jc w:val="center"/>
              <w:rPr>
                <w:color w:val="000000"/>
                <w:szCs w:val="24"/>
              </w:rPr>
            </w:pPr>
            <w:r w:rsidRPr="006B6DA0">
              <w:rPr>
                <w:color w:val="000000"/>
                <w:szCs w:val="24"/>
              </w:rPr>
              <w:t>Weeks per Year</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6B6DA0" w:rsidRPr="006B6DA0" w:rsidRDefault="006B6DA0" w:rsidP="006B6DA0">
            <w:pPr>
              <w:jc w:val="center"/>
              <w:rPr>
                <w:color w:val="000000"/>
                <w:szCs w:val="24"/>
              </w:rPr>
            </w:pPr>
            <w:r w:rsidRPr="006B6DA0">
              <w:rPr>
                <w:color w:val="000000"/>
                <w:szCs w:val="24"/>
              </w:rPr>
              <w:t>Total</w:t>
            </w:r>
          </w:p>
        </w:tc>
      </w:tr>
      <w:tr w:rsidR="006B6DA0" w:rsidRPr="006B6DA0" w:rsidTr="00A4684D">
        <w:trPr>
          <w:cantSplit/>
          <w:trHeight w:val="300"/>
        </w:trPr>
        <w:tc>
          <w:tcPr>
            <w:tcW w:w="2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Joe Smith</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Instructional Aide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0.38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 xml:space="preserve">$11.00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20</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40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 xml:space="preserve">$8,800.00 </w:t>
            </w:r>
          </w:p>
        </w:tc>
      </w:tr>
      <w:tr w:rsidR="006B6DA0" w:rsidRPr="006B6DA0" w:rsidTr="00A4684D">
        <w:trPr>
          <w:cantSplit/>
          <w:trHeight w:val="300"/>
        </w:trPr>
        <w:tc>
          <w:tcPr>
            <w:tcW w:w="2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Jean Smith</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Instructional Aide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 xml:space="preserve">$15.00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26</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40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DA0" w:rsidRPr="006B6DA0" w:rsidRDefault="006B6DA0" w:rsidP="006B6DA0">
            <w:pPr>
              <w:jc w:val="center"/>
              <w:rPr>
                <w:bCs w:val="0"/>
                <w:color w:val="000000"/>
                <w:szCs w:val="24"/>
              </w:rPr>
            </w:pPr>
            <w:r w:rsidRPr="006B6DA0">
              <w:rPr>
                <w:bCs w:val="0"/>
                <w:color w:val="000000"/>
                <w:szCs w:val="24"/>
              </w:rPr>
              <w:t xml:space="preserve">$15,600.00 </w:t>
            </w:r>
          </w:p>
        </w:tc>
      </w:tr>
    </w:tbl>
    <w:p w:rsidR="00EC00A9" w:rsidRDefault="00A515EC" w:rsidP="006B6DA0">
      <w:pPr>
        <w:spacing w:after="240"/>
        <w:ind w:firstLine="994"/>
        <w:rPr>
          <w:szCs w:val="24"/>
        </w:rPr>
      </w:pPr>
      <w:r>
        <w:rPr>
          <w:szCs w:val="24"/>
        </w:rPr>
        <w:t>*FTE Calculations</w:t>
      </w:r>
    </w:p>
    <w:p w:rsidR="00A515EC" w:rsidRDefault="00A515EC" w:rsidP="00A515EC">
      <w:pPr>
        <w:spacing w:after="240"/>
        <w:ind w:left="1080"/>
        <w:rPr>
          <w:b/>
          <w:szCs w:val="24"/>
        </w:rPr>
      </w:pPr>
      <w:r>
        <w:rPr>
          <w:b/>
          <w:szCs w:val="24"/>
        </w:rPr>
        <w:t>Standard Guidelines</w:t>
      </w:r>
    </w:p>
    <w:p w:rsidR="00A515EC" w:rsidRPr="00A515EC" w:rsidRDefault="00A515EC" w:rsidP="001914FD">
      <w:pPr>
        <w:pStyle w:val="ListParagraph"/>
        <w:numPr>
          <w:ilvl w:val="0"/>
          <w:numId w:val="21"/>
        </w:numPr>
        <w:rPr>
          <w:szCs w:val="24"/>
        </w:rPr>
      </w:pPr>
      <w:r w:rsidRPr="00A515EC">
        <w:rPr>
          <w:szCs w:val="24"/>
        </w:rPr>
        <w:t>Number of hours per year = 2,080</w:t>
      </w:r>
    </w:p>
    <w:p w:rsidR="00A515EC" w:rsidRPr="00A515EC" w:rsidRDefault="00A515EC" w:rsidP="001914FD">
      <w:pPr>
        <w:pStyle w:val="ListParagraph"/>
        <w:numPr>
          <w:ilvl w:val="0"/>
          <w:numId w:val="21"/>
        </w:numPr>
        <w:rPr>
          <w:szCs w:val="24"/>
        </w:rPr>
      </w:pPr>
      <w:r w:rsidRPr="00A515EC">
        <w:rPr>
          <w:szCs w:val="24"/>
        </w:rPr>
        <w:t>Number of days per year = 2,080/8 = 260</w:t>
      </w:r>
    </w:p>
    <w:p w:rsidR="00A515EC" w:rsidRDefault="00A515EC" w:rsidP="001914FD">
      <w:pPr>
        <w:pStyle w:val="ListParagraph"/>
        <w:numPr>
          <w:ilvl w:val="0"/>
          <w:numId w:val="21"/>
        </w:numPr>
        <w:spacing w:after="240"/>
        <w:rPr>
          <w:szCs w:val="24"/>
        </w:rPr>
      </w:pPr>
      <w:r w:rsidRPr="00A515EC">
        <w:rPr>
          <w:szCs w:val="24"/>
        </w:rPr>
        <w:t>Number of weeks per year = 52</w:t>
      </w:r>
    </w:p>
    <w:p w:rsidR="00A515EC" w:rsidRDefault="00A515EC" w:rsidP="00A515EC">
      <w:pPr>
        <w:spacing w:after="240"/>
        <w:ind w:left="1166"/>
        <w:rPr>
          <w:b/>
          <w:szCs w:val="24"/>
        </w:rPr>
      </w:pPr>
      <w:r>
        <w:rPr>
          <w:b/>
          <w:szCs w:val="24"/>
        </w:rPr>
        <w:t>Process for Calculating FTE</w:t>
      </w:r>
    </w:p>
    <w:p w:rsidR="00A515EC" w:rsidRPr="00A515EC" w:rsidRDefault="00A515EC" w:rsidP="001914FD">
      <w:pPr>
        <w:pStyle w:val="ListParagraph"/>
        <w:numPr>
          <w:ilvl w:val="0"/>
          <w:numId w:val="22"/>
        </w:numPr>
        <w:ind w:left="1800"/>
        <w:rPr>
          <w:szCs w:val="24"/>
        </w:rPr>
      </w:pPr>
      <w:r w:rsidRPr="00A515EC">
        <w:rPr>
          <w:szCs w:val="24"/>
        </w:rPr>
        <w:t>Identify number of weeks per year and number of hours per week</w:t>
      </w:r>
    </w:p>
    <w:p w:rsidR="00A515EC" w:rsidRPr="00A515EC" w:rsidRDefault="00A515EC" w:rsidP="001914FD">
      <w:pPr>
        <w:pStyle w:val="ListParagraph"/>
        <w:numPr>
          <w:ilvl w:val="0"/>
          <w:numId w:val="22"/>
        </w:numPr>
        <w:ind w:left="1800"/>
        <w:rPr>
          <w:szCs w:val="24"/>
        </w:rPr>
      </w:pPr>
      <w:r w:rsidRPr="00A515EC">
        <w:rPr>
          <w:szCs w:val="24"/>
        </w:rPr>
        <w:t>Multiply number of hours per week x number of weeks per year</w:t>
      </w:r>
    </w:p>
    <w:p w:rsidR="00A515EC" w:rsidRDefault="00A515EC" w:rsidP="001914FD">
      <w:pPr>
        <w:pStyle w:val="ListParagraph"/>
        <w:numPr>
          <w:ilvl w:val="0"/>
          <w:numId w:val="22"/>
        </w:numPr>
        <w:spacing w:after="240"/>
        <w:ind w:left="1800"/>
        <w:rPr>
          <w:szCs w:val="24"/>
        </w:rPr>
      </w:pPr>
      <w:r w:rsidRPr="00A515EC">
        <w:rPr>
          <w:szCs w:val="24"/>
        </w:rPr>
        <w:t>Divide result by 2,080 to get the FTE</w:t>
      </w:r>
    </w:p>
    <w:p w:rsidR="00A515EC" w:rsidRDefault="006424E4" w:rsidP="006424E4">
      <w:pPr>
        <w:spacing w:after="240"/>
        <w:ind w:left="990"/>
        <w:rPr>
          <w:szCs w:val="24"/>
        </w:rPr>
      </w:pPr>
      <w:r>
        <w:rPr>
          <w:szCs w:val="24"/>
        </w:rPr>
        <w:t>Examples:</w:t>
      </w:r>
    </w:p>
    <w:p w:rsidR="006424E4" w:rsidRDefault="006424E4" w:rsidP="006424E4">
      <w:pPr>
        <w:ind w:left="1440"/>
        <w:rPr>
          <w:szCs w:val="24"/>
        </w:rPr>
      </w:pPr>
      <w:r>
        <w:rPr>
          <w:szCs w:val="24"/>
        </w:rPr>
        <w:t>39 weeks x 40 hours = 1,560 hours/2,080 = 75% FTE (9 months)</w:t>
      </w:r>
    </w:p>
    <w:p w:rsidR="006424E4" w:rsidRDefault="006424E4" w:rsidP="006424E4">
      <w:pPr>
        <w:ind w:left="1440"/>
        <w:rPr>
          <w:szCs w:val="24"/>
        </w:rPr>
      </w:pPr>
      <w:r>
        <w:rPr>
          <w:szCs w:val="24"/>
        </w:rPr>
        <w:t>43 weeks x 40 hours = 1,720 hours/2,080 = 83% FTE (10 months)</w:t>
      </w:r>
    </w:p>
    <w:p w:rsidR="006424E4" w:rsidRDefault="006424E4" w:rsidP="006424E4">
      <w:pPr>
        <w:ind w:left="1440"/>
        <w:rPr>
          <w:szCs w:val="24"/>
        </w:rPr>
      </w:pPr>
      <w:r>
        <w:rPr>
          <w:szCs w:val="24"/>
        </w:rPr>
        <w:t>48 weeks x 40 hours = 1,920 hours/2,080 = 92% FTE (11 months)</w:t>
      </w:r>
    </w:p>
    <w:p w:rsidR="006424E4" w:rsidRDefault="006424E4" w:rsidP="006424E4">
      <w:pPr>
        <w:ind w:left="1440"/>
        <w:rPr>
          <w:szCs w:val="24"/>
        </w:rPr>
      </w:pPr>
      <w:r>
        <w:rPr>
          <w:szCs w:val="24"/>
        </w:rPr>
        <w:t>39 weeks x 30 hours = 1,170 hours/2,080 = 56% FTE (9 months)</w:t>
      </w:r>
    </w:p>
    <w:p w:rsidR="006424E4" w:rsidRDefault="006424E4" w:rsidP="006424E4">
      <w:pPr>
        <w:ind w:left="1440"/>
        <w:rPr>
          <w:szCs w:val="24"/>
        </w:rPr>
      </w:pPr>
      <w:r>
        <w:rPr>
          <w:szCs w:val="24"/>
        </w:rPr>
        <w:t>43 weeks x 30 hours = 1,290 hours/2,080 = 62% FTE (10 months)</w:t>
      </w:r>
    </w:p>
    <w:p w:rsidR="006424E4" w:rsidRDefault="006424E4" w:rsidP="006424E4">
      <w:pPr>
        <w:ind w:left="1440"/>
        <w:rPr>
          <w:szCs w:val="24"/>
        </w:rPr>
      </w:pPr>
      <w:r>
        <w:rPr>
          <w:szCs w:val="24"/>
        </w:rPr>
        <w:lastRenderedPageBreak/>
        <w:t>48 weeks x 30 hours = 1,440 hours/2,080 = 69% FTE (11 months)</w:t>
      </w:r>
    </w:p>
    <w:p w:rsidR="006424E4" w:rsidRDefault="006424E4" w:rsidP="006424E4">
      <w:pPr>
        <w:ind w:left="1440"/>
        <w:rPr>
          <w:szCs w:val="24"/>
        </w:rPr>
      </w:pPr>
      <w:r>
        <w:rPr>
          <w:szCs w:val="24"/>
        </w:rPr>
        <w:t>39 weeks x 20 hours = 780 hours/2,080 = 38% FTE (9 months)</w:t>
      </w:r>
    </w:p>
    <w:p w:rsidR="006424E4" w:rsidRDefault="006424E4" w:rsidP="006424E4">
      <w:pPr>
        <w:ind w:left="1440"/>
        <w:rPr>
          <w:szCs w:val="24"/>
        </w:rPr>
      </w:pPr>
      <w:r>
        <w:rPr>
          <w:szCs w:val="24"/>
        </w:rPr>
        <w:t>43 weeks x 20 hours = 860 hours/2,080 = 41% FTE (10 months)</w:t>
      </w:r>
    </w:p>
    <w:p w:rsidR="006424E4" w:rsidRDefault="006424E4" w:rsidP="006424E4">
      <w:pPr>
        <w:spacing w:after="240"/>
        <w:ind w:left="1440"/>
        <w:rPr>
          <w:szCs w:val="24"/>
        </w:rPr>
      </w:pPr>
      <w:r>
        <w:rPr>
          <w:szCs w:val="24"/>
        </w:rPr>
        <w:t>48 weeks x 20 hours = 960 hours/2,080 = 46% FTE (11 months)</w:t>
      </w:r>
    </w:p>
    <w:p w:rsidR="006424E4" w:rsidRDefault="006424E4" w:rsidP="001914FD">
      <w:pPr>
        <w:pStyle w:val="ListParagraph"/>
        <w:numPr>
          <w:ilvl w:val="0"/>
          <w:numId w:val="23"/>
        </w:numPr>
        <w:spacing w:after="240"/>
        <w:rPr>
          <w:szCs w:val="24"/>
        </w:rPr>
      </w:pPr>
      <w:r>
        <w:rPr>
          <w:szCs w:val="24"/>
        </w:rPr>
        <w:t>Employee benefits, including the percentage of salaries and wages that represents benefits paid for employees. (Generally, rates range from 20 to 35 percent.)</w:t>
      </w:r>
    </w:p>
    <w:p w:rsidR="006424E4" w:rsidRDefault="006424E4" w:rsidP="001914FD">
      <w:pPr>
        <w:pStyle w:val="ListParagraph"/>
        <w:numPr>
          <w:ilvl w:val="0"/>
          <w:numId w:val="23"/>
        </w:numPr>
        <w:spacing w:after="240"/>
        <w:rPr>
          <w:szCs w:val="24"/>
        </w:rPr>
      </w:pPr>
      <w:r>
        <w:rPr>
          <w:szCs w:val="24"/>
        </w:rPr>
        <w:t>Operating expense detail, including costs necessary or reasonable to conduct business (e.g., rent, utilities, and so forth).</w:t>
      </w:r>
    </w:p>
    <w:p w:rsidR="006424E4" w:rsidRDefault="006424E4" w:rsidP="006424E4">
      <w:pPr>
        <w:spacing w:after="240"/>
        <w:ind w:left="994"/>
        <w:rPr>
          <w:szCs w:val="24"/>
        </w:rPr>
      </w:pPr>
      <w:r>
        <w:rPr>
          <w:szCs w:val="24"/>
        </w:rPr>
        <w:t>Examples:</w:t>
      </w:r>
    </w:p>
    <w:p w:rsidR="006424E4" w:rsidRDefault="006424E4" w:rsidP="006424E4">
      <w:pPr>
        <w:spacing w:after="240"/>
        <w:ind w:left="994"/>
        <w:jc w:val="center"/>
        <w:rPr>
          <w:szCs w:val="24"/>
        </w:rPr>
      </w:pPr>
      <w:r>
        <w:rPr>
          <w:szCs w:val="24"/>
        </w:rPr>
        <w:t>5500 Operations and Housekeeping Services</w:t>
      </w:r>
    </w:p>
    <w:tbl>
      <w:tblPr>
        <w:tblW w:w="7800" w:type="dxa"/>
        <w:tblInd w:w="1075" w:type="dxa"/>
        <w:tblLook w:val="04A0" w:firstRow="1" w:lastRow="0" w:firstColumn="1" w:lastColumn="0" w:noHBand="0" w:noVBand="1"/>
        <w:tblCaption w:val="Example"/>
        <w:tblDescription w:val="Example of how to calculate by month."/>
      </w:tblPr>
      <w:tblGrid>
        <w:gridCol w:w="2020"/>
        <w:gridCol w:w="2100"/>
        <w:gridCol w:w="2160"/>
        <w:gridCol w:w="1520"/>
      </w:tblGrid>
      <w:tr w:rsidR="002A2FE9" w:rsidRPr="002A2FE9" w:rsidTr="00E35FCD">
        <w:trPr>
          <w:cantSplit/>
          <w:trHeight w:val="300"/>
          <w:tblHead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Description</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Cost Per Month</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Number of Months</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Total</w:t>
            </w:r>
          </w:p>
        </w:tc>
      </w:tr>
      <w:tr w:rsidR="002A2FE9" w:rsidRPr="002A2FE9" w:rsidTr="00A4684D">
        <w:trPr>
          <w:cantSplit/>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Utilities</w:t>
            </w:r>
          </w:p>
        </w:tc>
        <w:tc>
          <w:tcPr>
            <w:tcW w:w="2100" w:type="dxa"/>
            <w:tcBorders>
              <w:top w:val="nil"/>
              <w:left w:val="nil"/>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 xml:space="preserve">$100.00 </w:t>
            </w:r>
          </w:p>
        </w:tc>
        <w:tc>
          <w:tcPr>
            <w:tcW w:w="2160" w:type="dxa"/>
            <w:tcBorders>
              <w:top w:val="nil"/>
              <w:left w:val="nil"/>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12</w:t>
            </w:r>
          </w:p>
        </w:tc>
        <w:tc>
          <w:tcPr>
            <w:tcW w:w="1520" w:type="dxa"/>
            <w:tcBorders>
              <w:top w:val="nil"/>
              <w:left w:val="nil"/>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 xml:space="preserve">$1,200.00 </w:t>
            </w:r>
          </w:p>
        </w:tc>
      </w:tr>
      <w:tr w:rsidR="002A2FE9" w:rsidRPr="002A2FE9" w:rsidTr="00A4684D">
        <w:trPr>
          <w:cantSplit/>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Security Alarm</w:t>
            </w:r>
          </w:p>
        </w:tc>
        <w:tc>
          <w:tcPr>
            <w:tcW w:w="2100" w:type="dxa"/>
            <w:tcBorders>
              <w:top w:val="nil"/>
              <w:left w:val="nil"/>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 xml:space="preserve">$45.00 </w:t>
            </w:r>
          </w:p>
        </w:tc>
        <w:tc>
          <w:tcPr>
            <w:tcW w:w="2160" w:type="dxa"/>
            <w:tcBorders>
              <w:top w:val="nil"/>
              <w:left w:val="nil"/>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12</w:t>
            </w:r>
          </w:p>
        </w:tc>
        <w:tc>
          <w:tcPr>
            <w:tcW w:w="1520" w:type="dxa"/>
            <w:tcBorders>
              <w:top w:val="nil"/>
              <w:left w:val="nil"/>
              <w:bottom w:val="single" w:sz="4" w:space="0" w:color="auto"/>
              <w:right w:val="single" w:sz="4" w:space="0" w:color="auto"/>
            </w:tcBorders>
            <w:shd w:val="clear" w:color="auto" w:fill="auto"/>
            <w:noWrap/>
            <w:vAlign w:val="bottom"/>
            <w:hideMark/>
          </w:tcPr>
          <w:p w:rsidR="002A2FE9" w:rsidRPr="002A2FE9" w:rsidRDefault="002A2FE9" w:rsidP="002A2FE9">
            <w:pPr>
              <w:jc w:val="center"/>
              <w:rPr>
                <w:bCs w:val="0"/>
                <w:color w:val="000000"/>
                <w:szCs w:val="24"/>
              </w:rPr>
            </w:pPr>
            <w:r w:rsidRPr="002A2FE9">
              <w:rPr>
                <w:bCs w:val="0"/>
                <w:color w:val="000000"/>
                <w:szCs w:val="24"/>
              </w:rPr>
              <w:t xml:space="preserve">$540.00 </w:t>
            </w:r>
          </w:p>
        </w:tc>
      </w:tr>
    </w:tbl>
    <w:p w:rsidR="006424E4" w:rsidRDefault="006424E4" w:rsidP="006424E4">
      <w:pPr>
        <w:spacing w:after="120"/>
        <w:rPr>
          <w:szCs w:val="24"/>
        </w:rPr>
      </w:pPr>
    </w:p>
    <w:p w:rsidR="00D661A1" w:rsidRPr="00D661A1" w:rsidRDefault="00D661A1" w:rsidP="001914FD">
      <w:pPr>
        <w:pStyle w:val="ListBullet2"/>
        <w:numPr>
          <w:ilvl w:val="0"/>
          <w:numId w:val="24"/>
        </w:numPr>
        <w:spacing w:before="0" w:after="240" w:line="240" w:lineRule="auto"/>
        <w:ind w:left="2160"/>
        <w:rPr>
          <w:rFonts w:cs="Arial"/>
          <w:b/>
        </w:rPr>
      </w:pPr>
      <w:r>
        <w:t xml:space="preserve">Grantees and </w:t>
      </w:r>
      <w:r w:rsidRPr="005322E2">
        <w:rPr>
          <w:rFonts w:cs="Arial"/>
        </w:rPr>
        <w:t>sub-grantees shall be reimbursed for travel and per diem expenses at rates not exceeding those amounts paid to the CDE’s non-represented employees. Grantees with collective bargaining agreements allowing higher rates of reimbursement shall not pay the difference out of the AIEC Continuing Application grant funds. The CDE shall notify the grantee of a change in expense rates within 30 calendar days after the CDE has received notification of a change in rates from the California Department of Human Resources.</w:t>
      </w:r>
    </w:p>
    <w:p w:rsidR="00D661A1" w:rsidRPr="00D661A1" w:rsidRDefault="00D661A1" w:rsidP="001914FD">
      <w:pPr>
        <w:pStyle w:val="ListBullet2"/>
        <w:numPr>
          <w:ilvl w:val="0"/>
          <w:numId w:val="27"/>
        </w:numPr>
        <w:spacing w:before="0" w:after="240" w:line="240" w:lineRule="auto"/>
        <w:rPr>
          <w:rFonts w:cs="Arial"/>
          <w:b/>
        </w:rPr>
      </w:pPr>
      <w:r w:rsidRPr="005322E2">
        <w:rPr>
          <w:rFonts w:cs="Arial"/>
        </w:rPr>
        <w:t xml:space="preserve">Per diem </w:t>
      </w:r>
      <w:r>
        <w:rPr>
          <w:rFonts w:cs="Arial"/>
        </w:rPr>
        <w:t>(after a 24-hour travel period)</w:t>
      </w:r>
    </w:p>
    <w:p w:rsidR="00D661A1" w:rsidRPr="00A30711" w:rsidRDefault="00D661A1" w:rsidP="001914FD">
      <w:pPr>
        <w:pStyle w:val="ListBullet2"/>
        <w:numPr>
          <w:ilvl w:val="0"/>
          <w:numId w:val="26"/>
        </w:numPr>
        <w:spacing w:before="0" w:after="240" w:line="240" w:lineRule="auto"/>
        <w:rPr>
          <w:rFonts w:cs="Arial"/>
          <w:b/>
        </w:rPr>
      </w:pPr>
      <w:r w:rsidRPr="005322E2">
        <w:rPr>
          <w:rFonts w:cs="Arial"/>
        </w:rPr>
        <w:t>Breakfast $7.00</w:t>
      </w:r>
    </w:p>
    <w:p w:rsidR="00D661A1" w:rsidRPr="00D661A1" w:rsidRDefault="00D661A1" w:rsidP="001914FD">
      <w:pPr>
        <w:pStyle w:val="ListBullet2"/>
        <w:numPr>
          <w:ilvl w:val="0"/>
          <w:numId w:val="26"/>
        </w:numPr>
        <w:spacing w:before="0" w:after="240" w:line="240" w:lineRule="auto"/>
        <w:rPr>
          <w:rFonts w:cs="Arial"/>
          <w:b/>
        </w:rPr>
      </w:pPr>
      <w:r w:rsidRPr="005322E2">
        <w:rPr>
          <w:rFonts w:cs="Arial"/>
        </w:rPr>
        <w:t>Lunch $11.00</w:t>
      </w:r>
    </w:p>
    <w:p w:rsidR="00D661A1" w:rsidRPr="00D661A1" w:rsidRDefault="00D661A1" w:rsidP="001914FD">
      <w:pPr>
        <w:pStyle w:val="ListBullet2"/>
        <w:numPr>
          <w:ilvl w:val="0"/>
          <w:numId w:val="26"/>
        </w:numPr>
        <w:spacing w:before="0" w:after="240" w:line="240" w:lineRule="auto"/>
        <w:rPr>
          <w:rFonts w:cs="Arial"/>
          <w:b/>
        </w:rPr>
      </w:pPr>
      <w:r w:rsidRPr="005322E2">
        <w:rPr>
          <w:rFonts w:cs="Arial"/>
        </w:rPr>
        <w:t>Dinner $23.00</w:t>
      </w:r>
    </w:p>
    <w:p w:rsidR="00D661A1" w:rsidRPr="00D661A1" w:rsidRDefault="00D661A1" w:rsidP="001914FD">
      <w:pPr>
        <w:pStyle w:val="ListBullet2"/>
        <w:numPr>
          <w:ilvl w:val="0"/>
          <w:numId w:val="26"/>
        </w:numPr>
        <w:spacing w:before="0" w:after="240" w:line="240" w:lineRule="auto"/>
        <w:rPr>
          <w:rFonts w:cs="Arial"/>
          <w:b/>
        </w:rPr>
      </w:pPr>
      <w:r w:rsidRPr="005322E2">
        <w:rPr>
          <w:rFonts w:cs="Arial"/>
        </w:rPr>
        <w:t>Incidentals $5.00 (can be claimed only after a 24-hour travel period</w:t>
      </w:r>
      <w:r>
        <w:rPr>
          <w:rFonts w:cs="Arial"/>
        </w:rPr>
        <w:t xml:space="preserve"> and only with a lodging receipt</w:t>
      </w:r>
      <w:r w:rsidRPr="005322E2">
        <w:rPr>
          <w:rFonts w:cs="Arial"/>
        </w:rPr>
        <w:t>)</w:t>
      </w:r>
    </w:p>
    <w:p w:rsidR="00D661A1" w:rsidRDefault="00D661A1" w:rsidP="00D661A1">
      <w:pPr>
        <w:pStyle w:val="ListBullet2"/>
        <w:numPr>
          <w:ilvl w:val="0"/>
          <w:numId w:val="0"/>
        </w:numPr>
        <w:spacing w:before="0" w:after="240" w:line="240" w:lineRule="auto"/>
        <w:ind w:left="2160"/>
        <w:rPr>
          <w:rFonts w:cs="Arial"/>
        </w:rPr>
      </w:pPr>
      <w:r>
        <w:rPr>
          <w:rFonts w:cs="Arial"/>
        </w:rPr>
        <w:t>May not claim meals when meals are included in the hotel expenses or conference fees.</w:t>
      </w:r>
    </w:p>
    <w:p w:rsidR="00D661A1" w:rsidRPr="00D661A1" w:rsidRDefault="00D661A1" w:rsidP="00D661A1">
      <w:pPr>
        <w:pStyle w:val="ListBullet2"/>
        <w:numPr>
          <w:ilvl w:val="0"/>
          <w:numId w:val="0"/>
        </w:numPr>
        <w:spacing w:before="0" w:after="240" w:line="240" w:lineRule="auto"/>
        <w:ind w:left="1886" w:firstLine="274"/>
        <w:rPr>
          <w:rFonts w:cs="Arial"/>
        </w:rPr>
      </w:pPr>
      <w:r>
        <w:rPr>
          <w:rFonts w:cs="Arial"/>
        </w:rPr>
        <w:t>Incidentals may not be reimbursed to students.</w:t>
      </w:r>
    </w:p>
    <w:p w:rsidR="00D661A1" w:rsidRDefault="00D661A1" w:rsidP="00D661A1">
      <w:pPr>
        <w:pStyle w:val="ListBullet2"/>
        <w:numPr>
          <w:ilvl w:val="0"/>
          <w:numId w:val="0"/>
        </w:numPr>
        <w:spacing w:before="0" w:after="240" w:line="240" w:lineRule="auto"/>
        <w:ind w:left="2160"/>
        <w:rPr>
          <w:rFonts w:cs="Arial"/>
        </w:rPr>
      </w:pPr>
      <w:r>
        <w:rPr>
          <w:rFonts w:cs="Arial"/>
        </w:rPr>
        <w:lastRenderedPageBreak/>
        <w:t>When traveling on a trip of more than 24 hours, the following timeframes will apply for the first day of travel:</w:t>
      </w:r>
    </w:p>
    <w:p w:rsidR="00D661A1" w:rsidRPr="00D661A1" w:rsidRDefault="00D661A1" w:rsidP="001914FD">
      <w:pPr>
        <w:pStyle w:val="ListBullet2"/>
        <w:numPr>
          <w:ilvl w:val="1"/>
          <w:numId w:val="24"/>
        </w:numPr>
        <w:spacing w:before="0" w:after="240" w:line="240" w:lineRule="auto"/>
        <w:ind w:firstLine="0"/>
        <w:rPr>
          <w:rFonts w:cs="Arial"/>
        </w:rPr>
      </w:pPr>
      <w:r>
        <w:rPr>
          <w:rFonts w:cs="Arial"/>
        </w:rPr>
        <w:t>Per diem</w:t>
      </w:r>
    </w:p>
    <w:p w:rsidR="00D661A1" w:rsidRDefault="00D661A1" w:rsidP="001914FD">
      <w:pPr>
        <w:pStyle w:val="ListBullet2"/>
        <w:numPr>
          <w:ilvl w:val="0"/>
          <w:numId w:val="29"/>
        </w:numPr>
        <w:spacing w:before="0" w:after="240" w:line="240" w:lineRule="auto"/>
        <w:rPr>
          <w:rFonts w:cs="Arial"/>
        </w:rPr>
      </w:pPr>
      <w:r>
        <w:rPr>
          <w:rFonts w:cs="Arial"/>
        </w:rPr>
        <w:t>Trip begins at or before 6 a.m., you may claim breakfast.</w:t>
      </w:r>
    </w:p>
    <w:p w:rsidR="00D661A1" w:rsidRDefault="00D661A1" w:rsidP="001914FD">
      <w:pPr>
        <w:pStyle w:val="ListBullet2"/>
        <w:numPr>
          <w:ilvl w:val="0"/>
          <w:numId w:val="29"/>
        </w:numPr>
        <w:spacing w:before="0" w:after="240" w:line="240" w:lineRule="auto"/>
        <w:rPr>
          <w:rFonts w:cs="Arial"/>
        </w:rPr>
      </w:pPr>
      <w:r>
        <w:rPr>
          <w:rFonts w:cs="Arial"/>
        </w:rPr>
        <w:t>Trip begins at or before 11 a.m., you may claim lunch.</w:t>
      </w:r>
    </w:p>
    <w:p w:rsidR="00D661A1" w:rsidRPr="00D661A1" w:rsidRDefault="00D661A1" w:rsidP="001914FD">
      <w:pPr>
        <w:pStyle w:val="ListBullet2"/>
        <w:numPr>
          <w:ilvl w:val="0"/>
          <w:numId w:val="29"/>
        </w:numPr>
        <w:spacing w:before="0" w:after="240" w:line="240" w:lineRule="auto"/>
        <w:rPr>
          <w:rFonts w:cs="Arial"/>
        </w:rPr>
      </w:pPr>
      <w:r>
        <w:rPr>
          <w:rFonts w:cs="Arial"/>
        </w:rPr>
        <w:t>Trip begins at or before 5 p.m., you may claim dinner.</w:t>
      </w:r>
    </w:p>
    <w:p w:rsidR="00D661A1" w:rsidRDefault="00D661A1" w:rsidP="00D661A1">
      <w:pPr>
        <w:pStyle w:val="ListBullet2"/>
        <w:numPr>
          <w:ilvl w:val="0"/>
          <w:numId w:val="0"/>
        </w:numPr>
        <w:spacing w:before="0" w:after="0" w:line="240" w:lineRule="auto"/>
        <w:ind w:left="1890" w:firstLine="270"/>
        <w:rPr>
          <w:rFonts w:cs="Arial"/>
        </w:rPr>
      </w:pPr>
      <w:r>
        <w:rPr>
          <w:rFonts w:cs="Arial"/>
        </w:rPr>
        <w:t>When traveling fractional days after a 24 hour period, the following</w:t>
      </w:r>
    </w:p>
    <w:p w:rsidR="00D661A1" w:rsidRDefault="00D661A1" w:rsidP="00D661A1">
      <w:pPr>
        <w:pStyle w:val="ListBullet2"/>
        <w:numPr>
          <w:ilvl w:val="0"/>
          <w:numId w:val="0"/>
        </w:numPr>
        <w:spacing w:before="0" w:after="240" w:line="240" w:lineRule="auto"/>
        <w:ind w:left="2160"/>
        <w:rPr>
          <w:rFonts w:cs="Arial"/>
        </w:rPr>
      </w:pPr>
      <w:r>
        <w:rPr>
          <w:rFonts w:cs="Arial"/>
        </w:rPr>
        <w:t>timeframes will apply:</w:t>
      </w:r>
    </w:p>
    <w:p w:rsidR="00D661A1" w:rsidRPr="00D661A1" w:rsidRDefault="00D661A1" w:rsidP="001914FD">
      <w:pPr>
        <w:pStyle w:val="ListBullet2"/>
        <w:numPr>
          <w:ilvl w:val="1"/>
          <w:numId w:val="24"/>
        </w:numPr>
        <w:spacing w:before="0" w:after="240" w:line="240" w:lineRule="auto"/>
        <w:ind w:firstLine="0"/>
        <w:rPr>
          <w:rFonts w:cs="Arial"/>
        </w:rPr>
      </w:pPr>
      <w:r>
        <w:rPr>
          <w:rFonts w:cs="Arial"/>
        </w:rPr>
        <w:t>Per diem</w:t>
      </w:r>
    </w:p>
    <w:p w:rsidR="00D661A1" w:rsidRDefault="00D661A1" w:rsidP="001914FD">
      <w:pPr>
        <w:pStyle w:val="ListBullet2"/>
        <w:numPr>
          <w:ilvl w:val="0"/>
          <w:numId w:val="31"/>
        </w:numPr>
        <w:spacing w:before="0" w:after="0" w:line="240" w:lineRule="auto"/>
        <w:rPr>
          <w:rFonts w:cs="Arial"/>
        </w:rPr>
      </w:pPr>
      <w:r>
        <w:rPr>
          <w:rFonts w:cs="Arial"/>
        </w:rPr>
        <w:t>Trip must end after 8 a.m. to claim breakfast.</w:t>
      </w:r>
    </w:p>
    <w:p w:rsidR="00D661A1" w:rsidRDefault="00D661A1" w:rsidP="001914FD">
      <w:pPr>
        <w:pStyle w:val="ListBullet2"/>
        <w:numPr>
          <w:ilvl w:val="0"/>
          <w:numId w:val="31"/>
        </w:numPr>
        <w:spacing w:before="0" w:after="0" w:line="240" w:lineRule="auto"/>
        <w:rPr>
          <w:rFonts w:cs="Arial"/>
        </w:rPr>
      </w:pPr>
      <w:r>
        <w:rPr>
          <w:rFonts w:cs="Arial"/>
        </w:rPr>
        <w:t>Trip must end after 2 p.m. to claim lunch.</w:t>
      </w:r>
    </w:p>
    <w:p w:rsidR="00D661A1" w:rsidRPr="00D661A1" w:rsidRDefault="00D661A1" w:rsidP="001914FD">
      <w:pPr>
        <w:pStyle w:val="ListBullet2"/>
        <w:numPr>
          <w:ilvl w:val="0"/>
          <w:numId w:val="31"/>
        </w:numPr>
        <w:spacing w:before="0" w:after="240" w:line="240" w:lineRule="auto"/>
        <w:rPr>
          <w:rFonts w:cs="Arial"/>
        </w:rPr>
      </w:pPr>
      <w:r>
        <w:rPr>
          <w:rFonts w:cs="Arial"/>
        </w:rPr>
        <w:t>Trip must end after 7 p.m. to claim dinner.</w:t>
      </w:r>
    </w:p>
    <w:p w:rsidR="00D661A1" w:rsidRDefault="00D661A1" w:rsidP="00D661A1">
      <w:pPr>
        <w:pStyle w:val="ListBullet2"/>
        <w:numPr>
          <w:ilvl w:val="0"/>
          <w:numId w:val="0"/>
        </w:numPr>
        <w:spacing w:before="0" w:after="240" w:line="240" w:lineRule="auto"/>
        <w:ind w:left="2160"/>
        <w:rPr>
          <w:rFonts w:cs="Arial"/>
        </w:rPr>
      </w:pPr>
      <w:r>
        <w:rPr>
          <w:rFonts w:cs="Arial"/>
        </w:rPr>
        <w:t>When traveling fewer than 24 hours, lunch can never be claimed. Reimbursements for breakfast and dinner can be made for the following timeframes:</w:t>
      </w:r>
    </w:p>
    <w:p w:rsidR="00D661A1" w:rsidRPr="00D661A1" w:rsidRDefault="00D661A1" w:rsidP="001914FD">
      <w:pPr>
        <w:pStyle w:val="ListBullet2"/>
        <w:numPr>
          <w:ilvl w:val="1"/>
          <w:numId w:val="24"/>
        </w:numPr>
        <w:spacing w:before="0" w:after="240" w:line="240" w:lineRule="auto"/>
        <w:ind w:firstLine="0"/>
        <w:rPr>
          <w:rFonts w:cs="Arial"/>
        </w:rPr>
      </w:pPr>
      <w:r>
        <w:rPr>
          <w:rFonts w:cs="Arial"/>
        </w:rPr>
        <w:t>Per diem</w:t>
      </w:r>
    </w:p>
    <w:p w:rsidR="00D661A1" w:rsidRPr="00D661A1" w:rsidRDefault="00D661A1" w:rsidP="001914FD">
      <w:pPr>
        <w:pStyle w:val="ListBullet2"/>
        <w:numPr>
          <w:ilvl w:val="0"/>
          <w:numId w:val="30"/>
        </w:numPr>
        <w:spacing w:before="0" w:after="240" w:line="240" w:lineRule="auto"/>
        <w:rPr>
          <w:rFonts w:cs="Arial"/>
        </w:rPr>
      </w:pPr>
      <w:r>
        <w:rPr>
          <w:rFonts w:cs="Arial"/>
        </w:rPr>
        <w:t xml:space="preserve">Trip must begin at or before 6 a.m. </w:t>
      </w:r>
      <w:r>
        <w:rPr>
          <w:rFonts w:cs="Arial"/>
          <w:b/>
        </w:rPr>
        <w:t>and</w:t>
      </w:r>
      <w:r>
        <w:rPr>
          <w:rFonts w:cs="Arial"/>
        </w:rPr>
        <w:t xml:space="preserve"> end at or after 9 a.m. to claim breakfast.</w:t>
      </w:r>
    </w:p>
    <w:p w:rsidR="00D661A1" w:rsidRPr="00D661A1" w:rsidRDefault="00D661A1" w:rsidP="001914FD">
      <w:pPr>
        <w:pStyle w:val="ListBullet2"/>
        <w:numPr>
          <w:ilvl w:val="0"/>
          <w:numId w:val="30"/>
        </w:numPr>
        <w:spacing w:before="0" w:after="240" w:line="240" w:lineRule="auto"/>
        <w:rPr>
          <w:rFonts w:cs="Arial"/>
        </w:rPr>
      </w:pPr>
      <w:r>
        <w:rPr>
          <w:rFonts w:cs="Arial"/>
        </w:rPr>
        <w:t xml:space="preserve">Trip must begin at or before 4 p.m. </w:t>
      </w:r>
      <w:r>
        <w:rPr>
          <w:rFonts w:cs="Arial"/>
          <w:b/>
        </w:rPr>
        <w:t>and</w:t>
      </w:r>
      <w:r>
        <w:rPr>
          <w:rFonts w:cs="Arial"/>
        </w:rPr>
        <w:t xml:space="preserve"> end at or after 7 p.m. to claim dinner.</w:t>
      </w:r>
    </w:p>
    <w:p w:rsidR="00D661A1" w:rsidRPr="00D661A1" w:rsidRDefault="00D661A1" w:rsidP="001914FD">
      <w:pPr>
        <w:pStyle w:val="ListBullet2"/>
        <w:numPr>
          <w:ilvl w:val="0"/>
          <w:numId w:val="27"/>
        </w:numPr>
        <w:spacing w:before="0" w:after="240" w:line="240" w:lineRule="auto"/>
        <w:ind w:left="2966" w:hanging="446"/>
        <w:rPr>
          <w:rFonts w:cs="Arial"/>
        </w:rPr>
      </w:pPr>
      <w:r>
        <w:rPr>
          <w:rFonts w:cs="Arial"/>
        </w:rPr>
        <w:t xml:space="preserve">Personal Vehicle </w:t>
      </w:r>
      <w:r w:rsidRPr="005322E2">
        <w:rPr>
          <w:rFonts w:cs="Arial"/>
        </w:rPr>
        <w:t>Mileage $0.5</w:t>
      </w:r>
      <w:r>
        <w:rPr>
          <w:rFonts w:cs="Arial"/>
        </w:rPr>
        <w:t>45</w:t>
      </w:r>
      <w:r w:rsidRPr="005322E2">
        <w:rPr>
          <w:rFonts w:cs="Arial"/>
        </w:rPr>
        <w:t>/mile</w:t>
      </w:r>
    </w:p>
    <w:p w:rsidR="00D661A1" w:rsidRDefault="00D661A1" w:rsidP="001914FD">
      <w:pPr>
        <w:pStyle w:val="ListBullet2"/>
        <w:numPr>
          <w:ilvl w:val="2"/>
          <w:numId w:val="24"/>
        </w:numPr>
        <w:spacing w:before="0" w:after="240" w:line="240" w:lineRule="auto"/>
        <w:ind w:left="3600"/>
        <w:rPr>
          <w:rFonts w:cs="Arial"/>
        </w:rPr>
      </w:pPr>
      <w:r>
        <w:rPr>
          <w:rFonts w:cs="Arial"/>
        </w:rPr>
        <w:t>Verification of mileage must be kept with the reimbursement.</w:t>
      </w:r>
    </w:p>
    <w:p w:rsidR="00D661A1" w:rsidRPr="00D661A1" w:rsidRDefault="00D661A1" w:rsidP="001914FD">
      <w:pPr>
        <w:pStyle w:val="ListBullet2"/>
        <w:numPr>
          <w:ilvl w:val="2"/>
          <w:numId w:val="24"/>
        </w:numPr>
        <w:spacing w:before="0" w:after="240" w:line="240" w:lineRule="auto"/>
        <w:ind w:left="3600"/>
        <w:rPr>
          <w:rFonts w:cs="Arial"/>
        </w:rPr>
      </w:pPr>
      <w:r>
        <w:rPr>
          <w:rFonts w:cs="Arial"/>
        </w:rPr>
        <w:t>Mileage reimbursement documents must include a flyer/purpose and sign-in sheets.</w:t>
      </w:r>
    </w:p>
    <w:p w:rsidR="00D661A1" w:rsidRPr="005322E2" w:rsidRDefault="00D661A1" w:rsidP="001914FD">
      <w:pPr>
        <w:numPr>
          <w:ilvl w:val="0"/>
          <w:numId w:val="27"/>
        </w:numPr>
        <w:ind w:left="2970" w:right="-270" w:hanging="450"/>
        <w:rPr>
          <w:szCs w:val="24"/>
        </w:rPr>
      </w:pPr>
      <w:r w:rsidRPr="005322E2">
        <w:rPr>
          <w:szCs w:val="24"/>
        </w:rPr>
        <w:t xml:space="preserve">Lodging reimbursement </w:t>
      </w:r>
      <w:r w:rsidRPr="005322E2">
        <w:rPr>
          <w:b/>
          <w:szCs w:val="24"/>
        </w:rPr>
        <w:t>(</w:t>
      </w:r>
      <w:r>
        <w:rPr>
          <w:b/>
          <w:szCs w:val="24"/>
        </w:rPr>
        <w:t>original</w:t>
      </w:r>
      <w:r w:rsidRPr="005322E2">
        <w:rPr>
          <w:b/>
          <w:szCs w:val="24"/>
        </w:rPr>
        <w:t xml:space="preserve"> receipt required)</w:t>
      </w:r>
      <w:r w:rsidRPr="005322E2">
        <w:rPr>
          <w:szCs w:val="24"/>
        </w:rPr>
        <w:t xml:space="preserve"> up to $90.00* + tax.</w:t>
      </w:r>
    </w:p>
    <w:p w:rsidR="00D661A1" w:rsidRPr="005322E2" w:rsidRDefault="00D661A1" w:rsidP="00D661A1">
      <w:pPr>
        <w:pStyle w:val="ListParagraph"/>
        <w:rPr>
          <w:szCs w:val="24"/>
        </w:rPr>
      </w:pPr>
    </w:p>
    <w:p w:rsidR="00D661A1" w:rsidRPr="00B9353D" w:rsidRDefault="00D661A1" w:rsidP="001E1840">
      <w:pPr>
        <w:ind w:left="2160" w:right="-270"/>
        <w:rPr>
          <w:szCs w:val="24"/>
        </w:rPr>
      </w:pPr>
      <w:r>
        <w:rPr>
          <w:szCs w:val="24"/>
        </w:rPr>
        <w:t>*In Sacramento, Napa, Riverside counties, up to $95 + tax is reimbursed; i</w:t>
      </w:r>
      <w:r w:rsidRPr="00B9353D">
        <w:rPr>
          <w:szCs w:val="24"/>
        </w:rPr>
        <w:t xml:space="preserve">n </w:t>
      </w:r>
      <w:r>
        <w:rPr>
          <w:szCs w:val="24"/>
        </w:rPr>
        <w:t xml:space="preserve">San Francisco County, up to $250 + tax is reimbursed; in </w:t>
      </w:r>
      <w:r w:rsidRPr="00B9353D">
        <w:rPr>
          <w:szCs w:val="24"/>
        </w:rPr>
        <w:t>Alameda, San Mateo, and Santa Clara counties up</w:t>
      </w:r>
      <w:r>
        <w:rPr>
          <w:szCs w:val="24"/>
        </w:rPr>
        <w:t> </w:t>
      </w:r>
      <w:r w:rsidRPr="00B9353D">
        <w:rPr>
          <w:szCs w:val="24"/>
        </w:rPr>
        <w:t xml:space="preserve">to $140.00 + tax is reimbursed; in </w:t>
      </w:r>
      <w:r>
        <w:rPr>
          <w:szCs w:val="24"/>
        </w:rPr>
        <w:t xml:space="preserve">Los Angeles, Orange, Ventura counties, and </w:t>
      </w:r>
      <w:r>
        <w:rPr>
          <w:szCs w:val="24"/>
        </w:rPr>
        <w:lastRenderedPageBreak/>
        <w:t xml:space="preserve">Edwards AFB, up to $120 + tax is reimbursed; </w:t>
      </w:r>
      <w:r w:rsidRPr="00B9353D">
        <w:rPr>
          <w:szCs w:val="24"/>
        </w:rPr>
        <w:t>San Diego</w:t>
      </w:r>
      <w:r>
        <w:rPr>
          <w:szCs w:val="24"/>
        </w:rPr>
        <w:t xml:space="preserve"> and Monterey</w:t>
      </w:r>
      <w:r w:rsidRPr="00B9353D">
        <w:rPr>
          <w:szCs w:val="24"/>
        </w:rPr>
        <w:t xml:space="preserve"> counties, up </w:t>
      </w:r>
      <w:r>
        <w:rPr>
          <w:szCs w:val="24"/>
        </w:rPr>
        <w:t>to $125 + tax is reimbursed; city of Santa Monica, up to $150 + tax is reimbursed; and Marin County, up to $110 + tax is reimbursed.</w:t>
      </w:r>
    </w:p>
    <w:p w:rsidR="00D661A1" w:rsidRPr="005322E2" w:rsidRDefault="00D661A1" w:rsidP="00D661A1">
      <w:pPr>
        <w:pStyle w:val="ListBullet2"/>
        <w:numPr>
          <w:ilvl w:val="0"/>
          <w:numId w:val="0"/>
        </w:numPr>
        <w:spacing w:before="0" w:after="0" w:line="240" w:lineRule="auto"/>
        <w:rPr>
          <w:rFonts w:cs="Arial"/>
        </w:rPr>
      </w:pPr>
      <w:r w:rsidRPr="005322E2">
        <w:rPr>
          <w:rFonts w:cs="Arial"/>
        </w:rPr>
        <w:t xml:space="preserve"> </w:t>
      </w:r>
    </w:p>
    <w:p w:rsidR="00D661A1" w:rsidRPr="001E1840" w:rsidRDefault="00D661A1" w:rsidP="001914FD">
      <w:pPr>
        <w:pStyle w:val="ListBullet2"/>
        <w:numPr>
          <w:ilvl w:val="0"/>
          <w:numId w:val="25"/>
        </w:numPr>
        <w:spacing w:before="0" w:after="240" w:line="240" w:lineRule="auto"/>
        <w:ind w:left="2160"/>
        <w:rPr>
          <w:rFonts w:cs="Arial"/>
        </w:rPr>
      </w:pPr>
      <w:r w:rsidRPr="005322E2">
        <w:rPr>
          <w:rFonts w:cs="Arial"/>
        </w:rPr>
        <w:t>Services to be performed by outside consultants require a contract and should be listed in the budget as follows:</w:t>
      </w:r>
    </w:p>
    <w:p w:rsidR="00D661A1" w:rsidRPr="001E1840" w:rsidRDefault="00D661A1" w:rsidP="001914FD">
      <w:pPr>
        <w:pStyle w:val="ListBullet2"/>
        <w:numPr>
          <w:ilvl w:val="0"/>
          <w:numId w:val="28"/>
        </w:numPr>
        <w:spacing w:before="0" w:after="240" w:line="240" w:lineRule="auto"/>
        <w:ind w:left="3052" w:hanging="446"/>
        <w:rPr>
          <w:rFonts w:cs="Arial"/>
        </w:rPr>
      </w:pPr>
      <w:r w:rsidRPr="005322E2">
        <w:rPr>
          <w:rFonts w:cs="Arial"/>
        </w:rPr>
        <w:t>Contractor name, services to be provided, and cost of service. Invoices are required to be submitted to agency once the service is successfully completed. Agencies must have</w:t>
      </w:r>
      <w:r>
        <w:rPr>
          <w:rFonts w:cs="Arial"/>
        </w:rPr>
        <w:t xml:space="preserve"> an</w:t>
      </w:r>
      <w:r w:rsidRPr="005322E2">
        <w:rPr>
          <w:rFonts w:cs="Arial"/>
        </w:rPr>
        <w:t xml:space="preserve"> invo</w:t>
      </w:r>
      <w:r w:rsidR="001E1840">
        <w:rPr>
          <w:rFonts w:cs="Arial"/>
        </w:rPr>
        <w:t>ice before payment can be made.</w:t>
      </w:r>
    </w:p>
    <w:p w:rsidR="006424E4" w:rsidRDefault="00D661A1" w:rsidP="001E1840">
      <w:pPr>
        <w:pStyle w:val="ListBullet2"/>
        <w:numPr>
          <w:ilvl w:val="0"/>
          <w:numId w:val="0"/>
        </w:numPr>
        <w:spacing w:before="0" w:after="240" w:line="240" w:lineRule="auto"/>
        <w:ind w:left="720" w:firstLine="187"/>
        <w:rPr>
          <w:rFonts w:cs="Arial"/>
        </w:rPr>
      </w:pPr>
      <w:r w:rsidRPr="004C1A66">
        <w:rPr>
          <w:rFonts w:cs="Arial"/>
        </w:rPr>
        <w:t>Example:</w:t>
      </w:r>
    </w:p>
    <w:p w:rsidR="001E1840" w:rsidRDefault="001E1840" w:rsidP="001E1840">
      <w:pPr>
        <w:pStyle w:val="ListBullet2"/>
        <w:numPr>
          <w:ilvl w:val="0"/>
          <w:numId w:val="0"/>
        </w:numPr>
        <w:spacing w:before="0" w:after="240" w:line="240" w:lineRule="auto"/>
        <w:ind w:left="720" w:firstLine="187"/>
        <w:jc w:val="center"/>
        <w:rPr>
          <w:rFonts w:cs="Arial"/>
        </w:rPr>
      </w:pPr>
      <w:r>
        <w:rPr>
          <w:rFonts w:cs="Arial"/>
        </w:rPr>
        <w:t>5800 Professional/Consulting Service and Operating Expenditures</w:t>
      </w:r>
    </w:p>
    <w:tbl>
      <w:tblPr>
        <w:tblW w:w="8910" w:type="dxa"/>
        <w:tblInd w:w="895" w:type="dxa"/>
        <w:tblLayout w:type="fixed"/>
        <w:tblLook w:val="04A0" w:firstRow="1" w:lastRow="0" w:firstColumn="1" w:lastColumn="0" w:noHBand="0" w:noVBand="1"/>
        <w:tblCaption w:val="Example"/>
        <w:tblDescription w:val="Example of how to calculate work Consultants."/>
      </w:tblPr>
      <w:tblGrid>
        <w:gridCol w:w="1949"/>
        <w:gridCol w:w="2731"/>
        <w:gridCol w:w="2970"/>
        <w:gridCol w:w="1260"/>
      </w:tblGrid>
      <w:tr w:rsidR="00CA7282" w:rsidRPr="00CA7282" w:rsidTr="00E35FCD">
        <w:trPr>
          <w:cantSplit/>
          <w:trHeight w:val="900"/>
          <w:tblHeader/>
        </w:trPr>
        <w:tc>
          <w:tcPr>
            <w:tcW w:w="1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7282" w:rsidRPr="00CA7282" w:rsidRDefault="00CA7282" w:rsidP="00CA7282">
            <w:pPr>
              <w:jc w:val="center"/>
              <w:rPr>
                <w:bCs w:val="0"/>
                <w:color w:val="000000"/>
                <w:szCs w:val="24"/>
              </w:rPr>
            </w:pPr>
            <w:r w:rsidRPr="00CA7282">
              <w:rPr>
                <w:bCs w:val="0"/>
                <w:color w:val="000000"/>
                <w:szCs w:val="24"/>
              </w:rPr>
              <w:t>Description</w:t>
            </w:r>
          </w:p>
        </w:tc>
        <w:tc>
          <w:tcPr>
            <w:tcW w:w="2731" w:type="dxa"/>
            <w:tcBorders>
              <w:top w:val="single" w:sz="4" w:space="0" w:color="auto"/>
              <w:left w:val="nil"/>
              <w:bottom w:val="single" w:sz="4" w:space="0" w:color="auto"/>
              <w:right w:val="single" w:sz="4" w:space="0" w:color="auto"/>
            </w:tcBorders>
            <w:shd w:val="clear" w:color="auto" w:fill="auto"/>
            <w:vAlign w:val="center"/>
            <w:hideMark/>
          </w:tcPr>
          <w:p w:rsidR="00CA7282" w:rsidRPr="00CA7282" w:rsidRDefault="00CA7282" w:rsidP="00CA7282">
            <w:pPr>
              <w:jc w:val="center"/>
              <w:rPr>
                <w:bCs w:val="0"/>
                <w:color w:val="000000"/>
                <w:szCs w:val="24"/>
              </w:rPr>
            </w:pPr>
            <w:r w:rsidRPr="00CA7282">
              <w:rPr>
                <w:bCs w:val="0"/>
                <w:color w:val="000000"/>
                <w:szCs w:val="24"/>
              </w:rPr>
              <w:t>Cost Per Presentation/Workshop</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CA7282" w:rsidRPr="00CA7282" w:rsidRDefault="00CA7282" w:rsidP="00CA7282">
            <w:pPr>
              <w:jc w:val="center"/>
              <w:rPr>
                <w:bCs w:val="0"/>
                <w:color w:val="000000"/>
                <w:szCs w:val="24"/>
              </w:rPr>
            </w:pPr>
            <w:r w:rsidRPr="00CA7282">
              <w:rPr>
                <w:bCs w:val="0"/>
                <w:color w:val="000000"/>
                <w:szCs w:val="24"/>
              </w:rPr>
              <w:t>Number of Presentations/Workshops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A7282" w:rsidRPr="00CA7282" w:rsidRDefault="00CA7282" w:rsidP="00CA7282">
            <w:pPr>
              <w:jc w:val="center"/>
              <w:rPr>
                <w:bCs w:val="0"/>
                <w:color w:val="000000"/>
                <w:szCs w:val="24"/>
              </w:rPr>
            </w:pPr>
            <w:r w:rsidRPr="00CA7282">
              <w:rPr>
                <w:bCs w:val="0"/>
                <w:color w:val="000000"/>
                <w:szCs w:val="24"/>
              </w:rPr>
              <w:t>Total</w:t>
            </w:r>
          </w:p>
        </w:tc>
      </w:tr>
      <w:tr w:rsidR="00CA7282" w:rsidRPr="00CA7282" w:rsidTr="00A4684D">
        <w:trPr>
          <w:cantSplit/>
          <w:trHeight w:val="600"/>
        </w:trPr>
        <w:tc>
          <w:tcPr>
            <w:tcW w:w="1949" w:type="dxa"/>
            <w:tcBorders>
              <w:top w:val="nil"/>
              <w:left w:val="single" w:sz="4" w:space="0" w:color="auto"/>
              <w:bottom w:val="single" w:sz="4" w:space="0" w:color="auto"/>
              <w:right w:val="single" w:sz="4" w:space="0" w:color="auto"/>
            </w:tcBorders>
            <w:shd w:val="clear" w:color="auto" w:fill="auto"/>
            <w:vAlign w:val="center"/>
            <w:hideMark/>
          </w:tcPr>
          <w:p w:rsidR="00CA7282" w:rsidRPr="00CA7282" w:rsidRDefault="00CA7282" w:rsidP="00CA7282">
            <w:pPr>
              <w:jc w:val="center"/>
              <w:rPr>
                <w:bCs w:val="0"/>
                <w:color w:val="000000"/>
                <w:szCs w:val="24"/>
              </w:rPr>
            </w:pPr>
            <w:r w:rsidRPr="00CA7282">
              <w:rPr>
                <w:bCs w:val="0"/>
                <w:color w:val="000000"/>
                <w:szCs w:val="24"/>
              </w:rPr>
              <w:t>Mary Jones–Basket Weaving Workshops</w:t>
            </w:r>
          </w:p>
        </w:tc>
        <w:tc>
          <w:tcPr>
            <w:tcW w:w="2731" w:type="dxa"/>
            <w:tcBorders>
              <w:top w:val="nil"/>
              <w:left w:val="nil"/>
              <w:bottom w:val="single" w:sz="4" w:space="0" w:color="auto"/>
              <w:right w:val="single" w:sz="4" w:space="0" w:color="auto"/>
            </w:tcBorders>
            <w:shd w:val="clear" w:color="auto" w:fill="auto"/>
            <w:noWrap/>
            <w:vAlign w:val="center"/>
            <w:hideMark/>
          </w:tcPr>
          <w:p w:rsidR="00CA7282" w:rsidRPr="00CA7282" w:rsidRDefault="00CA7282" w:rsidP="00CA7282">
            <w:pPr>
              <w:jc w:val="center"/>
              <w:rPr>
                <w:bCs w:val="0"/>
                <w:color w:val="000000"/>
                <w:szCs w:val="24"/>
              </w:rPr>
            </w:pPr>
            <w:r w:rsidRPr="00CA7282">
              <w:rPr>
                <w:bCs w:val="0"/>
                <w:color w:val="000000"/>
                <w:szCs w:val="24"/>
              </w:rPr>
              <w:t xml:space="preserve">$200.00 </w:t>
            </w:r>
          </w:p>
        </w:tc>
        <w:tc>
          <w:tcPr>
            <w:tcW w:w="2970" w:type="dxa"/>
            <w:tcBorders>
              <w:top w:val="nil"/>
              <w:left w:val="nil"/>
              <w:bottom w:val="single" w:sz="4" w:space="0" w:color="auto"/>
              <w:right w:val="single" w:sz="4" w:space="0" w:color="auto"/>
            </w:tcBorders>
            <w:shd w:val="clear" w:color="auto" w:fill="auto"/>
            <w:noWrap/>
            <w:vAlign w:val="center"/>
            <w:hideMark/>
          </w:tcPr>
          <w:p w:rsidR="00CA7282" w:rsidRPr="00CA7282" w:rsidRDefault="00CA7282" w:rsidP="00CA7282">
            <w:pPr>
              <w:jc w:val="center"/>
              <w:rPr>
                <w:bCs w:val="0"/>
                <w:color w:val="000000"/>
                <w:szCs w:val="24"/>
              </w:rPr>
            </w:pPr>
            <w:r w:rsidRPr="00CA7282">
              <w:rPr>
                <w:bCs w:val="0"/>
                <w:color w:val="000000"/>
                <w:szCs w:val="24"/>
              </w:rPr>
              <w:t>3</w:t>
            </w:r>
          </w:p>
        </w:tc>
        <w:tc>
          <w:tcPr>
            <w:tcW w:w="1260" w:type="dxa"/>
            <w:tcBorders>
              <w:top w:val="nil"/>
              <w:left w:val="nil"/>
              <w:bottom w:val="single" w:sz="4" w:space="0" w:color="auto"/>
              <w:right w:val="single" w:sz="4" w:space="0" w:color="auto"/>
            </w:tcBorders>
            <w:shd w:val="clear" w:color="auto" w:fill="auto"/>
            <w:noWrap/>
            <w:vAlign w:val="center"/>
            <w:hideMark/>
          </w:tcPr>
          <w:p w:rsidR="00CA7282" w:rsidRPr="00CA7282" w:rsidRDefault="00CA7282" w:rsidP="00CA7282">
            <w:pPr>
              <w:jc w:val="center"/>
              <w:rPr>
                <w:bCs w:val="0"/>
                <w:color w:val="000000"/>
                <w:szCs w:val="24"/>
              </w:rPr>
            </w:pPr>
            <w:r w:rsidRPr="00CA7282">
              <w:rPr>
                <w:bCs w:val="0"/>
                <w:color w:val="000000"/>
                <w:szCs w:val="24"/>
              </w:rPr>
              <w:t xml:space="preserve">$600.00 </w:t>
            </w:r>
          </w:p>
        </w:tc>
      </w:tr>
    </w:tbl>
    <w:p w:rsidR="001E1840" w:rsidRDefault="001E1840" w:rsidP="00CA7282">
      <w:pPr>
        <w:pStyle w:val="ListBullet2"/>
        <w:numPr>
          <w:ilvl w:val="0"/>
          <w:numId w:val="0"/>
        </w:numPr>
        <w:spacing w:before="0" w:after="360" w:line="240" w:lineRule="auto"/>
        <w:rPr>
          <w:rFonts w:cs="Arial"/>
        </w:rPr>
      </w:pPr>
    </w:p>
    <w:p w:rsidR="00D5347F" w:rsidRDefault="00D5347F" w:rsidP="001914FD">
      <w:pPr>
        <w:pStyle w:val="Heading3"/>
        <w:numPr>
          <w:ilvl w:val="0"/>
          <w:numId w:val="9"/>
        </w:numPr>
        <w:spacing w:after="240"/>
      </w:pPr>
      <w:r>
        <w:t>Allowable and Reasonable Costs</w:t>
      </w:r>
    </w:p>
    <w:p w:rsidR="00D5347F" w:rsidRDefault="00D5347F" w:rsidP="00D5347F">
      <w:pPr>
        <w:spacing w:after="240"/>
        <w:ind w:left="720"/>
        <w:rPr>
          <w:szCs w:val="24"/>
        </w:rPr>
      </w:pPr>
      <w:r>
        <w:t xml:space="preserve">Funds </w:t>
      </w:r>
      <w:r>
        <w:rPr>
          <w:szCs w:val="24"/>
        </w:rPr>
        <w:t xml:space="preserve">must supplement, not supplant, existing services and may not be used to supplant federal, state, local, or nonfederal funds. Programs may not use AIEC funds to pay for existing levels of service funded from any other source. </w:t>
      </w:r>
      <w:r w:rsidRPr="002272C5">
        <w:rPr>
          <w:szCs w:val="24"/>
        </w:rPr>
        <w:t xml:space="preserve">The AIEC funds may not be used for new construction, entertainment, and purchases not directly related to requirements of the grant. All purchases must be reasonable and necessary. Please visit the </w:t>
      </w:r>
      <w:r w:rsidRPr="00E92039">
        <w:rPr>
          <w:szCs w:val="24"/>
        </w:rPr>
        <w:t xml:space="preserve">Uniform Guidance–Title 2, Subtitle </w:t>
      </w:r>
      <w:proofErr w:type="gramStart"/>
      <w:r w:rsidRPr="00E92039">
        <w:rPr>
          <w:szCs w:val="24"/>
        </w:rPr>
        <w:t>A</w:t>
      </w:r>
      <w:proofErr w:type="gramEnd"/>
      <w:r w:rsidRPr="00E92039">
        <w:rPr>
          <w:szCs w:val="24"/>
        </w:rPr>
        <w:t>, Chapter 2, Part 200, Subpart E–Cost Principles</w:t>
      </w:r>
      <w:r w:rsidR="009300B1">
        <w:rPr>
          <w:szCs w:val="24"/>
        </w:rPr>
        <w:t xml:space="preserve"> w</w:t>
      </w:r>
      <w:r w:rsidRPr="002272C5">
        <w:rPr>
          <w:szCs w:val="24"/>
        </w:rPr>
        <w:t xml:space="preserve">eb page at </w:t>
      </w:r>
      <w:hyperlink r:id="rId23" w:anchor="sg2.1.200_1419.sg16" w:history="1">
        <w:r w:rsidR="00E92039" w:rsidRPr="005B235F">
          <w:rPr>
            <w:rStyle w:val="Hyperlink"/>
            <w:szCs w:val="24"/>
          </w:rPr>
          <w:t>http://www.ecfr.gov/cgi-bin/text-idx?SID=148e539f1aaea800420b71a9feb79f98&amp;mc=true&amp;node=sp2.1.200.e&amp;rgn=div6#sg2.1.200_1419.sg16</w:t>
        </w:r>
      </w:hyperlink>
      <w:r w:rsidR="00E92039">
        <w:rPr>
          <w:szCs w:val="24"/>
        </w:rPr>
        <w:t xml:space="preserve">. </w:t>
      </w:r>
    </w:p>
    <w:p w:rsidR="00D5347F" w:rsidRDefault="00D5347F" w:rsidP="00D5347F">
      <w:pPr>
        <w:spacing w:after="240"/>
        <w:ind w:left="720"/>
        <w:rPr>
          <w:szCs w:val="24"/>
        </w:rPr>
      </w:pPr>
      <w:r w:rsidRPr="00F73EDC">
        <w:rPr>
          <w:szCs w:val="24"/>
        </w:rPr>
        <w:t>Each application will be reviewed for reasonable costs. A cost is reasonable if, in its nature or amount, it does not exceed that cost which would be incurred by a prudent person under the circumstances prevailing at the time the decis</w:t>
      </w:r>
      <w:r>
        <w:rPr>
          <w:szCs w:val="24"/>
        </w:rPr>
        <w:t>ion was made to incur the cost.</w:t>
      </w:r>
    </w:p>
    <w:p w:rsidR="00D5347F" w:rsidRDefault="00D5347F" w:rsidP="001914FD">
      <w:pPr>
        <w:numPr>
          <w:ilvl w:val="0"/>
          <w:numId w:val="32"/>
        </w:numPr>
        <w:spacing w:after="360"/>
        <w:ind w:left="1440"/>
        <w:rPr>
          <w:szCs w:val="24"/>
        </w:rPr>
      </w:pPr>
      <w:r>
        <w:rPr>
          <w:szCs w:val="24"/>
        </w:rPr>
        <w:t>Costs shall not be made after 5 p.m.</w:t>
      </w:r>
    </w:p>
    <w:p w:rsidR="00D5347F" w:rsidRDefault="00D5347F" w:rsidP="001914FD">
      <w:pPr>
        <w:pStyle w:val="Heading3"/>
        <w:numPr>
          <w:ilvl w:val="0"/>
          <w:numId w:val="9"/>
        </w:numPr>
        <w:spacing w:after="240"/>
      </w:pPr>
      <w:r>
        <w:lastRenderedPageBreak/>
        <w:t>Unallowable Costs</w:t>
      </w:r>
    </w:p>
    <w:p w:rsidR="00D5347F" w:rsidRPr="00F73EDC" w:rsidRDefault="00D5347F" w:rsidP="00D5347F">
      <w:pPr>
        <w:spacing w:after="240"/>
        <w:ind w:left="720"/>
        <w:rPr>
          <w:szCs w:val="24"/>
        </w:rPr>
      </w:pPr>
      <w:r>
        <w:t xml:space="preserve">The </w:t>
      </w:r>
      <w:r w:rsidRPr="00F73EDC">
        <w:rPr>
          <w:szCs w:val="24"/>
        </w:rPr>
        <w:t>applicant may be asked to remove unallowable costs. Examples of expenditures that are unallowable include, but are not limited to, the following:</w:t>
      </w:r>
    </w:p>
    <w:p w:rsidR="00D5347F" w:rsidRPr="00D5347F" w:rsidRDefault="00D5347F" w:rsidP="001914FD">
      <w:pPr>
        <w:numPr>
          <w:ilvl w:val="0"/>
          <w:numId w:val="32"/>
        </w:numPr>
        <w:spacing w:after="240"/>
        <w:ind w:left="1440"/>
        <w:rPr>
          <w:szCs w:val="24"/>
        </w:rPr>
      </w:pPr>
      <w:r w:rsidRPr="00F73EDC">
        <w:rPr>
          <w:szCs w:val="24"/>
        </w:rPr>
        <w:t>Incentives</w:t>
      </w:r>
    </w:p>
    <w:p w:rsidR="00D5347F" w:rsidRPr="00D5347F" w:rsidRDefault="00D5347F" w:rsidP="001914FD">
      <w:pPr>
        <w:numPr>
          <w:ilvl w:val="0"/>
          <w:numId w:val="32"/>
        </w:numPr>
        <w:spacing w:after="240"/>
        <w:ind w:left="1440"/>
        <w:rPr>
          <w:szCs w:val="24"/>
        </w:rPr>
      </w:pPr>
      <w:r w:rsidRPr="00F73EDC">
        <w:rPr>
          <w:szCs w:val="24"/>
        </w:rPr>
        <w:t>Gifts to honor individuals</w:t>
      </w:r>
    </w:p>
    <w:p w:rsidR="00D5347F" w:rsidRPr="00D5347F" w:rsidRDefault="00D5347F" w:rsidP="001914FD">
      <w:pPr>
        <w:numPr>
          <w:ilvl w:val="0"/>
          <w:numId w:val="32"/>
        </w:numPr>
        <w:spacing w:after="240"/>
        <w:ind w:left="1440"/>
        <w:rPr>
          <w:szCs w:val="24"/>
        </w:rPr>
      </w:pPr>
      <w:r>
        <w:rPr>
          <w:szCs w:val="24"/>
        </w:rPr>
        <w:t>Gift Cards</w:t>
      </w:r>
    </w:p>
    <w:p w:rsidR="00D5347F" w:rsidRPr="00D5347F" w:rsidRDefault="00D5347F" w:rsidP="001914FD">
      <w:pPr>
        <w:numPr>
          <w:ilvl w:val="0"/>
          <w:numId w:val="32"/>
        </w:numPr>
        <w:spacing w:after="240"/>
        <w:ind w:left="1440"/>
        <w:rPr>
          <w:szCs w:val="24"/>
        </w:rPr>
      </w:pPr>
      <w:r>
        <w:rPr>
          <w:szCs w:val="24"/>
        </w:rPr>
        <w:t>Pre-paid store cards or credit cards</w:t>
      </w:r>
    </w:p>
    <w:p w:rsidR="00D5347F" w:rsidRPr="00D5347F" w:rsidRDefault="00D5347F" w:rsidP="001914FD">
      <w:pPr>
        <w:numPr>
          <w:ilvl w:val="0"/>
          <w:numId w:val="32"/>
        </w:numPr>
        <w:spacing w:after="240"/>
        <w:ind w:left="1440"/>
        <w:rPr>
          <w:szCs w:val="24"/>
        </w:rPr>
      </w:pPr>
      <w:r w:rsidRPr="00F73EDC">
        <w:rPr>
          <w:szCs w:val="24"/>
        </w:rPr>
        <w:t>Parties/celebrations</w:t>
      </w:r>
    </w:p>
    <w:p w:rsidR="00D5347F" w:rsidRPr="00D5347F" w:rsidRDefault="00D5347F" w:rsidP="001914FD">
      <w:pPr>
        <w:numPr>
          <w:ilvl w:val="0"/>
          <w:numId w:val="32"/>
        </w:numPr>
        <w:spacing w:after="240"/>
        <w:ind w:left="1440"/>
        <w:rPr>
          <w:szCs w:val="24"/>
        </w:rPr>
      </w:pPr>
      <w:r w:rsidRPr="00F73EDC">
        <w:rPr>
          <w:szCs w:val="24"/>
        </w:rPr>
        <w:t>Scholarships</w:t>
      </w:r>
    </w:p>
    <w:p w:rsidR="00D5347F" w:rsidRPr="00D5347F" w:rsidRDefault="00D5347F" w:rsidP="001914FD">
      <w:pPr>
        <w:numPr>
          <w:ilvl w:val="0"/>
          <w:numId w:val="32"/>
        </w:numPr>
        <w:spacing w:after="240"/>
        <w:ind w:left="1440"/>
        <w:rPr>
          <w:szCs w:val="24"/>
        </w:rPr>
      </w:pPr>
      <w:r w:rsidRPr="00F73EDC">
        <w:rPr>
          <w:szCs w:val="24"/>
        </w:rPr>
        <w:t>Financial support to families</w:t>
      </w:r>
    </w:p>
    <w:p w:rsidR="00D5347F" w:rsidRPr="00D5347F" w:rsidRDefault="00D5347F" w:rsidP="001914FD">
      <w:pPr>
        <w:numPr>
          <w:ilvl w:val="0"/>
          <w:numId w:val="32"/>
        </w:numPr>
        <w:spacing w:after="240"/>
        <w:ind w:left="1440"/>
        <w:rPr>
          <w:szCs w:val="24"/>
        </w:rPr>
      </w:pPr>
      <w:r w:rsidRPr="00F73EDC">
        <w:rPr>
          <w:szCs w:val="24"/>
        </w:rPr>
        <w:t>Staff bonuses</w:t>
      </w:r>
    </w:p>
    <w:p w:rsidR="00D5347F" w:rsidRPr="00D5347F" w:rsidRDefault="00D5347F" w:rsidP="001914FD">
      <w:pPr>
        <w:numPr>
          <w:ilvl w:val="0"/>
          <w:numId w:val="32"/>
        </w:numPr>
        <w:spacing w:after="240"/>
        <w:ind w:left="1440"/>
        <w:rPr>
          <w:szCs w:val="24"/>
        </w:rPr>
      </w:pPr>
      <w:r w:rsidRPr="00F73EDC">
        <w:rPr>
          <w:szCs w:val="24"/>
        </w:rPr>
        <w:t>Interest/finance charges</w:t>
      </w:r>
    </w:p>
    <w:p w:rsidR="00D5347F" w:rsidRPr="00D5347F" w:rsidRDefault="00D5347F" w:rsidP="001914FD">
      <w:pPr>
        <w:numPr>
          <w:ilvl w:val="0"/>
          <w:numId w:val="32"/>
        </w:numPr>
        <w:spacing w:after="240"/>
        <w:ind w:left="1440"/>
        <w:rPr>
          <w:szCs w:val="24"/>
        </w:rPr>
      </w:pPr>
      <w:r w:rsidRPr="00F73EDC">
        <w:rPr>
          <w:szCs w:val="24"/>
        </w:rPr>
        <w:t>Internal Revenue Service penalties</w:t>
      </w:r>
    </w:p>
    <w:p w:rsidR="00D5347F" w:rsidRPr="00D5347F" w:rsidRDefault="00D5347F" w:rsidP="001914FD">
      <w:pPr>
        <w:numPr>
          <w:ilvl w:val="0"/>
          <w:numId w:val="32"/>
        </w:numPr>
        <w:spacing w:after="240"/>
        <w:ind w:left="1440"/>
        <w:rPr>
          <w:szCs w:val="24"/>
        </w:rPr>
      </w:pPr>
      <w:r w:rsidRPr="004C1A66">
        <w:rPr>
          <w:szCs w:val="24"/>
        </w:rPr>
        <w:t>Entertainment, including amusement, diversion, social activities and any costs directly associated with such costs (such as tickets to shows or sports events, meals, lodging, rentals, transportation, and gratuities)</w:t>
      </w:r>
    </w:p>
    <w:p w:rsidR="00D5347F" w:rsidRPr="00D5347F" w:rsidRDefault="00D5347F" w:rsidP="001914FD">
      <w:pPr>
        <w:numPr>
          <w:ilvl w:val="0"/>
          <w:numId w:val="32"/>
        </w:numPr>
        <w:autoSpaceDE w:val="0"/>
        <w:autoSpaceDN w:val="0"/>
        <w:adjustRightInd w:val="0"/>
        <w:spacing w:after="240"/>
        <w:ind w:left="1440"/>
        <w:rPr>
          <w:color w:val="000000"/>
          <w:szCs w:val="24"/>
        </w:rPr>
      </w:pPr>
      <w:r>
        <w:rPr>
          <w:color w:val="000000"/>
          <w:szCs w:val="24"/>
        </w:rPr>
        <w:t>Lobbying</w:t>
      </w:r>
    </w:p>
    <w:p w:rsidR="00D5347F" w:rsidRPr="00D5347F" w:rsidRDefault="00D5347F" w:rsidP="001914FD">
      <w:pPr>
        <w:numPr>
          <w:ilvl w:val="0"/>
          <w:numId w:val="32"/>
        </w:numPr>
        <w:autoSpaceDE w:val="0"/>
        <w:autoSpaceDN w:val="0"/>
        <w:adjustRightInd w:val="0"/>
        <w:spacing w:after="240"/>
        <w:ind w:left="1440"/>
        <w:rPr>
          <w:color w:val="000000"/>
          <w:szCs w:val="24"/>
        </w:rPr>
      </w:pPr>
      <w:r>
        <w:rPr>
          <w:color w:val="000000"/>
          <w:szCs w:val="24"/>
        </w:rPr>
        <w:t>Fundraising</w:t>
      </w:r>
    </w:p>
    <w:p w:rsidR="00D5347F" w:rsidRPr="00D5347F" w:rsidRDefault="00D5347F" w:rsidP="001914FD">
      <w:pPr>
        <w:numPr>
          <w:ilvl w:val="0"/>
          <w:numId w:val="32"/>
        </w:numPr>
        <w:autoSpaceDE w:val="0"/>
        <w:autoSpaceDN w:val="0"/>
        <w:adjustRightInd w:val="0"/>
        <w:spacing w:after="240"/>
        <w:ind w:left="1440"/>
        <w:rPr>
          <w:color w:val="000000"/>
          <w:szCs w:val="24"/>
        </w:rPr>
      </w:pPr>
      <w:r>
        <w:rPr>
          <w:color w:val="000000"/>
          <w:szCs w:val="24"/>
        </w:rPr>
        <w:t>Bad debts</w:t>
      </w:r>
    </w:p>
    <w:p w:rsidR="00D5347F" w:rsidRPr="00D5347F" w:rsidRDefault="00D5347F" w:rsidP="001914FD">
      <w:pPr>
        <w:numPr>
          <w:ilvl w:val="0"/>
          <w:numId w:val="32"/>
        </w:numPr>
        <w:autoSpaceDE w:val="0"/>
        <w:autoSpaceDN w:val="0"/>
        <w:adjustRightInd w:val="0"/>
        <w:spacing w:after="240"/>
        <w:ind w:left="1440"/>
        <w:rPr>
          <w:color w:val="000000"/>
          <w:szCs w:val="24"/>
        </w:rPr>
      </w:pPr>
      <w:r>
        <w:rPr>
          <w:color w:val="000000"/>
          <w:szCs w:val="24"/>
        </w:rPr>
        <w:t>Contingencies</w:t>
      </w:r>
    </w:p>
    <w:p w:rsidR="00D5347F" w:rsidRPr="00D5347F" w:rsidRDefault="00D5347F" w:rsidP="001914FD">
      <w:pPr>
        <w:numPr>
          <w:ilvl w:val="0"/>
          <w:numId w:val="32"/>
        </w:numPr>
        <w:autoSpaceDE w:val="0"/>
        <w:autoSpaceDN w:val="0"/>
        <w:adjustRightInd w:val="0"/>
        <w:spacing w:after="240"/>
        <w:ind w:left="1440"/>
        <w:rPr>
          <w:color w:val="000000"/>
          <w:szCs w:val="24"/>
        </w:rPr>
      </w:pPr>
      <w:r>
        <w:rPr>
          <w:color w:val="000000"/>
          <w:szCs w:val="24"/>
        </w:rPr>
        <w:t>Fines and penalties</w:t>
      </w:r>
    </w:p>
    <w:p w:rsidR="00D5347F" w:rsidRPr="00D5347F" w:rsidRDefault="00D5347F" w:rsidP="001914FD">
      <w:pPr>
        <w:numPr>
          <w:ilvl w:val="0"/>
          <w:numId w:val="32"/>
        </w:numPr>
        <w:autoSpaceDE w:val="0"/>
        <w:autoSpaceDN w:val="0"/>
        <w:adjustRightInd w:val="0"/>
        <w:spacing w:after="240"/>
        <w:ind w:left="1440"/>
        <w:rPr>
          <w:color w:val="000000"/>
          <w:szCs w:val="24"/>
        </w:rPr>
      </w:pPr>
      <w:r>
        <w:rPr>
          <w:color w:val="000000"/>
          <w:szCs w:val="24"/>
        </w:rPr>
        <w:t>Costs of idle facilities</w:t>
      </w:r>
    </w:p>
    <w:p w:rsidR="00D5347F" w:rsidRPr="00D5347F" w:rsidRDefault="00D5347F" w:rsidP="001914FD">
      <w:pPr>
        <w:numPr>
          <w:ilvl w:val="0"/>
          <w:numId w:val="32"/>
        </w:numPr>
        <w:autoSpaceDE w:val="0"/>
        <w:autoSpaceDN w:val="0"/>
        <w:adjustRightInd w:val="0"/>
        <w:spacing w:after="240"/>
        <w:ind w:left="1440"/>
        <w:rPr>
          <w:color w:val="000000"/>
          <w:szCs w:val="24"/>
        </w:rPr>
      </w:pPr>
      <w:r>
        <w:rPr>
          <w:color w:val="000000"/>
          <w:szCs w:val="24"/>
        </w:rPr>
        <w:t>Cell Phone purchases</w:t>
      </w:r>
    </w:p>
    <w:p w:rsidR="00D5347F" w:rsidRPr="00D5347F" w:rsidRDefault="00D5347F" w:rsidP="001914FD">
      <w:pPr>
        <w:numPr>
          <w:ilvl w:val="0"/>
          <w:numId w:val="32"/>
        </w:numPr>
        <w:autoSpaceDE w:val="0"/>
        <w:autoSpaceDN w:val="0"/>
        <w:adjustRightInd w:val="0"/>
        <w:spacing w:after="240"/>
        <w:ind w:left="1440"/>
        <w:rPr>
          <w:color w:val="000000"/>
          <w:szCs w:val="24"/>
        </w:rPr>
      </w:pPr>
      <w:r w:rsidRPr="00F73EDC">
        <w:rPr>
          <w:color w:val="000000"/>
          <w:szCs w:val="24"/>
        </w:rPr>
        <w:t>Costs incurred after the grant has been terminated</w:t>
      </w:r>
    </w:p>
    <w:p w:rsidR="00D5347F" w:rsidRPr="00D5347F" w:rsidRDefault="00D5347F" w:rsidP="001914FD">
      <w:pPr>
        <w:numPr>
          <w:ilvl w:val="0"/>
          <w:numId w:val="32"/>
        </w:numPr>
        <w:autoSpaceDE w:val="0"/>
        <w:autoSpaceDN w:val="0"/>
        <w:adjustRightInd w:val="0"/>
        <w:spacing w:after="240"/>
        <w:ind w:left="1440"/>
        <w:rPr>
          <w:color w:val="000000"/>
          <w:szCs w:val="24"/>
        </w:rPr>
      </w:pPr>
      <w:r>
        <w:rPr>
          <w:color w:val="000000"/>
          <w:szCs w:val="24"/>
        </w:rPr>
        <w:t>Unnecessary travel</w:t>
      </w:r>
    </w:p>
    <w:p w:rsidR="00D5347F" w:rsidRPr="00D5347F" w:rsidRDefault="00D5347F" w:rsidP="001914FD">
      <w:pPr>
        <w:numPr>
          <w:ilvl w:val="0"/>
          <w:numId w:val="32"/>
        </w:numPr>
        <w:autoSpaceDE w:val="0"/>
        <w:autoSpaceDN w:val="0"/>
        <w:adjustRightInd w:val="0"/>
        <w:spacing w:after="240"/>
        <w:ind w:left="1440"/>
        <w:rPr>
          <w:color w:val="000000"/>
          <w:szCs w:val="24"/>
        </w:rPr>
      </w:pPr>
      <w:r w:rsidRPr="00F73EDC">
        <w:rPr>
          <w:color w:val="000000"/>
          <w:szCs w:val="24"/>
        </w:rPr>
        <w:t>Out-of-state travel</w:t>
      </w:r>
    </w:p>
    <w:p w:rsidR="00D5347F" w:rsidRPr="00D5347F" w:rsidRDefault="00D5347F" w:rsidP="001914FD">
      <w:pPr>
        <w:numPr>
          <w:ilvl w:val="0"/>
          <w:numId w:val="32"/>
        </w:numPr>
        <w:autoSpaceDE w:val="0"/>
        <w:autoSpaceDN w:val="0"/>
        <w:adjustRightInd w:val="0"/>
        <w:spacing w:after="240"/>
        <w:ind w:left="1440"/>
        <w:rPr>
          <w:color w:val="000000"/>
          <w:szCs w:val="24"/>
        </w:rPr>
      </w:pPr>
      <w:r w:rsidRPr="00F73EDC">
        <w:rPr>
          <w:color w:val="000000"/>
          <w:szCs w:val="24"/>
        </w:rPr>
        <w:lastRenderedPageBreak/>
        <w:t>Contributions</w:t>
      </w:r>
    </w:p>
    <w:p w:rsidR="00D5347F" w:rsidRPr="00D5347F" w:rsidRDefault="00D5347F" w:rsidP="001914FD">
      <w:pPr>
        <w:numPr>
          <w:ilvl w:val="0"/>
          <w:numId w:val="32"/>
        </w:numPr>
        <w:autoSpaceDE w:val="0"/>
        <w:autoSpaceDN w:val="0"/>
        <w:adjustRightInd w:val="0"/>
        <w:spacing w:after="240"/>
        <w:ind w:left="1440"/>
        <w:rPr>
          <w:color w:val="000000"/>
          <w:szCs w:val="24"/>
        </w:rPr>
      </w:pPr>
      <w:r w:rsidRPr="00F73EDC">
        <w:rPr>
          <w:color w:val="000000"/>
          <w:szCs w:val="24"/>
        </w:rPr>
        <w:t>Costs of organization of a nonprofit corporation such as incorporation fees or consultant fees</w:t>
      </w:r>
    </w:p>
    <w:p w:rsidR="00D5347F" w:rsidRPr="00D5347F" w:rsidRDefault="00D5347F" w:rsidP="001914FD">
      <w:pPr>
        <w:numPr>
          <w:ilvl w:val="0"/>
          <w:numId w:val="32"/>
        </w:numPr>
        <w:autoSpaceDE w:val="0"/>
        <w:autoSpaceDN w:val="0"/>
        <w:adjustRightInd w:val="0"/>
        <w:spacing w:after="240"/>
        <w:ind w:left="1440"/>
        <w:rPr>
          <w:color w:val="000000"/>
          <w:szCs w:val="24"/>
        </w:rPr>
      </w:pPr>
      <w:r w:rsidRPr="00F73EDC">
        <w:rPr>
          <w:color w:val="000000"/>
          <w:szCs w:val="24"/>
        </w:rPr>
        <w:t>Public relations consultant fees</w:t>
      </w:r>
    </w:p>
    <w:p w:rsidR="00D5347F" w:rsidRPr="00D5347F" w:rsidRDefault="00D5347F" w:rsidP="001914FD">
      <w:pPr>
        <w:numPr>
          <w:ilvl w:val="0"/>
          <w:numId w:val="32"/>
        </w:numPr>
        <w:autoSpaceDE w:val="0"/>
        <w:autoSpaceDN w:val="0"/>
        <w:adjustRightInd w:val="0"/>
        <w:spacing w:after="240"/>
        <w:ind w:left="1440"/>
        <w:rPr>
          <w:color w:val="000000"/>
          <w:szCs w:val="24"/>
        </w:rPr>
      </w:pPr>
      <w:r w:rsidRPr="00F73EDC">
        <w:rPr>
          <w:color w:val="000000"/>
          <w:szCs w:val="24"/>
        </w:rPr>
        <w:t>Costs of legal, consulting, and accounting services incurred in prosecution of claims against the state</w:t>
      </w:r>
    </w:p>
    <w:p w:rsidR="00D5347F" w:rsidRPr="00D5347F" w:rsidRDefault="00D5347F" w:rsidP="001914FD">
      <w:pPr>
        <w:numPr>
          <w:ilvl w:val="0"/>
          <w:numId w:val="32"/>
        </w:numPr>
        <w:autoSpaceDE w:val="0"/>
        <w:autoSpaceDN w:val="0"/>
        <w:adjustRightInd w:val="0"/>
        <w:spacing w:after="240"/>
        <w:ind w:left="1440"/>
        <w:rPr>
          <w:color w:val="000000"/>
          <w:szCs w:val="24"/>
        </w:rPr>
      </w:pPr>
      <w:r w:rsidRPr="00F73EDC">
        <w:rPr>
          <w:color w:val="000000"/>
          <w:szCs w:val="24"/>
        </w:rPr>
        <w:t>State and federal income taxes</w:t>
      </w:r>
      <w:r>
        <w:rPr>
          <w:color w:val="000000"/>
          <w:szCs w:val="24"/>
        </w:rPr>
        <w:t>, including filing fees</w:t>
      </w:r>
    </w:p>
    <w:p w:rsidR="00D5347F" w:rsidRPr="00D5347F" w:rsidRDefault="00D5347F" w:rsidP="001914FD">
      <w:pPr>
        <w:numPr>
          <w:ilvl w:val="0"/>
          <w:numId w:val="32"/>
        </w:numPr>
        <w:autoSpaceDE w:val="0"/>
        <w:autoSpaceDN w:val="0"/>
        <w:adjustRightInd w:val="0"/>
        <w:spacing w:after="240"/>
        <w:ind w:left="1440"/>
        <w:rPr>
          <w:color w:val="000000"/>
          <w:szCs w:val="24"/>
        </w:rPr>
      </w:pPr>
      <w:r w:rsidRPr="00F73EDC">
        <w:rPr>
          <w:color w:val="000000"/>
          <w:szCs w:val="24"/>
        </w:rPr>
        <w:t>Compensation to the members of the Board of Directors except for:</w:t>
      </w:r>
    </w:p>
    <w:p w:rsidR="00D5347F" w:rsidRPr="00D5347F" w:rsidRDefault="00D5347F" w:rsidP="001914FD">
      <w:pPr>
        <w:numPr>
          <w:ilvl w:val="0"/>
          <w:numId w:val="33"/>
        </w:numPr>
        <w:autoSpaceDE w:val="0"/>
        <w:autoSpaceDN w:val="0"/>
        <w:adjustRightInd w:val="0"/>
        <w:spacing w:after="240"/>
        <w:ind w:left="2160"/>
        <w:rPr>
          <w:color w:val="000000"/>
          <w:szCs w:val="24"/>
        </w:rPr>
      </w:pPr>
      <w:r w:rsidRPr="00F73EDC">
        <w:rPr>
          <w:color w:val="000000"/>
          <w:szCs w:val="24"/>
        </w:rPr>
        <w:t>Reimbursement for travel and/or per diem, computed in accordance with state rates, incurred while the members are conducting business on behalf of the AIEC Program</w:t>
      </w:r>
    </w:p>
    <w:p w:rsidR="00D5347F" w:rsidRPr="00D5347F" w:rsidRDefault="00D5347F" w:rsidP="001914FD">
      <w:pPr>
        <w:numPr>
          <w:ilvl w:val="0"/>
          <w:numId w:val="32"/>
        </w:numPr>
        <w:autoSpaceDE w:val="0"/>
        <w:autoSpaceDN w:val="0"/>
        <w:adjustRightInd w:val="0"/>
        <w:spacing w:after="240"/>
        <w:ind w:left="1440"/>
        <w:rPr>
          <w:color w:val="000000"/>
          <w:szCs w:val="24"/>
        </w:rPr>
      </w:pPr>
      <w:r w:rsidRPr="00F73EDC">
        <w:rPr>
          <w:color w:val="000000"/>
          <w:szCs w:val="24"/>
        </w:rPr>
        <w:t>Costs incurred in prior or future years</w:t>
      </w:r>
    </w:p>
    <w:p w:rsidR="00D5347F" w:rsidRPr="00D544E6" w:rsidRDefault="00D5347F" w:rsidP="001914FD">
      <w:pPr>
        <w:numPr>
          <w:ilvl w:val="0"/>
          <w:numId w:val="32"/>
        </w:numPr>
        <w:autoSpaceDE w:val="0"/>
        <w:autoSpaceDN w:val="0"/>
        <w:adjustRightInd w:val="0"/>
        <w:spacing w:after="240"/>
        <w:ind w:left="1440"/>
        <w:rPr>
          <w:color w:val="000000"/>
          <w:szCs w:val="24"/>
        </w:rPr>
      </w:pPr>
      <w:r w:rsidRPr="00F73EDC">
        <w:rPr>
          <w:color w:val="000000"/>
          <w:szCs w:val="24"/>
        </w:rPr>
        <w:t>Any expense not included in the approved budget</w:t>
      </w:r>
    </w:p>
    <w:p w:rsidR="00D5347F" w:rsidRPr="00F73EDC" w:rsidRDefault="00D5347F" w:rsidP="00D544E6">
      <w:pPr>
        <w:autoSpaceDE w:val="0"/>
        <w:autoSpaceDN w:val="0"/>
        <w:adjustRightInd w:val="0"/>
        <w:spacing w:after="240"/>
        <w:ind w:left="720"/>
        <w:rPr>
          <w:color w:val="000000"/>
          <w:szCs w:val="24"/>
        </w:rPr>
      </w:pPr>
      <w:r w:rsidRPr="00F73EDC">
        <w:rPr>
          <w:color w:val="000000"/>
          <w:szCs w:val="24"/>
        </w:rPr>
        <w:t>The CDE shall recoup any payments made for costs which were not reasonable and necessary. The amount that is recouped shall be the excess payment over the reasonable or fair market value, or 100 percent of the cost, if the cost was not necessary. The CDE may elect to recover any costs associated with recouping advanced contract funds, including collection services or attorney fees.</w:t>
      </w:r>
    </w:p>
    <w:p w:rsidR="00D5347F" w:rsidRDefault="00D5347F" w:rsidP="00D544E6">
      <w:pPr>
        <w:spacing w:after="360"/>
        <w:ind w:left="720"/>
        <w:rPr>
          <w:color w:val="000000"/>
          <w:szCs w:val="24"/>
        </w:rPr>
      </w:pPr>
      <w:r w:rsidRPr="00F73EDC">
        <w:rPr>
          <w:color w:val="000000"/>
          <w:szCs w:val="24"/>
        </w:rPr>
        <w:t>Net reimbursable program costs must be incurred during the grant period. Grantees shall not use current year grant funds to pay prior or future year obligations.</w:t>
      </w:r>
    </w:p>
    <w:p w:rsidR="00D544E6" w:rsidRDefault="00D544E6" w:rsidP="001914FD">
      <w:pPr>
        <w:pStyle w:val="Heading3"/>
        <w:numPr>
          <w:ilvl w:val="0"/>
          <w:numId w:val="9"/>
        </w:numPr>
        <w:tabs>
          <w:tab w:val="clear" w:pos="960"/>
          <w:tab w:val="clear" w:pos="1440"/>
          <w:tab w:val="clear" w:pos="1800"/>
          <w:tab w:val="clear" w:pos="2160"/>
        </w:tabs>
        <w:spacing w:after="240"/>
      </w:pPr>
      <w:r>
        <w:t>Costs Requiring California Department of Education Approval</w:t>
      </w:r>
    </w:p>
    <w:p w:rsidR="00D544E6" w:rsidRPr="00D544E6" w:rsidRDefault="00D544E6" w:rsidP="001914FD">
      <w:pPr>
        <w:numPr>
          <w:ilvl w:val="0"/>
          <w:numId w:val="34"/>
        </w:numPr>
        <w:autoSpaceDE w:val="0"/>
        <w:autoSpaceDN w:val="0"/>
        <w:adjustRightInd w:val="0"/>
        <w:spacing w:after="240"/>
        <w:ind w:left="1440"/>
        <w:rPr>
          <w:b/>
          <w:bCs w:val="0"/>
          <w:color w:val="000000"/>
          <w:szCs w:val="24"/>
        </w:rPr>
      </w:pPr>
      <w:r>
        <w:t xml:space="preserve">Any item that </w:t>
      </w:r>
      <w:r w:rsidRPr="00B9353D">
        <w:rPr>
          <w:bCs w:val="0"/>
          <w:color w:val="000000"/>
          <w:szCs w:val="24"/>
        </w:rPr>
        <w:t xml:space="preserve">is not in </w:t>
      </w:r>
      <w:r w:rsidRPr="00B9353D">
        <w:rPr>
          <w:color w:val="000000"/>
          <w:szCs w:val="24"/>
        </w:rPr>
        <w:t>the approved budget is unallowable unless written approval is given in advance by the CDE.</w:t>
      </w:r>
    </w:p>
    <w:p w:rsidR="00D544E6" w:rsidRPr="00D544E6" w:rsidRDefault="00D544E6" w:rsidP="001914FD">
      <w:pPr>
        <w:numPr>
          <w:ilvl w:val="0"/>
          <w:numId w:val="34"/>
        </w:numPr>
        <w:autoSpaceDE w:val="0"/>
        <w:autoSpaceDN w:val="0"/>
        <w:adjustRightInd w:val="0"/>
        <w:spacing w:after="240"/>
        <w:ind w:left="1440"/>
        <w:rPr>
          <w:b/>
          <w:bCs w:val="0"/>
          <w:color w:val="000000"/>
          <w:szCs w:val="24"/>
        </w:rPr>
      </w:pPr>
      <w:r>
        <w:rPr>
          <w:color w:val="000000"/>
          <w:szCs w:val="24"/>
        </w:rPr>
        <w:t xml:space="preserve">If indirect costs are claimed, an indirect cost allocation plan must be on file with the grantee and available for review by CDE staff. </w:t>
      </w:r>
      <w:r w:rsidRPr="00B9353D">
        <w:rPr>
          <w:color w:val="000000"/>
          <w:szCs w:val="24"/>
        </w:rPr>
        <w:t xml:space="preserve">The maximum </w:t>
      </w:r>
      <w:r w:rsidRPr="00B9353D">
        <w:rPr>
          <w:szCs w:val="24"/>
        </w:rPr>
        <w:t xml:space="preserve">for an indirect cost rate for this funding is </w:t>
      </w:r>
      <w:r>
        <w:rPr>
          <w:szCs w:val="24"/>
        </w:rPr>
        <w:t>7</w:t>
      </w:r>
      <w:r w:rsidRPr="00B9353D">
        <w:rPr>
          <w:szCs w:val="24"/>
        </w:rPr>
        <w:t xml:space="preserve"> percent. </w:t>
      </w:r>
      <w:r>
        <w:rPr>
          <w:szCs w:val="24"/>
        </w:rPr>
        <w:t xml:space="preserve">This rate is applied to budget categories 1000–5000 only in determining the maximum amount of indirect costs that are reimbursable under the grant. </w:t>
      </w:r>
      <w:r w:rsidRPr="00B9353D">
        <w:rPr>
          <w:szCs w:val="24"/>
        </w:rPr>
        <w:t>Indirect</w:t>
      </w:r>
      <w:r>
        <w:rPr>
          <w:szCs w:val="24"/>
        </w:rPr>
        <w:t xml:space="preserve"> </w:t>
      </w:r>
      <w:r w:rsidRPr="00B9353D">
        <w:rPr>
          <w:szCs w:val="24"/>
        </w:rPr>
        <w:t>costs include agency-wide costs for fiscal services, personnel, central</w:t>
      </w:r>
      <w:r>
        <w:rPr>
          <w:szCs w:val="24"/>
        </w:rPr>
        <w:t> </w:t>
      </w:r>
      <w:r w:rsidRPr="00B9353D">
        <w:rPr>
          <w:szCs w:val="24"/>
        </w:rPr>
        <w:t>support (e.g., bookkeeping, purchasing, warehousing, and printing), and other centralized services.</w:t>
      </w:r>
    </w:p>
    <w:p w:rsidR="00D544E6" w:rsidRPr="00D544E6" w:rsidRDefault="00D544E6" w:rsidP="001914FD">
      <w:pPr>
        <w:numPr>
          <w:ilvl w:val="1"/>
          <w:numId w:val="34"/>
        </w:numPr>
        <w:autoSpaceDE w:val="0"/>
        <w:autoSpaceDN w:val="0"/>
        <w:adjustRightInd w:val="0"/>
        <w:spacing w:after="240"/>
        <w:ind w:left="2160"/>
        <w:rPr>
          <w:b/>
          <w:bCs w:val="0"/>
          <w:color w:val="000000"/>
          <w:szCs w:val="24"/>
        </w:rPr>
      </w:pPr>
      <w:r>
        <w:rPr>
          <w:szCs w:val="24"/>
        </w:rPr>
        <w:lastRenderedPageBreak/>
        <w:t>The amount of cost allocable to this grant shall not exceed the benefits to this grant. The allocation method must quantify this benefit among all similar programs and then distribute the costs accordingly.</w:t>
      </w:r>
    </w:p>
    <w:p w:rsidR="00D544E6" w:rsidRPr="00D544E6" w:rsidRDefault="00D544E6" w:rsidP="001914FD">
      <w:pPr>
        <w:numPr>
          <w:ilvl w:val="1"/>
          <w:numId w:val="34"/>
        </w:numPr>
        <w:autoSpaceDE w:val="0"/>
        <w:autoSpaceDN w:val="0"/>
        <w:adjustRightInd w:val="0"/>
        <w:spacing w:after="360"/>
        <w:ind w:left="2160"/>
        <w:rPr>
          <w:b/>
          <w:bCs w:val="0"/>
          <w:color w:val="000000"/>
          <w:szCs w:val="24"/>
        </w:rPr>
      </w:pPr>
      <w:r>
        <w:rPr>
          <w:szCs w:val="24"/>
        </w:rPr>
        <w:t>The indirect cost rate shall not include consideration of any costs otherwise non-reimbursable. If a depreciation or use allowance is included in the indirect cost rate, such allowance shall not be claimed on the asset.</w:t>
      </w:r>
    </w:p>
    <w:p w:rsidR="00D544E6" w:rsidRDefault="00D544E6" w:rsidP="00D544E6">
      <w:pPr>
        <w:pStyle w:val="Heading2"/>
        <w:tabs>
          <w:tab w:val="clear" w:pos="3870"/>
        </w:tabs>
        <w:spacing w:after="360"/>
        <w:ind w:left="360"/>
        <w:rPr>
          <w:b/>
        </w:rPr>
      </w:pPr>
      <w:r w:rsidRPr="00D544E6">
        <w:rPr>
          <w:b/>
        </w:rPr>
        <w:t>B</w:t>
      </w:r>
      <w:r>
        <w:rPr>
          <w:b/>
        </w:rPr>
        <w:t>UDGET REVISIONS, FISCAL, AND PROGRAMMATIC REPORTING REQUIREMENTS</w:t>
      </w:r>
    </w:p>
    <w:p w:rsidR="00D544E6" w:rsidRDefault="00D544E6" w:rsidP="001914FD">
      <w:pPr>
        <w:pStyle w:val="Heading3"/>
        <w:numPr>
          <w:ilvl w:val="0"/>
          <w:numId w:val="35"/>
        </w:numPr>
        <w:spacing w:after="240"/>
      </w:pPr>
      <w:r>
        <w:t>Fiscal Accountability Requirements</w:t>
      </w:r>
    </w:p>
    <w:p w:rsidR="00D544E6" w:rsidRDefault="00D544E6" w:rsidP="00D544E6">
      <w:pPr>
        <w:spacing w:after="240"/>
        <w:ind w:left="720"/>
        <w:rPr>
          <w:color w:val="000000"/>
          <w:szCs w:val="24"/>
        </w:rPr>
      </w:pPr>
      <w:r>
        <w:t xml:space="preserve">The CDE </w:t>
      </w:r>
      <w:r w:rsidRPr="00B9353D">
        <w:rPr>
          <w:color w:val="000000"/>
          <w:szCs w:val="24"/>
        </w:rPr>
        <w:t xml:space="preserve">receives annual appropriations from the State of California to be used for granting financial assistance to </w:t>
      </w:r>
      <w:r>
        <w:rPr>
          <w:color w:val="000000"/>
          <w:szCs w:val="24"/>
        </w:rPr>
        <w:t xml:space="preserve">the </w:t>
      </w:r>
      <w:r w:rsidRPr="00B9353D">
        <w:rPr>
          <w:color w:val="000000"/>
          <w:szCs w:val="24"/>
        </w:rPr>
        <w:t>A</w:t>
      </w:r>
      <w:r>
        <w:rPr>
          <w:color w:val="000000"/>
          <w:szCs w:val="24"/>
        </w:rPr>
        <w:t>IEC Program</w:t>
      </w:r>
      <w:r w:rsidRPr="00B9353D">
        <w:rPr>
          <w:color w:val="000000"/>
          <w:szCs w:val="24"/>
        </w:rPr>
        <w:t>. The CDE is, therefore, charged with a fiduciary responsibility to see that the taxpayers' money is used appropriately and to require proper accountability from the recipients of its awards. Acceptance of a grant from the CDE creates a legal obligation on the part of the grantee to use the funds in accordance with the terms of the grant and to comply with the grant's provisions and conditions. The grantee thus assumes full responsibility for the conduct of project activities and becomes accountable for meeting fiscal standards in the areas of financial management, internal control, audit, and reporting to the CDE.</w:t>
      </w:r>
    </w:p>
    <w:p w:rsidR="00D544E6" w:rsidRDefault="00D544E6" w:rsidP="001914FD">
      <w:pPr>
        <w:pStyle w:val="Heading3"/>
        <w:numPr>
          <w:ilvl w:val="0"/>
          <w:numId w:val="35"/>
        </w:numPr>
        <w:spacing w:after="240"/>
      </w:pPr>
      <w:r>
        <w:t>Financial Management Standards</w:t>
      </w:r>
    </w:p>
    <w:p w:rsidR="00CB1E06" w:rsidRPr="00B9353D" w:rsidRDefault="00CB1E06" w:rsidP="00CB1E06">
      <w:pPr>
        <w:autoSpaceDE w:val="0"/>
        <w:autoSpaceDN w:val="0"/>
        <w:adjustRightInd w:val="0"/>
        <w:spacing w:after="240"/>
        <w:ind w:left="720"/>
        <w:rPr>
          <w:color w:val="000000"/>
          <w:szCs w:val="24"/>
        </w:rPr>
      </w:pPr>
      <w:r>
        <w:t xml:space="preserve">Grantees </w:t>
      </w:r>
      <w:r>
        <w:rPr>
          <w:color w:val="000000"/>
          <w:szCs w:val="24"/>
        </w:rPr>
        <w:t xml:space="preserve">shall adhere to the accounting and fiscal management requirements set forth in </w:t>
      </w:r>
      <w:r w:rsidRPr="00A561F2">
        <w:rPr>
          <w:szCs w:val="24"/>
        </w:rPr>
        <w:t xml:space="preserve">5 </w:t>
      </w:r>
      <w:r w:rsidRPr="00A561F2">
        <w:rPr>
          <w:i/>
          <w:szCs w:val="24"/>
        </w:rPr>
        <w:t>CCR</w:t>
      </w:r>
      <w:r>
        <w:rPr>
          <w:szCs w:val="24"/>
        </w:rPr>
        <w:t>, sections 11996.7 and 11996.8</w:t>
      </w:r>
      <w:r w:rsidRPr="00A561F2">
        <w:rPr>
          <w:szCs w:val="24"/>
        </w:rPr>
        <w:t>.</w:t>
      </w:r>
      <w:r>
        <w:rPr>
          <w:szCs w:val="24"/>
        </w:rPr>
        <w:t xml:space="preserve"> In order to adhere to these obligations, grantees at a minimum must conform their accounting and fiscal management practices to include the following:</w:t>
      </w:r>
    </w:p>
    <w:p w:rsidR="00CB1E06" w:rsidRPr="00CB1E06" w:rsidRDefault="00CB1E06" w:rsidP="001914FD">
      <w:pPr>
        <w:numPr>
          <w:ilvl w:val="0"/>
          <w:numId w:val="36"/>
        </w:numPr>
        <w:autoSpaceDE w:val="0"/>
        <w:autoSpaceDN w:val="0"/>
        <w:adjustRightInd w:val="0"/>
        <w:spacing w:after="240"/>
        <w:ind w:left="1440"/>
        <w:rPr>
          <w:color w:val="000000"/>
          <w:szCs w:val="24"/>
        </w:rPr>
      </w:pPr>
      <w:r w:rsidRPr="00B9353D">
        <w:rPr>
          <w:color w:val="000000"/>
          <w:szCs w:val="24"/>
        </w:rPr>
        <w:t>Recipients must have accounting structures that provide accurate and complete information about all financial transactions related to the project.</w:t>
      </w:r>
    </w:p>
    <w:p w:rsidR="00CB1E06" w:rsidRPr="00CB1E06" w:rsidRDefault="00CB1E06" w:rsidP="001914FD">
      <w:pPr>
        <w:numPr>
          <w:ilvl w:val="0"/>
          <w:numId w:val="36"/>
        </w:numPr>
        <w:autoSpaceDE w:val="0"/>
        <w:autoSpaceDN w:val="0"/>
        <w:adjustRightInd w:val="0"/>
        <w:spacing w:after="240"/>
        <w:ind w:left="1440"/>
        <w:rPr>
          <w:color w:val="000000"/>
          <w:szCs w:val="24"/>
        </w:rPr>
      </w:pPr>
      <w:r>
        <w:rPr>
          <w:color w:val="000000"/>
          <w:szCs w:val="24"/>
        </w:rPr>
        <w:t>Quarterly fiscal expenditure reports</w:t>
      </w:r>
      <w:r w:rsidRPr="00B9353D">
        <w:rPr>
          <w:color w:val="000000"/>
          <w:szCs w:val="24"/>
        </w:rPr>
        <w:t xml:space="preserve"> must be at least as detailed as the cost categories indicated in the approved budget (including indirect costs that are charged to the project). Actual expenditures </w:t>
      </w:r>
      <w:r>
        <w:rPr>
          <w:color w:val="000000"/>
          <w:szCs w:val="24"/>
        </w:rPr>
        <w:t>must be consistent</w:t>
      </w:r>
      <w:r w:rsidRPr="00B9353D">
        <w:rPr>
          <w:color w:val="000000"/>
          <w:szCs w:val="24"/>
        </w:rPr>
        <w:t xml:space="preserve"> with budgeted amounts.</w:t>
      </w:r>
    </w:p>
    <w:p w:rsidR="00CB1E06" w:rsidRPr="00CB1E06" w:rsidRDefault="00CB1E06" w:rsidP="001914FD">
      <w:pPr>
        <w:numPr>
          <w:ilvl w:val="1"/>
          <w:numId w:val="36"/>
        </w:numPr>
        <w:autoSpaceDE w:val="0"/>
        <w:autoSpaceDN w:val="0"/>
        <w:adjustRightInd w:val="0"/>
        <w:spacing w:after="240"/>
        <w:ind w:left="2160" w:hanging="274"/>
        <w:rPr>
          <w:color w:val="000000"/>
          <w:szCs w:val="24"/>
        </w:rPr>
      </w:pPr>
      <w:r>
        <w:rPr>
          <w:color w:val="000000"/>
          <w:szCs w:val="24"/>
        </w:rPr>
        <w:t>Once an expenditure report has been approved, changes will not be allowed, unless a thorough justification is approved by the CDE.</w:t>
      </w:r>
    </w:p>
    <w:p w:rsidR="00CB1E06" w:rsidRPr="00CB1E06" w:rsidRDefault="00CB1E06" w:rsidP="001914FD">
      <w:pPr>
        <w:numPr>
          <w:ilvl w:val="0"/>
          <w:numId w:val="36"/>
        </w:numPr>
        <w:autoSpaceDE w:val="0"/>
        <w:autoSpaceDN w:val="0"/>
        <w:adjustRightInd w:val="0"/>
        <w:spacing w:after="240"/>
        <w:ind w:left="1440"/>
        <w:rPr>
          <w:color w:val="000000"/>
          <w:szCs w:val="24"/>
        </w:rPr>
      </w:pPr>
      <w:r w:rsidRPr="00B9353D">
        <w:rPr>
          <w:color w:val="000000"/>
          <w:szCs w:val="24"/>
        </w:rPr>
        <w:t>Accounting records are to be maintained on a current basis and balanced monthly.</w:t>
      </w:r>
    </w:p>
    <w:p w:rsidR="00CB1E06" w:rsidRPr="00CB1E06" w:rsidRDefault="00CB1E06" w:rsidP="001914FD">
      <w:pPr>
        <w:numPr>
          <w:ilvl w:val="0"/>
          <w:numId w:val="36"/>
        </w:numPr>
        <w:autoSpaceDE w:val="0"/>
        <w:autoSpaceDN w:val="0"/>
        <w:adjustRightInd w:val="0"/>
        <w:spacing w:after="240"/>
        <w:ind w:left="1440"/>
        <w:rPr>
          <w:color w:val="000000"/>
          <w:szCs w:val="24"/>
        </w:rPr>
      </w:pPr>
      <w:r>
        <w:rPr>
          <w:color w:val="000000"/>
          <w:szCs w:val="24"/>
        </w:rPr>
        <w:lastRenderedPageBreak/>
        <w:t xml:space="preserve">Quarterly fiscal expenditure reports must reflect actual expenditures incurred during the quarter in which the report pertains. </w:t>
      </w:r>
      <w:r w:rsidRPr="00B9353D">
        <w:rPr>
          <w:color w:val="000000"/>
          <w:szCs w:val="24"/>
        </w:rPr>
        <w:t>Costs may be incurred only during the grant period.</w:t>
      </w:r>
    </w:p>
    <w:p w:rsidR="00CB1E06" w:rsidRPr="00CB1E06" w:rsidRDefault="00CB1E06" w:rsidP="001914FD">
      <w:pPr>
        <w:numPr>
          <w:ilvl w:val="0"/>
          <w:numId w:val="36"/>
        </w:numPr>
        <w:autoSpaceDE w:val="0"/>
        <w:autoSpaceDN w:val="0"/>
        <w:adjustRightInd w:val="0"/>
        <w:spacing w:after="240"/>
        <w:ind w:left="1440"/>
        <w:rPr>
          <w:color w:val="000000"/>
          <w:szCs w:val="24"/>
        </w:rPr>
      </w:pPr>
      <w:r>
        <w:rPr>
          <w:color w:val="000000"/>
          <w:szCs w:val="24"/>
        </w:rPr>
        <w:t>The quarterly fiscal expenditure reports</w:t>
      </w:r>
      <w:r w:rsidRPr="00B9353D">
        <w:rPr>
          <w:color w:val="000000"/>
          <w:szCs w:val="24"/>
        </w:rPr>
        <w:t xml:space="preserve"> must be supported by source documentation such as cancelled checks, invoices, contracts, travel reports, donor letters, in-kind contribution reports</w:t>
      </w:r>
      <w:r>
        <w:rPr>
          <w:color w:val="000000"/>
          <w:szCs w:val="24"/>
        </w:rPr>
        <w:t>,</w:t>
      </w:r>
      <w:r w:rsidRPr="00B9353D">
        <w:rPr>
          <w:color w:val="000000"/>
          <w:szCs w:val="24"/>
        </w:rPr>
        <w:t xml:space="preserve"> and personnel activity reports.</w:t>
      </w:r>
    </w:p>
    <w:p w:rsidR="00CB1E06" w:rsidRPr="00CB1E06" w:rsidRDefault="00CB1E06" w:rsidP="001914FD">
      <w:pPr>
        <w:numPr>
          <w:ilvl w:val="0"/>
          <w:numId w:val="36"/>
        </w:numPr>
        <w:autoSpaceDE w:val="0"/>
        <w:autoSpaceDN w:val="0"/>
        <w:adjustRightInd w:val="0"/>
        <w:spacing w:after="240"/>
        <w:ind w:left="1440"/>
        <w:rPr>
          <w:color w:val="000000"/>
          <w:szCs w:val="24"/>
        </w:rPr>
      </w:pPr>
      <w:r w:rsidRPr="00B9353D">
        <w:rPr>
          <w:color w:val="000000"/>
          <w:szCs w:val="24"/>
        </w:rPr>
        <w:t xml:space="preserve">The same </w:t>
      </w:r>
      <w:r>
        <w:rPr>
          <w:color w:val="000000"/>
          <w:szCs w:val="24"/>
        </w:rPr>
        <w:t xml:space="preserve">specific </w:t>
      </w:r>
      <w:r w:rsidRPr="00B9353D">
        <w:rPr>
          <w:color w:val="000000"/>
          <w:szCs w:val="24"/>
        </w:rPr>
        <w:t>costs cannot be claimed and reported on more than one grant</w:t>
      </w:r>
      <w:r>
        <w:rPr>
          <w:color w:val="000000"/>
          <w:szCs w:val="24"/>
        </w:rPr>
        <w:t xml:space="preserve"> and in more than one quarterly report</w:t>
      </w:r>
      <w:r w:rsidRPr="00B9353D">
        <w:rPr>
          <w:color w:val="000000"/>
          <w:szCs w:val="24"/>
        </w:rPr>
        <w:t>.</w:t>
      </w:r>
    </w:p>
    <w:p w:rsidR="00CB1E06" w:rsidRPr="00CB1E06" w:rsidRDefault="00CB1E06" w:rsidP="001914FD">
      <w:pPr>
        <w:numPr>
          <w:ilvl w:val="0"/>
          <w:numId w:val="36"/>
        </w:numPr>
        <w:autoSpaceDE w:val="0"/>
        <w:autoSpaceDN w:val="0"/>
        <w:adjustRightInd w:val="0"/>
        <w:spacing w:after="240"/>
        <w:ind w:left="1440"/>
        <w:rPr>
          <w:color w:val="000000"/>
          <w:szCs w:val="24"/>
        </w:rPr>
      </w:pPr>
      <w:r>
        <w:rPr>
          <w:color w:val="000000"/>
          <w:szCs w:val="24"/>
        </w:rPr>
        <w:t>E</w:t>
      </w:r>
      <w:r w:rsidRPr="00B9353D">
        <w:rPr>
          <w:color w:val="000000"/>
          <w:szCs w:val="24"/>
        </w:rPr>
        <w:t xml:space="preserve">very employee whose salary is charged, in whole or in part, to </w:t>
      </w:r>
      <w:r>
        <w:rPr>
          <w:color w:val="000000"/>
          <w:szCs w:val="24"/>
        </w:rPr>
        <w:t>a grant must use</w:t>
      </w:r>
      <w:r w:rsidRPr="00B9353D">
        <w:rPr>
          <w:color w:val="000000"/>
          <w:szCs w:val="24"/>
        </w:rPr>
        <w:t xml:space="preserve"> personnel activity reports to account for all compensated time, including </w:t>
      </w:r>
      <w:r>
        <w:rPr>
          <w:color w:val="000000"/>
          <w:szCs w:val="24"/>
        </w:rPr>
        <w:t>time spent on other activities.</w:t>
      </w:r>
    </w:p>
    <w:p w:rsidR="00CB1E06" w:rsidRPr="00CB1E06" w:rsidRDefault="00CB1E06" w:rsidP="001914FD">
      <w:pPr>
        <w:numPr>
          <w:ilvl w:val="1"/>
          <w:numId w:val="36"/>
        </w:numPr>
        <w:autoSpaceDE w:val="0"/>
        <w:autoSpaceDN w:val="0"/>
        <w:adjustRightInd w:val="0"/>
        <w:spacing w:after="240"/>
        <w:ind w:left="2160"/>
        <w:rPr>
          <w:color w:val="000000"/>
          <w:szCs w:val="24"/>
        </w:rPr>
      </w:pPr>
      <w:r>
        <w:rPr>
          <w:color w:val="000000"/>
          <w:szCs w:val="24"/>
        </w:rPr>
        <w:t>If the grantee has more than one program, then the method used to allocate administrative costs must be documented.</w:t>
      </w:r>
    </w:p>
    <w:p w:rsidR="00CB1E06" w:rsidRPr="00CB1E06" w:rsidRDefault="00CB1E06" w:rsidP="001914FD">
      <w:pPr>
        <w:numPr>
          <w:ilvl w:val="1"/>
          <w:numId w:val="36"/>
        </w:numPr>
        <w:autoSpaceDE w:val="0"/>
        <w:autoSpaceDN w:val="0"/>
        <w:adjustRightInd w:val="0"/>
        <w:spacing w:after="240"/>
        <w:ind w:left="2160"/>
        <w:rPr>
          <w:color w:val="000000"/>
          <w:szCs w:val="24"/>
        </w:rPr>
      </w:pPr>
      <w:r>
        <w:rPr>
          <w:color w:val="000000"/>
          <w:szCs w:val="24"/>
        </w:rPr>
        <w:t>If an employee is multi-funded on a time accounting basis, then the employee’s time sheet must indicate the actual amount of time spent in each program per day.</w:t>
      </w:r>
    </w:p>
    <w:p w:rsidR="00CB1E06" w:rsidRPr="008C383A" w:rsidRDefault="00CB1E06" w:rsidP="001914FD">
      <w:pPr>
        <w:numPr>
          <w:ilvl w:val="1"/>
          <w:numId w:val="36"/>
        </w:numPr>
        <w:autoSpaceDE w:val="0"/>
        <w:autoSpaceDN w:val="0"/>
        <w:adjustRightInd w:val="0"/>
        <w:spacing w:after="240"/>
        <w:ind w:left="2160"/>
        <w:rPr>
          <w:color w:val="000000"/>
          <w:szCs w:val="24"/>
        </w:rPr>
      </w:pPr>
      <w:r>
        <w:rPr>
          <w:color w:val="000000"/>
          <w:szCs w:val="24"/>
        </w:rPr>
        <w:t>Vacation hours cannot be accrued from year to year and must be used within the grant period.</w:t>
      </w:r>
    </w:p>
    <w:p w:rsidR="00CB1E06" w:rsidRPr="00CB1E06" w:rsidRDefault="00CB1E06" w:rsidP="001914FD">
      <w:pPr>
        <w:numPr>
          <w:ilvl w:val="0"/>
          <w:numId w:val="36"/>
        </w:numPr>
        <w:autoSpaceDE w:val="0"/>
        <w:autoSpaceDN w:val="0"/>
        <w:adjustRightInd w:val="0"/>
        <w:spacing w:after="240"/>
        <w:ind w:left="1440"/>
        <w:rPr>
          <w:color w:val="000000"/>
          <w:szCs w:val="24"/>
        </w:rPr>
      </w:pPr>
      <w:r w:rsidRPr="00B9353D">
        <w:rPr>
          <w:color w:val="000000"/>
          <w:szCs w:val="24"/>
        </w:rPr>
        <w:t>Records must be preserved for five years following submission of the final financial status report. However, if records of receipts are being reviewed or audited, records of receipts must be kept until review/audit is completed.</w:t>
      </w:r>
      <w:r>
        <w:rPr>
          <w:color w:val="000000"/>
          <w:szCs w:val="24"/>
        </w:rPr>
        <w:t xml:space="preserve"> The CDE employees or representatives shall be allowed access to all program related or fiscal records during normal work hours.</w:t>
      </w:r>
    </w:p>
    <w:p w:rsidR="00CB1E06" w:rsidRPr="00CB1E06" w:rsidRDefault="00CB1E06" w:rsidP="001914FD">
      <w:pPr>
        <w:numPr>
          <w:ilvl w:val="0"/>
          <w:numId w:val="36"/>
        </w:numPr>
        <w:autoSpaceDE w:val="0"/>
        <w:autoSpaceDN w:val="0"/>
        <w:adjustRightInd w:val="0"/>
        <w:spacing w:after="240"/>
        <w:ind w:left="1440"/>
        <w:rPr>
          <w:color w:val="000000"/>
          <w:szCs w:val="24"/>
        </w:rPr>
      </w:pPr>
      <w:r w:rsidRPr="00B9353D">
        <w:rPr>
          <w:color w:val="000000"/>
          <w:szCs w:val="24"/>
        </w:rPr>
        <w:t>The applicable Office of Management and Budget (OMB) cost principles and the terms and conditions of the grant award shall be followed in determining</w:t>
      </w:r>
      <w:r>
        <w:rPr>
          <w:color w:val="000000"/>
          <w:szCs w:val="24"/>
        </w:rPr>
        <w:t xml:space="preserve"> whether costs are reasonable</w:t>
      </w:r>
      <w:r w:rsidRPr="00B9353D">
        <w:rPr>
          <w:color w:val="000000"/>
          <w:szCs w:val="24"/>
        </w:rPr>
        <w:t>, allowable</w:t>
      </w:r>
      <w:r>
        <w:rPr>
          <w:color w:val="000000"/>
          <w:szCs w:val="24"/>
        </w:rPr>
        <w:t>, and allocable.</w:t>
      </w:r>
    </w:p>
    <w:p w:rsidR="00CB1E06" w:rsidRPr="00CB1E06" w:rsidRDefault="00CB1E06" w:rsidP="00CB1E06">
      <w:pPr>
        <w:autoSpaceDE w:val="0"/>
        <w:autoSpaceDN w:val="0"/>
        <w:adjustRightInd w:val="0"/>
        <w:spacing w:after="240"/>
        <w:ind w:left="720"/>
        <w:rPr>
          <w:color w:val="000000"/>
          <w:szCs w:val="24"/>
        </w:rPr>
      </w:pPr>
      <w:r w:rsidRPr="00B9353D">
        <w:rPr>
          <w:color w:val="000000"/>
          <w:szCs w:val="24"/>
        </w:rPr>
        <w:t>If the grantee organization is unable to meet the standards that are covered here, CDE funding may be terminated and the organization may be deemed ineligible to receive subsequent financial assistance or may be placed on an alternative method of funding.</w:t>
      </w:r>
    </w:p>
    <w:p w:rsidR="00CB1E06" w:rsidRDefault="00CB1E06" w:rsidP="00CB1E06">
      <w:pPr>
        <w:autoSpaceDE w:val="0"/>
        <w:autoSpaceDN w:val="0"/>
        <w:adjustRightInd w:val="0"/>
        <w:spacing w:after="240"/>
        <w:ind w:left="720"/>
        <w:rPr>
          <w:color w:val="000000"/>
          <w:szCs w:val="24"/>
        </w:rPr>
      </w:pPr>
      <w:r>
        <w:rPr>
          <w:color w:val="000000"/>
          <w:szCs w:val="24"/>
        </w:rPr>
        <w:t>A grantee is not eligible for additional funds if the grantee has received final notification that its grant has been terminated. A grantee is not eligible for additional funds if the grantee has demonstrated fiscal and/or programmatic noncompliance and has received final notification that it will not be offered continued funding.</w:t>
      </w:r>
    </w:p>
    <w:p w:rsidR="00CB1E06" w:rsidRDefault="00CB1E06" w:rsidP="00CB1E06">
      <w:pPr>
        <w:autoSpaceDE w:val="0"/>
        <w:autoSpaceDN w:val="0"/>
        <w:adjustRightInd w:val="0"/>
        <w:spacing w:after="240"/>
        <w:ind w:left="720"/>
        <w:rPr>
          <w:color w:val="000000"/>
          <w:szCs w:val="24"/>
        </w:rPr>
      </w:pPr>
      <w:r>
        <w:rPr>
          <w:color w:val="000000"/>
          <w:szCs w:val="24"/>
        </w:rPr>
        <w:lastRenderedPageBreak/>
        <w:t>Grantees have no vested right to a subsequent grant. Grantees that have evidenced fiscal or programmatic noncompliance with the provisions of this grant, laws, or regulations shall receive an administrative review to determine whether they will receive an offer for continued funding.</w:t>
      </w:r>
    </w:p>
    <w:p w:rsidR="00CB1E06" w:rsidRDefault="00CB1E06" w:rsidP="00CB1E06">
      <w:pPr>
        <w:autoSpaceDE w:val="0"/>
        <w:autoSpaceDN w:val="0"/>
        <w:adjustRightInd w:val="0"/>
        <w:spacing w:after="360"/>
        <w:ind w:left="720"/>
        <w:rPr>
          <w:color w:val="000000"/>
          <w:szCs w:val="24"/>
        </w:rPr>
      </w:pPr>
      <w:r>
        <w:rPr>
          <w:color w:val="000000"/>
          <w:szCs w:val="24"/>
        </w:rPr>
        <w:t>Grantees that intend to accept the offer to continue services in the subsequent grant period shall respond to a continued funding application request from the CDE in accordance with the instructions and timelines specified in the request. Failure to respond within the timelines specified in the continued funding application request shall constitute notification to the CDE of the grantee’s intent to discontinue services at the end of the current grant period unless the contractor has received a written extension of the original timeline from the CDE.</w:t>
      </w:r>
    </w:p>
    <w:p w:rsidR="00CB1E06" w:rsidRDefault="00CB1E06" w:rsidP="001914FD">
      <w:pPr>
        <w:pStyle w:val="Heading3"/>
        <w:numPr>
          <w:ilvl w:val="0"/>
          <w:numId w:val="35"/>
        </w:numPr>
        <w:spacing w:after="240"/>
      </w:pPr>
      <w:r>
        <w:t>Internal Control Standards</w:t>
      </w:r>
    </w:p>
    <w:p w:rsidR="00CB1E06" w:rsidRPr="00B9353D" w:rsidRDefault="00CB1E06" w:rsidP="00CB1E06">
      <w:pPr>
        <w:autoSpaceDE w:val="0"/>
        <w:autoSpaceDN w:val="0"/>
        <w:adjustRightInd w:val="0"/>
        <w:spacing w:after="240"/>
        <w:ind w:left="720"/>
        <w:rPr>
          <w:color w:val="000000"/>
          <w:szCs w:val="24"/>
        </w:rPr>
      </w:pPr>
      <w:r>
        <w:t xml:space="preserve">Organizations must provide safeguards for all grant property, whether cash or other </w:t>
      </w:r>
      <w:r w:rsidRPr="00B9353D">
        <w:rPr>
          <w:color w:val="000000"/>
          <w:szCs w:val="24"/>
        </w:rPr>
        <w:t xml:space="preserve">assets, and assure that it is used solely for authorized purposes. Control will be enhanced if the duties of the members of the organization are divided so that no one person handles all aspects of a transaction from beginning to end. Although a complete separation of functions may not be feasible for </w:t>
      </w:r>
      <w:r>
        <w:rPr>
          <w:color w:val="000000"/>
          <w:szCs w:val="24"/>
        </w:rPr>
        <w:t>a</w:t>
      </w:r>
      <w:r w:rsidRPr="00B9353D">
        <w:rPr>
          <w:color w:val="000000"/>
          <w:szCs w:val="24"/>
        </w:rPr>
        <w:t xml:space="preserve"> small organization, some measure of effective control may be obtained by planning the assignment of duties carefully. Many of the most effective techniques for providing internal control are very simple. Some examples are:</w:t>
      </w:r>
    </w:p>
    <w:p w:rsidR="00CB1E06" w:rsidRPr="00CB1E06" w:rsidRDefault="00CB1E06" w:rsidP="001914FD">
      <w:pPr>
        <w:numPr>
          <w:ilvl w:val="0"/>
          <w:numId w:val="37"/>
        </w:numPr>
        <w:autoSpaceDE w:val="0"/>
        <w:autoSpaceDN w:val="0"/>
        <w:adjustRightInd w:val="0"/>
        <w:spacing w:after="240"/>
        <w:ind w:left="1440"/>
        <w:rPr>
          <w:color w:val="000000"/>
          <w:szCs w:val="24"/>
        </w:rPr>
      </w:pPr>
      <w:r w:rsidRPr="00B9353D">
        <w:rPr>
          <w:color w:val="000000"/>
          <w:szCs w:val="24"/>
        </w:rPr>
        <w:t>Cash receipts should be recorded immediately and deposited daily.</w:t>
      </w:r>
    </w:p>
    <w:p w:rsidR="00CB1E06" w:rsidRPr="00CB1E06" w:rsidRDefault="00CB1E06" w:rsidP="001914FD">
      <w:pPr>
        <w:numPr>
          <w:ilvl w:val="0"/>
          <w:numId w:val="37"/>
        </w:numPr>
        <w:autoSpaceDE w:val="0"/>
        <w:autoSpaceDN w:val="0"/>
        <w:adjustRightInd w:val="0"/>
        <w:spacing w:after="240"/>
        <w:ind w:left="1440"/>
        <w:rPr>
          <w:color w:val="000000"/>
          <w:szCs w:val="24"/>
        </w:rPr>
      </w:pPr>
      <w:r w:rsidRPr="00B9353D">
        <w:rPr>
          <w:color w:val="000000"/>
          <w:szCs w:val="24"/>
        </w:rPr>
        <w:t>Bank accounts should be reconciled monthly by someone other than the person who signs the checks.</w:t>
      </w:r>
    </w:p>
    <w:p w:rsidR="00CB1E06" w:rsidRPr="00CB1E06" w:rsidRDefault="00CB1E06" w:rsidP="001914FD">
      <w:pPr>
        <w:numPr>
          <w:ilvl w:val="0"/>
          <w:numId w:val="37"/>
        </w:numPr>
        <w:autoSpaceDE w:val="0"/>
        <w:autoSpaceDN w:val="0"/>
        <w:adjustRightInd w:val="0"/>
        <w:spacing w:after="240"/>
        <w:ind w:left="1440"/>
        <w:rPr>
          <w:color w:val="000000"/>
          <w:szCs w:val="24"/>
        </w:rPr>
      </w:pPr>
      <w:r w:rsidRPr="00B9353D">
        <w:rPr>
          <w:color w:val="000000"/>
          <w:szCs w:val="24"/>
        </w:rPr>
        <w:t>If petty cash is used it should be entrusted to a single custodian and used for all payments other than those made by check. Petty cash must be reconciled monthly.</w:t>
      </w:r>
    </w:p>
    <w:p w:rsidR="00CB1E06" w:rsidRPr="00CB1E06" w:rsidRDefault="00CB1E06" w:rsidP="001914FD">
      <w:pPr>
        <w:numPr>
          <w:ilvl w:val="0"/>
          <w:numId w:val="37"/>
        </w:numPr>
        <w:autoSpaceDE w:val="0"/>
        <w:autoSpaceDN w:val="0"/>
        <w:adjustRightInd w:val="0"/>
        <w:spacing w:after="240"/>
        <w:ind w:left="1440"/>
        <w:rPr>
          <w:color w:val="000000"/>
          <w:szCs w:val="24"/>
        </w:rPr>
      </w:pPr>
      <w:r w:rsidRPr="00B9353D">
        <w:rPr>
          <w:color w:val="000000"/>
          <w:szCs w:val="24"/>
        </w:rPr>
        <w:t xml:space="preserve">Checks to vendors should be issued only </w:t>
      </w:r>
      <w:r>
        <w:rPr>
          <w:color w:val="000000"/>
          <w:szCs w:val="24"/>
        </w:rPr>
        <w:t>in payment of approved invoices</w:t>
      </w:r>
      <w:r w:rsidRPr="00B9353D">
        <w:rPr>
          <w:color w:val="000000"/>
          <w:szCs w:val="24"/>
        </w:rPr>
        <w:t xml:space="preserve"> and the supporting documents</w:t>
      </w:r>
      <w:r>
        <w:rPr>
          <w:color w:val="000000"/>
          <w:szCs w:val="24"/>
        </w:rPr>
        <w:t xml:space="preserve"> for those approved invoices</w:t>
      </w:r>
      <w:r w:rsidRPr="00B9353D">
        <w:rPr>
          <w:color w:val="000000"/>
          <w:szCs w:val="24"/>
        </w:rPr>
        <w:t>.</w:t>
      </w:r>
    </w:p>
    <w:p w:rsidR="00CB1E06" w:rsidRPr="00CB1E06" w:rsidRDefault="00CB1E06" w:rsidP="001914FD">
      <w:pPr>
        <w:numPr>
          <w:ilvl w:val="0"/>
          <w:numId w:val="37"/>
        </w:numPr>
        <w:autoSpaceDE w:val="0"/>
        <w:autoSpaceDN w:val="0"/>
        <w:adjustRightInd w:val="0"/>
        <w:spacing w:after="240"/>
        <w:ind w:left="1440"/>
        <w:rPr>
          <w:color w:val="000000"/>
          <w:szCs w:val="24"/>
        </w:rPr>
      </w:pPr>
      <w:r w:rsidRPr="00B9353D">
        <w:rPr>
          <w:color w:val="000000"/>
          <w:szCs w:val="24"/>
        </w:rPr>
        <w:t>The person who is responsible for the physical custody of an asset should not also have responsibility for keeping the records related to that asset.</w:t>
      </w:r>
    </w:p>
    <w:p w:rsidR="00CB1E06" w:rsidRPr="00CB1E06" w:rsidRDefault="00CB1E06" w:rsidP="001914FD">
      <w:pPr>
        <w:numPr>
          <w:ilvl w:val="0"/>
          <w:numId w:val="37"/>
        </w:numPr>
        <w:autoSpaceDE w:val="0"/>
        <w:autoSpaceDN w:val="0"/>
        <w:adjustRightInd w:val="0"/>
        <w:spacing w:after="240"/>
        <w:ind w:left="1440" w:right="-187"/>
        <w:rPr>
          <w:color w:val="000000"/>
          <w:szCs w:val="24"/>
        </w:rPr>
      </w:pPr>
      <w:r w:rsidRPr="00B9353D">
        <w:rPr>
          <w:color w:val="000000"/>
          <w:szCs w:val="24"/>
        </w:rPr>
        <w:t>The person who has authority for placing employees on the payroll and establishing wage rates should not be the same person who signs the checks.</w:t>
      </w:r>
    </w:p>
    <w:p w:rsidR="00CB1E06" w:rsidRDefault="00CB1E06" w:rsidP="00CB1E06">
      <w:pPr>
        <w:autoSpaceDE w:val="0"/>
        <w:autoSpaceDN w:val="0"/>
        <w:adjustRightInd w:val="0"/>
        <w:spacing w:after="240"/>
        <w:ind w:left="720" w:right="-187"/>
        <w:rPr>
          <w:color w:val="000000"/>
          <w:szCs w:val="24"/>
        </w:rPr>
      </w:pPr>
      <w:r>
        <w:rPr>
          <w:color w:val="000000"/>
          <w:szCs w:val="24"/>
        </w:rPr>
        <w:t>Except for external payroll services, grantees shall not use any pre-signed, pre-authorized, or pre-stamped checks without the prior written approval of the CDE.</w:t>
      </w:r>
    </w:p>
    <w:p w:rsidR="00CB1E06" w:rsidRDefault="00CB1E06" w:rsidP="00CB1E06">
      <w:pPr>
        <w:autoSpaceDE w:val="0"/>
        <w:autoSpaceDN w:val="0"/>
        <w:adjustRightInd w:val="0"/>
        <w:spacing w:after="240"/>
        <w:ind w:left="360" w:right="-187" w:firstLine="360"/>
        <w:rPr>
          <w:color w:val="000000"/>
          <w:szCs w:val="24"/>
        </w:rPr>
      </w:pPr>
      <w:r>
        <w:rPr>
          <w:color w:val="000000"/>
          <w:szCs w:val="24"/>
        </w:rPr>
        <w:t>Grantees shall require two authorized signatures on all checks unless:</w:t>
      </w:r>
    </w:p>
    <w:p w:rsidR="00CB1E06" w:rsidRPr="00CB1E06" w:rsidRDefault="00CB1E06" w:rsidP="001914FD">
      <w:pPr>
        <w:numPr>
          <w:ilvl w:val="0"/>
          <w:numId w:val="38"/>
        </w:numPr>
        <w:autoSpaceDE w:val="0"/>
        <w:autoSpaceDN w:val="0"/>
        <w:adjustRightInd w:val="0"/>
        <w:spacing w:after="240"/>
        <w:ind w:left="1440" w:right="-187"/>
        <w:rPr>
          <w:color w:val="000000"/>
          <w:szCs w:val="24"/>
        </w:rPr>
      </w:pPr>
      <w:r>
        <w:rPr>
          <w:color w:val="000000"/>
          <w:szCs w:val="24"/>
        </w:rPr>
        <w:lastRenderedPageBreak/>
        <w:t>The grantee has a policy approved by its governing board requiring dual signatures only on checks above a specified dollar amount.</w:t>
      </w:r>
    </w:p>
    <w:p w:rsidR="00CB1E06" w:rsidRPr="00CB1E06" w:rsidRDefault="00CB1E06" w:rsidP="001914FD">
      <w:pPr>
        <w:numPr>
          <w:ilvl w:val="0"/>
          <w:numId w:val="38"/>
        </w:numPr>
        <w:autoSpaceDE w:val="0"/>
        <w:autoSpaceDN w:val="0"/>
        <w:adjustRightInd w:val="0"/>
        <w:spacing w:after="240"/>
        <w:ind w:left="1440" w:right="-187"/>
        <w:rPr>
          <w:color w:val="000000"/>
          <w:szCs w:val="24"/>
        </w:rPr>
      </w:pPr>
      <w:r>
        <w:rPr>
          <w:color w:val="000000"/>
          <w:szCs w:val="24"/>
        </w:rPr>
        <w:t>The annual audit verifies that appropriate internal controls are maintained.</w:t>
      </w:r>
    </w:p>
    <w:p w:rsidR="00CB1E06" w:rsidRDefault="00CB1E06" w:rsidP="00CB1E06">
      <w:pPr>
        <w:autoSpaceDE w:val="0"/>
        <w:autoSpaceDN w:val="0"/>
        <w:adjustRightInd w:val="0"/>
        <w:spacing w:after="240"/>
        <w:ind w:left="720" w:right="-187"/>
        <w:rPr>
          <w:color w:val="000000"/>
          <w:szCs w:val="24"/>
        </w:rPr>
      </w:pPr>
      <w:r>
        <w:rPr>
          <w:color w:val="000000"/>
          <w:szCs w:val="24"/>
        </w:rPr>
        <w:t>Grantees shall not loan funds to individuals, corporations, organizations, public agencies, or private agencies. Grantees shall not advance unearned salary to employees. Grantee shall not make advance payments to subcontractors and shall compensate subcontractors after services are rendered or goods are received and an invoice has been submitted.</w:t>
      </w:r>
    </w:p>
    <w:p w:rsidR="00CB1E06" w:rsidRDefault="00CB1E06" w:rsidP="00CB1E06">
      <w:pPr>
        <w:autoSpaceDE w:val="0"/>
        <w:autoSpaceDN w:val="0"/>
        <w:adjustRightInd w:val="0"/>
        <w:spacing w:after="240"/>
        <w:ind w:left="720" w:right="-187"/>
        <w:rPr>
          <w:color w:val="000000"/>
          <w:szCs w:val="24"/>
        </w:rPr>
      </w:pPr>
      <w:r>
        <w:rPr>
          <w:color w:val="000000"/>
          <w:szCs w:val="24"/>
        </w:rPr>
        <w:t>Inventory records must be maintained that include a description of the equipment, serial number or other identification number, the source of the equipment, the acquisition date, the cost of the equipment, the location, use and condition of the equipment, and any ultimate disposition date, including date of disposal and sale price if applicable. A physical inventory of equipment must be taken every year. A control system must be developed to ensure adequate safeguards to prevent loss, damage, or theft (any loss, damage, or theft must be investigated); and adequate maintenance procedures must be developed to keep the equipment in good condition.</w:t>
      </w:r>
    </w:p>
    <w:p w:rsidR="00CB1E06" w:rsidRDefault="00CB1E06" w:rsidP="00CB1E06">
      <w:pPr>
        <w:autoSpaceDE w:val="0"/>
        <w:autoSpaceDN w:val="0"/>
        <w:adjustRightInd w:val="0"/>
        <w:spacing w:after="240"/>
        <w:ind w:left="720" w:right="-187"/>
        <w:rPr>
          <w:color w:val="000000"/>
          <w:szCs w:val="24"/>
        </w:rPr>
      </w:pPr>
      <w:r>
        <w:rPr>
          <w:color w:val="000000"/>
          <w:szCs w:val="24"/>
        </w:rPr>
        <w:t xml:space="preserve">Depreciation is a cost in the current fiscal year based on acquisition costs, less any estimated residual value, computed on a straight-line method from the original date of acquisition (based on the normal, estimated useful life expectancy of the asset). When depreciation is applied to assets acquired in prior years, the annual charges shall not exceed the amounts that would have resulted had depreciation been claimed from the date of </w:t>
      </w:r>
      <w:proofErr w:type="gramStart"/>
      <w:r>
        <w:rPr>
          <w:color w:val="000000"/>
          <w:szCs w:val="24"/>
        </w:rPr>
        <w:t>acquisition.</w:t>
      </w:r>
      <w:proofErr w:type="gramEnd"/>
    </w:p>
    <w:p w:rsidR="00CB1E06" w:rsidRDefault="00CB1E06" w:rsidP="00CB1E06">
      <w:pPr>
        <w:autoSpaceDE w:val="0"/>
        <w:autoSpaceDN w:val="0"/>
        <w:adjustRightInd w:val="0"/>
        <w:spacing w:after="240"/>
        <w:ind w:left="720" w:right="-187"/>
        <w:rPr>
          <w:color w:val="000000"/>
          <w:szCs w:val="24"/>
        </w:rPr>
      </w:pPr>
      <w:r>
        <w:rPr>
          <w:color w:val="000000"/>
          <w:szCs w:val="24"/>
        </w:rPr>
        <w:t>When equipment is purchased with state funds, the equipment shall vest with the grantee only for such period of time as the grantee has a grant with the CDE. The CDE may provide written authorization for the grantee to retain the equipment for the grantee’s own use if a fair compensation is paid to the state for the state’s share of the cost of the equipment. Fair compensation shall be determined by the state using the state’s share of original acquisition cost, less depreciation, computed on a straight-line method over the estimated useful life expectancy of the equipment.</w:t>
      </w:r>
    </w:p>
    <w:p w:rsidR="00CB1E06" w:rsidRDefault="00CB1E06" w:rsidP="00CB1E06">
      <w:pPr>
        <w:autoSpaceDE w:val="0"/>
        <w:autoSpaceDN w:val="0"/>
        <w:adjustRightInd w:val="0"/>
        <w:spacing w:after="240"/>
        <w:ind w:left="720" w:right="-187"/>
        <w:rPr>
          <w:color w:val="000000"/>
          <w:szCs w:val="24"/>
        </w:rPr>
      </w:pPr>
      <w:r>
        <w:rPr>
          <w:color w:val="000000"/>
          <w:szCs w:val="24"/>
        </w:rPr>
        <w:t>When equipment is purchased in whole or in part with state funds, the grantee shall use the equipment exclusively in the program(s) from which funds were used to purchase the equipment. If the grantee wishes to share the use of the equipment between/among two or more programs, the cost of such equipment shall be prorated between/among the programs.</w:t>
      </w:r>
    </w:p>
    <w:p w:rsidR="00CB1E06" w:rsidRDefault="00CB1E06" w:rsidP="00CB1E06">
      <w:pPr>
        <w:autoSpaceDE w:val="0"/>
        <w:autoSpaceDN w:val="0"/>
        <w:adjustRightInd w:val="0"/>
        <w:spacing w:after="360"/>
        <w:ind w:left="720" w:right="-187"/>
        <w:rPr>
          <w:color w:val="000000"/>
          <w:szCs w:val="24"/>
        </w:rPr>
      </w:pPr>
      <w:r>
        <w:rPr>
          <w:color w:val="000000"/>
          <w:szCs w:val="24"/>
        </w:rPr>
        <w:t xml:space="preserve">The grantee may dispose of obsolete equipment and remove the asset at its recorded value. If the sale of equipment originally purchased with state funds occurs, the proceeds from the sale of the equipment must be returned to the </w:t>
      </w:r>
      <w:r>
        <w:rPr>
          <w:color w:val="000000"/>
          <w:szCs w:val="24"/>
        </w:rPr>
        <w:lastRenderedPageBreak/>
        <w:t>program. If the grantee no longer has a grant with the CDE, the grantee shall dispose of the equipment in accordance with written directions from the CDE.</w:t>
      </w:r>
    </w:p>
    <w:p w:rsidR="00CB1E06" w:rsidRDefault="00CB1E06" w:rsidP="001914FD">
      <w:pPr>
        <w:pStyle w:val="Heading3"/>
        <w:numPr>
          <w:ilvl w:val="0"/>
          <w:numId w:val="35"/>
        </w:numPr>
        <w:spacing w:after="240"/>
      </w:pPr>
      <w:r>
        <w:t>Audit Standards</w:t>
      </w:r>
    </w:p>
    <w:p w:rsidR="00CB1E06" w:rsidRPr="00B9353D" w:rsidRDefault="00CB1E06" w:rsidP="00CB1E06">
      <w:pPr>
        <w:keepNext/>
        <w:keepLines/>
        <w:autoSpaceDE w:val="0"/>
        <w:autoSpaceDN w:val="0"/>
        <w:adjustRightInd w:val="0"/>
        <w:spacing w:after="240"/>
        <w:ind w:left="720"/>
        <w:rPr>
          <w:color w:val="000000"/>
          <w:szCs w:val="24"/>
        </w:rPr>
      </w:pPr>
      <w:r>
        <w:t xml:space="preserve">Grantees are expected to maintain a state of audit readiness. This means that records pertinent to the </w:t>
      </w:r>
      <w:r w:rsidRPr="00B9353D">
        <w:rPr>
          <w:color w:val="000000"/>
          <w:szCs w:val="24"/>
        </w:rPr>
        <w:t>financial and programmatic aspects of their grants must be readily accessible for audit or program and fiscal review by CDE staff. Failure to provide the auditor or CDE staff with reliable documentation could lead to questioned costs and possibly result in cost disallowances requiring repayment of funds to the CDE. The OMB</w:t>
      </w:r>
      <w:r>
        <w:rPr>
          <w:color w:val="000000"/>
          <w:szCs w:val="24"/>
        </w:rPr>
        <w:t xml:space="preserve"> </w:t>
      </w:r>
      <w:r w:rsidRPr="00B9353D">
        <w:rPr>
          <w:color w:val="000000"/>
          <w:szCs w:val="24"/>
        </w:rPr>
        <w:t>Circular A-133, the definitive federal regulation concerning audits of nonprofit organizations, bases the requirements for audit on specific dollar amounts. The requirements are discussed below. The entire Circular should be reviewed to assure proper implementation.</w:t>
      </w:r>
    </w:p>
    <w:p w:rsidR="00CB1E06" w:rsidRPr="00CB1E06" w:rsidRDefault="00CB1E06" w:rsidP="001914FD">
      <w:pPr>
        <w:numPr>
          <w:ilvl w:val="0"/>
          <w:numId w:val="39"/>
        </w:numPr>
        <w:autoSpaceDE w:val="0"/>
        <w:autoSpaceDN w:val="0"/>
        <w:adjustRightInd w:val="0"/>
        <w:spacing w:after="240"/>
        <w:rPr>
          <w:color w:val="000000"/>
          <w:szCs w:val="24"/>
        </w:rPr>
      </w:pPr>
      <w:r w:rsidRPr="00B9353D">
        <w:rPr>
          <w:color w:val="000000"/>
          <w:szCs w:val="24"/>
        </w:rPr>
        <w:t xml:space="preserve">Nonprofit organizations that expend $500,000 or more in a year in federal awards must have an audit conducted for that year in accordance with the provisions of </w:t>
      </w:r>
      <w:r>
        <w:rPr>
          <w:color w:val="000000"/>
          <w:szCs w:val="24"/>
        </w:rPr>
        <w:t xml:space="preserve">OMB </w:t>
      </w:r>
      <w:r w:rsidRPr="00B9353D">
        <w:rPr>
          <w:color w:val="000000"/>
          <w:szCs w:val="24"/>
        </w:rPr>
        <w:t xml:space="preserve">Circular A-133. </w:t>
      </w:r>
      <w:r>
        <w:rPr>
          <w:color w:val="000000"/>
          <w:szCs w:val="24"/>
        </w:rPr>
        <w:t xml:space="preserve">OMB </w:t>
      </w:r>
      <w:r w:rsidRPr="00B9353D">
        <w:rPr>
          <w:color w:val="000000"/>
          <w:szCs w:val="24"/>
        </w:rPr>
        <w:t xml:space="preserve">Circular A-133 audits are performed by independent public accounting firms engaged by the grantee organizations. Costs for </w:t>
      </w:r>
      <w:r>
        <w:rPr>
          <w:color w:val="000000"/>
          <w:szCs w:val="24"/>
        </w:rPr>
        <w:t xml:space="preserve">OMB </w:t>
      </w:r>
      <w:r w:rsidRPr="00B9353D">
        <w:rPr>
          <w:color w:val="000000"/>
          <w:szCs w:val="24"/>
        </w:rPr>
        <w:t>Circular A-133 audits are borne by the grantee organizations but are allowable as charges to grant projects; they may be considered either direct costs or allocated indirect costs as determined</w:t>
      </w:r>
      <w:r>
        <w:rPr>
          <w:color w:val="000000"/>
          <w:szCs w:val="24"/>
        </w:rPr>
        <w:t xml:space="preserve"> by the federal cost principles.</w:t>
      </w:r>
    </w:p>
    <w:p w:rsidR="00CB1E06" w:rsidRDefault="00CB1E06" w:rsidP="001914FD">
      <w:pPr>
        <w:numPr>
          <w:ilvl w:val="0"/>
          <w:numId w:val="39"/>
        </w:numPr>
        <w:autoSpaceDE w:val="0"/>
        <w:autoSpaceDN w:val="0"/>
        <w:adjustRightInd w:val="0"/>
        <w:spacing w:after="360"/>
        <w:rPr>
          <w:color w:val="000000"/>
          <w:szCs w:val="24"/>
        </w:rPr>
      </w:pPr>
      <w:r w:rsidRPr="00B9353D">
        <w:rPr>
          <w:color w:val="000000"/>
          <w:szCs w:val="24"/>
        </w:rPr>
        <w:t xml:space="preserve">Nonprofit organizations that expend less than $500,000 in a year in federal awards are not required to have </w:t>
      </w:r>
      <w:proofErr w:type="gramStart"/>
      <w:r w:rsidRPr="00B9353D">
        <w:rPr>
          <w:color w:val="000000"/>
          <w:szCs w:val="24"/>
        </w:rPr>
        <w:t>a</w:t>
      </w:r>
      <w:proofErr w:type="gramEnd"/>
      <w:r w:rsidRPr="00B9353D">
        <w:rPr>
          <w:color w:val="000000"/>
          <w:szCs w:val="24"/>
        </w:rPr>
        <w:t xml:space="preserve"> </w:t>
      </w:r>
      <w:r>
        <w:rPr>
          <w:color w:val="000000"/>
          <w:szCs w:val="24"/>
        </w:rPr>
        <w:t xml:space="preserve">OMB </w:t>
      </w:r>
      <w:r w:rsidRPr="00B9353D">
        <w:rPr>
          <w:color w:val="000000"/>
          <w:szCs w:val="24"/>
        </w:rPr>
        <w:t>Circular A-133 audit for that year. All AIEC</w:t>
      </w:r>
      <w:r>
        <w:rPr>
          <w:color w:val="000000"/>
          <w:szCs w:val="24"/>
        </w:rPr>
        <w:t>-</w:t>
      </w:r>
      <w:r w:rsidRPr="00B9353D">
        <w:rPr>
          <w:color w:val="000000"/>
          <w:szCs w:val="24"/>
        </w:rPr>
        <w:t xml:space="preserve">funded organizations need to be aware that they </w:t>
      </w:r>
      <w:r>
        <w:rPr>
          <w:color w:val="000000"/>
          <w:szCs w:val="24"/>
        </w:rPr>
        <w:t>will receive</w:t>
      </w:r>
      <w:r w:rsidRPr="00B9353D">
        <w:rPr>
          <w:color w:val="000000"/>
          <w:szCs w:val="24"/>
        </w:rPr>
        <w:t xml:space="preserve"> a fiscal review</w:t>
      </w:r>
      <w:r>
        <w:rPr>
          <w:color w:val="000000"/>
          <w:szCs w:val="24"/>
        </w:rPr>
        <w:t xml:space="preserve"> by the CDE</w:t>
      </w:r>
      <w:r w:rsidRPr="00B9353D">
        <w:rPr>
          <w:color w:val="000000"/>
          <w:szCs w:val="24"/>
        </w:rPr>
        <w:t>.</w:t>
      </w:r>
    </w:p>
    <w:p w:rsidR="00CB1E06" w:rsidRDefault="00CB1E06" w:rsidP="001914FD">
      <w:pPr>
        <w:pStyle w:val="Heading3"/>
        <w:numPr>
          <w:ilvl w:val="0"/>
          <w:numId w:val="35"/>
        </w:numPr>
        <w:spacing w:after="240"/>
      </w:pPr>
      <w:r>
        <w:t>References</w:t>
      </w:r>
    </w:p>
    <w:p w:rsidR="00CB1E06" w:rsidRDefault="00CB1E06" w:rsidP="00B54669">
      <w:pPr>
        <w:spacing w:after="360"/>
        <w:ind w:left="720"/>
        <w:rPr>
          <w:szCs w:val="24"/>
        </w:rPr>
      </w:pPr>
      <w:r>
        <w:t xml:space="preserve">The new mandate is embedded in </w:t>
      </w:r>
      <w:r w:rsidRPr="00434472">
        <w:rPr>
          <w:szCs w:val="24"/>
        </w:rPr>
        <w:t>grant making rules that the federal OMB put into effect at the end of 2014. In addition, the new OMB Uniform Guidance streamlines and clarifies cost allocation and other rules related to government grants and contracts, removing some areas of confusion and inconsistency while treating more of a nonprofit’s expenses as</w:t>
      </w:r>
      <w:r>
        <w:rPr>
          <w:szCs w:val="24"/>
        </w:rPr>
        <w:t xml:space="preserve"> direct (reimbursable) costs. The OMB Uniform Guidance can be found on the </w:t>
      </w:r>
      <w:r w:rsidRPr="00E92039">
        <w:rPr>
          <w:szCs w:val="24"/>
        </w:rPr>
        <w:t>National Council of Nonprofits</w:t>
      </w:r>
      <w:r>
        <w:rPr>
          <w:szCs w:val="24"/>
        </w:rPr>
        <w:t xml:space="preserve"> </w:t>
      </w:r>
      <w:r w:rsidR="009300B1">
        <w:rPr>
          <w:szCs w:val="24"/>
        </w:rPr>
        <w:t>w</w:t>
      </w:r>
      <w:r>
        <w:rPr>
          <w:szCs w:val="24"/>
        </w:rPr>
        <w:t xml:space="preserve">eb page at </w:t>
      </w:r>
      <w:hyperlink r:id="rId24" w:history="1">
        <w:r w:rsidR="00E92039" w:rsidRPr="005B235F">
          <w:rPr>
            <w:rStyle w:val="Hyperlink"/>
            <w:szCs w:val="24"/>
          </w:rPr>
          <w:t>https://www.councilofnonprofits.org/omb-uniform-guidance</w:t>
        </w:r>
      </w:hyperlink>
      <w:r w:rsidR="00E92039">
        <w:rPr>
          <w:szCs w:val="24"/>
        </w:rPr>
        <w:t>.</w:t>
      </w:r>
    </w:p>
    <w:p w:rsidR="00CB1E06" w:rsidRDefault="00CB1E06" w:rsidP="001914FD">
      <w:pPr>
        <w:pStyle w:val="Heading3"/>
        <w:numPr>
          <w:ilvl w:val="0"/>
          <w:numId w:val="35"/>
        </w:numPr>
        <w:spacing w:after="240"/>
      </w:pPr>
      <w:r>
        <w:t>Application Budget Revisions</w:t>
      </w:r>
    </w:p>
    <w:p w:rsidR="00CB1E06" w:rsidRPr="007A7018" w:rsidRDefault="00CB1E06" w:rsidP="00CB1E06">
      <w:pPr>
        <w:tabs>
          <w:tab w:val="left" w:pos="360"/>
        </w:tabs>
        <w:spacing w:after="240"/>
        <w:ind w:left="720"/>
        <w:rPr>
          <w:szCs w:val="24"/>
        </w:rPr>
      </w:pPr>
      <w:r>
        <w:t xml:space="preserve">Project budget revisions </w:t>
      </w:r>
      <w:r w:rsidRPr="007A7018">
        <w:rPr>
          <w:color w:val="000000"/>
          <w:szCs w:val="24"/>
        </w:rPr>
        <w:t xml:space="preserve">of more than 10 percent of the line item must be approved in writing by the CDE prior to implementation. </w:t>
      </w:r>
      <w:r w:rsidRPr="007A7018">
        <w:rPr>
          <w:szCs w:val="24"/>
        </w:rPr>
        <w:t>Expenditures for any grant activity, or type of equipment not listed in the application budget or approved revision must be approved in advance by the CDE.</w:t>
      </w:r>
    </w:p>
    <w:p w:rsidR="00CB1E06" w:rsidRDefault="00CB1E06" w:rsidP="002F5B2A">
      <w:pPr>
        <w:spacing w:after="240"/>
        <w:ind w:left="720"/>
        <w:rPr>
          <w:szCs w:val="24"/>
        </w:rPr>
      </w:pPr>
      <w:r w:rsidRPr="007A7018">
        <w:rPr>
          <w:szCs w:val="24"/>
        </w:rPr>
        <w:lastRenderedPageBreak/>
        <w:t>Revisions to an approved application may be submitted any time during the annual grant period as long as the revision is approved prior to the implementation of the revision.</w:t>
      </w:r>
    </w:p>
    <w:p w:rsidR="00CB1E06" w:rsidRDefault="00CB1E06" w:rsidP="002F5B2A">
      <w:pPr>
        <w:spacing w:after="360" w:line="240" w:lineRule="atLeast"/>
        <w:ind w:left="720"/>
        <w:rPr>
          <w:rFonts w:eastAsia="Times"/>
          <w:kern w:val="24"/>
          <w:szCs w:val="24"/>
        </w:rPr>
      </w:pPr>
      <w:r w:rsidRPr="004C1A66">
        <w:rPr>
          <w:rFonts w:eastAsia="Times"/>
          <w:kern w:val="24"/>
          <w:szCs w:val="24"/>
        </w:rPr>
        <w:t xml:space="preserve">Requests for budget revisions in excess of 10 percent of a line item will not automatically be approved. As previously stated, budgets constitute an intricate and important part of the grantee’s program description. Any request for budget revisions of more than 10 percent of a line item will be evaluated with that understanding. Thus, grantees should not expect approval for budget revisions which are not justified by actual and sound program revisions. Additionally, please note that 5 </w:t>
      </w:r>
      <w:r w:rsidRPr="004C1A66">
        <w:rPr>
          <w:rFonts w:eastAsia="Times"/>
          <w:i/>
          <w:kern w:val="24"/>
          <w:szCs w:val="24"/>
        </w:rPr>
        <w:t>CCR</w:t>
      </w:r>
      <w:r w:rsidRPr="004C1A66">
        <w:rPr>
          <w:rFonts w:eastAsia="Times"/>
          <w:kern w:val="24"/>
          <w:szCs w:val="24"/>
        </w:rPr>
        <w:t xml:space="preserve">, Section 11996.11(a) requires written approval for </w:t>
      </w:r>
      <w:r w:rsidRPr="004C1A66">
        <w:rPr>
          <w:color w:val="000000"/>
          <w:kern w:val="24"/>
          <w:szCs w:val="24"/>
        </w:rPr>
        <w:t>revisions of more than 10 percent of the line item</w:t>
      </w:r>
      <w:r w:rsidRPr="004C1A66">
        <w:rPr>
          <w:rFonts w:eastAsia="Times"/>
          <w:kern w:val="24"/>
          <w:szCs w:val="24"/>
        </w:rPr>
        <w:t xml:space="preserve"> </w:t>
      </w:r>
      <w:r w:rsidRPr="004C1A66">
        <w:rPr>
          <w:rFonts w:eastAsia="Times"/>
          <w:b/>
          <w:kern w:val="24"/>
          <w:szCs w:val="24"/>
        </w:rPr>
        <w:t>prior</w:t>
      </w:r>
      <w:r w:rsidRPr="004C1A66">
        <w:rPr>
          <w:rFonts w:eastAsia="Times"/>
          <w:kern w:val="24"/>
          <w:szCs w:val="24"/>
        </w:rPr>
        <w:t xml:space="preserve"> to any expenditures based on such revision. The CDE will not approve requests for budget revisions </w:t>
      </w:r>
      <w:r w:rsidRPr="004C1A66">
        <w:rPr>
          <w:rFonts w:eastAsia="Times"/>
          <w:b/>
          <w:kern w:val="24"/>
          <w:szCs w:val="24"/>
        </w:rPr>
        <w:t>after</w:t>
      </w:r>
      <w:r w:rsidRPr="004C1A66">
        <w:rPr>
          <w:rFonts w:eastAsia="Times"/>
          <w:kern w:val="24"/>
          <w:szCs w:val="24"/>
        </w:rPr>
        <w:t xml:space="preserve"> any expenditure made in reliance on a requested revision that was not approved in advance by the CDE. Budget revisions of more than $3,000 will not be considered after June 30.</w:t>
      </w:r>
    </w:p>
    <w:p w:rsidR="002F5B2A" w:rsidRDefault="002F5B2A" w:rsidP="001914FD">
      <w:pPr>
        <w:pStyle w:val="Heading3"/>
        <w:numPr>
          <w:ilvl w:val="0"/>
          <w:numId w:val="35"/>
        </w:numPr>
        <w:spacing w:after="240"/>
        <w:rPr>
          <w:rFonts w:eastAsia="Times"/>
        </w:rPr>
      </w:pPr>
      <w:r>
        <w:rPr>
          <w:rFonts w:eastAsia="Times"/>
        </w:rPr>
        <w:t>Reporting Requirements</w:t>
      </w:r>
    </w:p>
    <w:p w:rsidR="002F5B2A" w:rsidRDefault="002F5B2A" w:rsidP="002F5B2A">
      <w:pPr>
        <w:spacing w:after="360"/>
        <w:ind w:left="720"/>
        <w:rPr>
          <w:szCs w:val="24"/>
        </w:rPr>
      </w:pPr>
      <w:r>
        <w:rPr>
          <w:rFonts w:eastAsia="Times"/>
        </w:rPr>
        <w:t>Each grant recipient shall provide programmatic and fiscal reports (</w:t>
      </w:r>
      <w:r w:rsidRPr="007A7018">
        <w:rPr>
          <w:szCs w:val="24"/>
        </w:rPr>
        <w:t xml:space="preserve">5 </w:t>
      </w:r>
      <w:r w:rsidRPr="007A7018">
        <w:rPr>
          <w:i/>
          <w:szCs w:val="24"/>
        </w:rPr>
        <w:t>CCR</w:t>
      </w:r>
      <w:r w:rsidRPr="007A7018">
        <w:rPr>
          <w:szCs w:val="24"/>
        </w:rPr>
        <w:t>, Section 11996.7). Forms shall be provided by the CDE.</w:t>
      </w:r>
    </w:p>
    <w:p w:rsidR="002F5B2A" w:rsidRDefault="002F5B2A" w:rsidP="001914FD">
      <w:pPr>
        <w:pStyle w:val="Heading3"/>
        <w:numPr>
          <w:ilvl w:val="0"/>
          <w:numId w:val="35"/>
        </w:numPr>
        <w:spacing w:after="240"/>
        <w:rPr>
          <w:rFonts w:eastAsia="Times"/>
        </w:rPr>
      </w:pPr>
      <w:r>
        <w:rPr>
          <w:rFonts w:eastAsia="Times"/>
        </w:rPr>
        <w:t>Programmatic Reporting</w:t>
      </w:r>
    </w:p>
    <w:p w:rsidR="002F5B2A" w:rsidRDefault="002F5B2A" w:rsidP="002F5B2A">
      <w:pPr>
        <w:spacing w:after="240"/>
        <w:ind w:left="720"/>
        <w:rPr>
          <w:szCs w:val="24"/>
        </w:rPr>
      </w:pPr>
      <w:r>
        <w:rPr>
          <w:rFonts w:eastAsia="Times"/>
        </w:rPr>
        <w:t xml:space="preserve">Each funded agency will provide </w:t>
      </w:r>
      <w:r w:rsidRPr="007A7018">
        <w:rPr>
          <w:szCs w:val="24"/>
        </w:rPr>
        <w:t>a six-month programmatic report a</w:t>
      </w:r>
      <w:r>
        <w:rPr>
          <w:szCs w:val="24"/>
        </w:rPr>
        <w:t>nd a final programmatic report.</w:t>
      </w:r>
    </w:p>
    <w:p w:rsidR="002F5B2A" w:rsidRPr="002F5B2A" w:rsidRDefault="002F5B2A" w:rsidP="002F5B2A">
      <w:pPr>
        <w:spacing w:after="240"/>
        <w:ind w:left="720"/>
        <w:rPr>
          <w:szCs w:val="24"/>
        </w:rPr>
      </w:pPr>
      <w:r w:rsidRPr="007A7018">
        <w:rPr>
          <w:szCs w:val="24"/>
        </w:rPr>
        <w:t>The six-month programmatic report shall be due May 30. This document will report on the implementation of the approved application activities. This report will also include a budget im</w:t>
      </w:r>
      <w:r>
        <w:rPr>
          <w:szCs w:val="24"/>
        </w:rPr>
        <w:t>plementation narrative section.</w:t>
      </w:r>
    </w:p>
    <w:p w:rsidR="002F5B2A" w:rsidRPr="002F5B2A" w:rsidRDefault="002F5B2A" w:rsidP="002F5B2A">
      <w:pPr>
        <w:spacing w:after="240"/>
        <w:ind w:left="720"/>
        <w:rPr>
          <w:szCs w:val="24"/>
        </w:rPr>
      </w:pPr>
      <w:r w:rsidRPr="007A7018">
        <w:rPr>
          <w:szCs w:val="24"/>
        </w:rPr>
        <w:t>The final programmatic report shall be submitted annually and shall be due November 30 (60 days from the end of the grant period), and shall con</w:t>
      </w:r>
      <w:r>
        <w:rPr>
          <w:szCs w:val="24"/>
        </w:rPr>
        <w:t>tain the following information:</w:t>
      </w:r>
    </w:p>
    <w:p w:rsidR="002F5B2A" w:rsidRPr="002F5B2A" w:rsidRDefault="002F5B2A" w:rsidP="001914FD">
      <w:pPr>
        <w:numPr>
          <w:ilvl w:val="0"/>
          <w:numId w:val="40"/>
        </w:numPr>
        <w:tabs>
          <w:tab w:val="clear" w:pos="1080"/>
          <w:tab w:val="left" w:pos="360"/>
          <w:tab w:val="num" w:pos="1440"/>
        </w:tabs>
        <w:spacing w:after="240"/>
        <w:ind w:left="1440"/>
        <w:rPr>
          <w:szCs w:val="24"/>
        </w:rPr>
      </w:pPr>
      <w:r w:rsidRPr="007A7018">
        <w:rPr>
          <w:szCs w:val="24"/>
        </w:rPr>
        <w:t>Number of students enrolled, by grade level or age</w:t>
      </w:r>
    </w:p>
    <w:p w:rsidR="002F5B2A" w:rsidRPr="002F5B2A" w:rsidRDefault="002F5B2A" w:rsidP="001914FD">
      <w:pPr>
        <w:numPr>
          <w:ilvl w:val="0"/>
          <w:numId w:val="40"/>
        </w:numPr>
        <w:tabs>
          <w:tab w:val="clear" w:pos="1080"/>
          <w:tab w:val="left" w:pos="360"/>
          <w:tab w:val="num" w:pos="1440"/>
        </w:tabs>
        <w:spacing w:after="240"/>
        <w:ind w:left="1440"/>
        <w:rPr>
          <w:szCs w:val="24"/>
        </w:rPr>
      </w:pPr>
      <w:r w:rsidRPr="007A7018">
        <w:rPr>
          <w:szCs w:val="24"/>
        </w:rPr>
        <w:t>Number of students served, by grade level or age, and by service type and frequency</w:t>
      </w:r>
    </w:p>
    <w:p w:rsidR="002F5B2A" w:rsidRPr="002F5B2A" w:rsidRDefault="002F5B2A" w:rsidP="001914FD">
      <w:pPr>
        <w:numPr>
          <w:ilvl w:val="0"/>
          <w:numId w:val="40"/>
        </w:numPr>
        <w:tabs>
          <w:tab w:val="clear" w:pos="1080"/>
          <w:tab w:val="left" w:pos="360"/>
          <w:tab w:val="num" w:pos="1440"/>
        </w:tabs>
        <w:spacing w:after="240"/>
        <w:ind w:left="1440"/>
        <w:rPr>
          <w:szCs w:val="24"/>
        </w:rPr>
      </w:pPr>
      <w:r w:rsidRPr="007A7018">
        <w:rPr>
          <w:szCs w:val="24"/>
        </w:rPr>
        <w:t>Description of how the AIEC meets the continuing educational and cultural needs of the community it serves</w:t>
      </w:r>
    </w:p>
    <w:p w:rsidR="002F5B2A" w:rsidRPr="002F5B2A" w:rsidRDefault="002F5B2A" w:rsidP="001914FD">
      <w:pPr>
        <w:numPr>
          <w:ilvl w:val="0"/>
          <w:numId w:val="40"/>
        </w:numPr>
        <w:tabs>
          <w:tab w:val="clear" w:pos="1080"/>
          <w:tab w:val="left" w:pos="360"/>
          <w:tab w:val="num" w:pos="1440"/>
        </w:tabs>
        <w:spacing w:after="240"/>
        <w:ind w:left="1440"/>
        <w:rPr>
          <w:szCs w:val="24"/>
        </w:rPr>
      </w:pPr>
      <w:r w:rsidRPr="007A7018">
        <w:rPr>
          <w:szCs w:val="24"/>
        </w:rPr>
        <w:t>Description of the collaborative activities conducted during the year</w:t>
      </w:r>
    </w:p>
    <w:p w:rsidR="002F5B2A" w:rsidRPr="002F5B2A" w:rsidRDefault="002F5B2A" w:rsidP="001914FD">
      <w:pPr>
        <w:numPr>
          <w:ilvl w:val="0"/>
          <w:numId w:val="40"/>
        </w:numPr>
        <w:tabs>
          <w:tab w:val="clear" w:pos="1080"/>
          <w:tab w:val="left" w:pos="360"/>
          <w:tab w:val="num" w:pos="1440"/>
        </w:tabs>
        <w:spacing w:after="240"/>
        <w:ind w:left="1440"/>
        <w:rPr>
          <w:szCs w:val="24"/>
        </w:rPr>
      </w:pPr>
      <w:r w:rsidRPr="007A7018">
        <w:rPr>
          <w:szCs w:val="24"/>
        </w:rPr>
        <w:t xml:space="preserve">Progress made in meeting the AIEC’s stated objectives, including applicable </w:t>
      </w:r>
      <w:r w:rsidRPr="007A7018">
        <w:rPr>
          <w:bCs w:val="0"/>
          <w:color w:val="000000"/>
          <w:szCs w:val="24"/>
        </w:rPr>
        <w:t xml:space="preserve">program objectives as stated in </w:t>
      </w:r>
      <w:r w:rsidRPr="007A7018">
        <w:rPr>
          <w:bCs w:val="0"/>
          <w:i/>
          <w:color w:val="000000"/>
          <w:szCs w:val="24"/>
        </w:rPr>
        <w:t>EC</w:t>
      </w:r>
      <w:r w:rsidRPr="007A7018">
        <w:rPr>
          <w:bCs w:val="0"/>
          <w:color w:val="000000"/>
          <w:szCs w:val="24"/>
        </w:rPr>
        <w:t xml:space="preserve"> Section 33381</w:t>
      </w:r>
    </w:p>
    <w:p w:rsidR="002F5B2A" w:rsidRPr="002F5B2A" w:rsidRDefault="002F5B2A" w:rsidP="001914FD">
      <w:pPr>
        <w:numPr>
          <w:ilvl w:val="0"/>
          <w:numId w:val="40"/>
        </w:numPr>
        <w:tabs>
          <w:tab w:val="clear" w:pos="1080"/>
          <w:tab w:val="left" w:pos="360"/>
          <w:tab w:val="num" w:pos="1440"/>
        </w:tabs>
        <w:spacing w:after="240"/>
        <w:ind w:left="1440"/>
        <w:rPr>
          <w:szCs w:val="24"/>
        </w:rPr>
      </w:pPr>
      <w:r w:rsidRPr="007A7018">
        <w:rPr>
          <w:szCs w:val="24"/>
        </w:rPr>
        <w:lastRenderedPageBreak/>
        <w:t>Aggregated data on AIEC Program-enrolled students’ performance on state academic assessment measures</w:t>
      </w:r>
    </w:p>
    <w:p w:rsidR="002F5B2A" w:rsidRPr="002F5B2A" w:rsidRDefault="002F5B2A" w:rsidP="001914FD">
      <w:pPr>
        <w:numPr>
          <w:ilvl w:val="0"/>
          <w:numId w:val="40"/>
        </w:numPr>
        <w:tabs>
          <w:tab w:val="clear" w:pos="1080"/>
          <w:tab w:val="left" w:pos="360"/>
          <w:tab w:val="num" w:pos="1440"/>
        </w:tabs>
        <w:spacing w:after="240"/>
        <w:ind w:left="1440"/>
        <w:rPr>
          <w:szCs w:val="24"/>
        </w:rPr>
      </w:pPr>
      <w:r w:rsidRPr="007A7018">
        <w:rPr>
          <w:szCs w:val="24"/>
        </w:rPr>
        <w:t>Recommendations for revisions to the project and its budget on the basis of an analysis carried out by the grant recipient</w:t>
      </w:r>
    </w:p>
    <w:p w:rsidR="002F5B2A" w:rsidRPr="007A7018" w:rsidRDefault="002F5B2A" w:rsidP="002F5B2A">
      <w:pPr>
        <w:tabs>
          <w:tab w:val="left" w:pos="360"/>
        </w:tabs>
        <w:spacing w:after="240"/>
        <w:ind w:left="720"/>
        <w:rPr>
          <w:szCs w:val="24"/>
        </w:rPr>
      </w:pPr>
      <w:r w:rsidRPr="007A7018">
        <w:rPr>
          <w:szCs w:val="24"/>
        </w:rPr>
        <w:t>Grantees shall submit statistical, cost, and program data as requested by the CDE in order for the CDE to prepare various legislatively mandated reports, to meet state and federal reporting requirements, and for the effective administration of the AIEC Program.</w:t>
      </w:r>
    </w:p>
    <w:p w:rsidR="002F5B2A" w:rsidRPr="007A7018" w:rsidRDefault="002F5B2A" w:rsidP="002F5B2A">
      <w:pPr>
        <w:tabs>
          <w:tab w:val="left" w:pos="360"/>
        </w:tabs>
        <w:spacing w:after="240"/>
        <w:ind w:left="720"/>
        <w:rPr>
          <w:szCs w:val="24"/>
        </w:rPr>
      </w:pPr>
      <w:r w:rsidRPr="007A7018">
        <w:rPr>
          <w:szCs w:val="24"/>
        </w:rPr>
        <w:t>Grantees submitting data to the CDE will include a certification that the data are correct and complete, and the signature of the person authorized by t</w:t>
      </w:r>
      <w:r>
        <w:rPr>
          <w:szCs w:val="24"/>
        </w:rPr>
        <w:t>he grantee to certify the data.</w:t>
      </w:r>
    </w:p>
    <w:p w:rsidR="002F5B2A" w:rsidRDefault="002F5B2A" w:rsidP="002F5B2A">
      <w:pPr>
        <w:tabs>
          <w:tab w:val="left" w:pos="360"/>
        </w:tabs>
        <w:spacing w:after="360"/>
        <w:ind w:left="720"/>
        <w:rPr>
          <w:szCs w:val="24"/>
        </w:rPr>
      </w:pPr>
      <w:r w:rsidRPr="007A7018">
        <w:rPr>
          <w:szCs w:val="24"/>
        </w:rPr>
        <w:t xml:space="preserve">Grantees shall submit complete, accurate data to the CDE by the date specified, and as specified, in the CDE’s request for this information. Incomplete, inaccurate, or incorrectly formatted reports, and reports not received by the required due date shall be considered delinquent. Penalties for delinquent reporting are specified in 5 </w:t>
      </w:r>
      <w:r w:rsidRPr="007A7018">
        <w:rPr>
          <w:i/>
          <w:szCs w:val="24"/>
        </w:rPr>
        <w:t>CCR</w:t>
      </w:r>
      <w:r w:rsidRPr="007A7018">
        <w:rPr>
          <w:szCs w:val="24"/>
        </w:rPr>
        <w:t>, Section 11996.7</w:t>
      </w:r>
      <w:r>
        <w:rPr>
          <w:szCs w:val="24"/>
        </w:rPr>
        <w:t>(</w:t>
      </w:r>
      <w:r w:rsidRPr="007A7018">
        <w:rPr>
          <w:szCs w:val="24"/>
        </w:rPr>
        <w:t>d</w:t>
      </w:r>
      <w:r>
        <w:rPr>
          <w:szCs w:val="24"/>
        </w:rPr>
        <w:t>)</w:t>
      </w:r>
      <w:r w:rsidRPr="007A7018">
        <w:rPr>
          <w:szCs w:val="24"/>
        </w:rPr>
        <w:t>.</w:t>
      </w:r>
      <w:bookmarkStart w:id="12" w:name="_GoBack"/>
      <w:bookmarkEnd w:id="12"/>
    </w:p>
    <w:p w:rsidR="002F5B2A" w:rsidRDefault="002F5B2A" w:rsidP="001914FD">
      <w:pPr>
        <w:pStyle w:val="Heading3"/>
        <w:numPr>
          <w:ilvl w:val="0"/>
          <w:numId w:val="35"/>
        </w:numPr>
        <w:spacing w:after="240"/>
      </w:pPr>
      <w:r>
        <w:t>Fiscal Reporting</w:t>
      </w:r>
    </w:p>
    <w:p w:rsidR="002F5B2A" w:rsidRDefault="002F5B2A" w:rsidP="002F5B2A">
      <w:pPr>
        <w:spacing w:after="240"/>
        <w:ind w:left="720"/>
      </w:pPr>
      <w:r>
        <w:t>The fiscal reporting shall be submitted quarterly. Fiscal expenditure reports are due by 5 p.m. on the dates as follows:</w:t>
      </w:r>
    </w:p>
    <w:tbl>
      <w:tblPr>
        <w:tblW w:w="8190" w:type="dxa"/>
        <w:tblInd w:w="805" w:type="dxa"/>
        <w:tblLook w:val="04A0" w:firstRow="1" w:lastRow="0" w:firstColumn="1" w:lastColumn="0" w:noHBand="0" w:noVBand="1"/>
        <w:tblCaption w:val="Due Dates"/>
        <w:tblDescription w:val="These are the due dates for the quarterly Expenditure Reports."/>
      </w:tblPr>
      <w:tblGrid>
        <w:gridCol w:w="3690"/>
        <w:gridCol w:w="4500"/>
      </w:tblGrid>
      <w:tr w:rsidR="00CA7282" w:rsidRPr="00CA7282" w:rsidTr="00E35FCD">
        <w:trPr>
          <w:cantSplit/>
          <w:trHeight w:val="300"/>
          <w:tblHeader/>
        </w:trPr>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282" w:rsidRPr="00CA7282" w:rsidRDefault="00CA7282" w:rsidP="00CA7282">
            <w:pPr>
              <w:jc w:val="center"/>
              <w:rPr>
                <w:bCs w:val="0"/>
                <w:color w:val="000000"/>
                <w:szCs w:val="24"/>
              </w:rPr>
            </w:pPr>
            <w:r w:rsidRPr="00CA7282">
              <w:rPr>
                <w:bCs w:val="0"/>
                <w:color w:val="000000"/>
                <w:szCs w:val="24"/>
              </w:rPr>
              <w:t>Expenditure Report Due Date</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CA7282" w:rsidRPr="00CA7282" w:rsidRDefault="00CA7282" w:rsidP="00CA7282">
            <w:pPr>
              <w:jc w:val="center"/>
              <w:rPr>
                <w:bCs w:val="0"/>
                <w:color w:val="000000"/>
                <w:szCs w:val="24"/>
              </w:rPr>
            </w:pPr>
            <w:r w:rsidRPr="00CA7282">
              <w:rPr>
                <w:bCs w:val="0"/>
                <w:color w:val="000000"/>
                <w:szCs w:val="24"/>
              </w:rPr>
              <w:t>Report Period</w:t>
            </w:r>
          </w:p>
        </w:tc>
      </w:tr>
      <w:tr w:rsidR="00CA7282" w:rsidRPr="00CA7282" w:rsidTr="00A4684D">
        <w:trPr>
          <w:cantSplit/>
          <w:trHeight w:val="30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CA7282" w:rsidRPr="00CA7282" w:rsidRDefault="00CA7282" w:rsidP="00CA7282">
            <w:pPr>
              <w:rPr>
                <w:bCs w:val="0"/>
                <w:color w:val="000000"/>
                <w:szCs w:val="24"/>
              </w:rPr>
            </w:pPr>
            <w:r w:rsidRPr="00CA7282">
              <w:rPr>
                <w:bCs w:val="0"/>
                <w:color w:val="000000"/>
                <w:szCs w:val="24"/>
              </w:rPr>
              <w:t>February 8, 2019</w:t>
            </w:r>
          </w:p>
        </w:tc>
        <w:tc>
          <w:tcPr>
            <w:tcW w:w="4500" w:type="dxa"/>
            <w:tcBorders>
              <w:top w:val="nil"/>
              <w:left w:val="nil"/>
              <w:bottom w:val="single" w:sz="4" w:space="0" w:color="auto"/>
              <w:right w:val="single" w:sz="4" w:space="0" w:color="auto"/>
            </w:tcBorders>
            <w:shd w:val="clear" w:color="auto" w:fill="auto"/>
            <w:noWrap/>
            <w:vAlign w:val="bottom"/>
            <w:hideMark/>
          </w:tcPr>
          <w:p w:rsidR="00CA7282" w:rsidRPr="00CA7282" w:rsidRDefault="00CA7282" w:rsidP="00CA7282">
            <w:pPr>
              <w:rPr>
                <w:bCs w:val="0"/>
                <w:color w:val="000000"/>
                <w:szCs w:val="24"/>
              </w:rPr>
            </w:pPr>
            <w:r w:rsidRPr="00CA7282">
              <w:rPr>
                <w:bCs w:val="0"/>
                <w:color w:val="000000"/>
                <w:szCs w:val="24"/>
              </w:rPr>
              <w:t>October 1, 2018–December 31, 2018</w:t>
            </w:r>
          </w:p>
        </w:tc>
      </w:tr>
      <w:tr w:rsidR="00CA7282" w:rsidRPr="00CA7282" w:rsidTr="00A4684D">
        <w:trPr>
          <w:cantSplit/>
          <w:trHeight w:val="30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CA7282" w:rsidRPr="00CA7282" w:rsidRDefault="00CA7282" w:rsidP="00CA7282">
            <w:pPr>
              <w:rPr>
                <w:bCs w:val="0"/>
                <w:color w:val="000000"/>
                <w:szCs w:val="24"/>
              </w:rPr>
            </w:pPr>
            <w:r w:rsidRPr="00CA7282">
              <w:rPr>
                <w:bCs w:val="0"/>
                <w:color w:val="000000"/>
                <w:szCs w:val="24"/>
              </w:rPr>
              <w:t>May 10, 2019</w:t>
            </w:r>
          </w:p>
        </w:tc>
        <w:tc>
          <w:tcPr>
            <w:tcW w:w="4500" w:type="dxa"/>
            <w:tcBorders>
              <w:top w:val="nil"/>
              <w:left w:val="nil"/>
              <w:bottom w:val="single" w:sz="4" w:space="0" w:color="auto"/>
              <w:right w:val="single" w:sz="4" w:space="0" w:color="auto"/>
            </w:tcBorders>
            <w:shd w:val="clear" w:color="auto" w:fill="auto"/>
            <w:noWrap/>
            <w:vAlign w:val="bottom"/>
            <w:hideMark/>
          </w:tcPr>
          <w:p w:rsidR="00CA7282" w:rsidRPr="00CA7282" w:rsidRDefault="00CA7282" w:rsidP="00CA7282">
            <w:pPr>
              <w:rPr>
                <w:bCs w:val="0"/>
                <w:color w:val="000000"/>
                <w:szCs w:val="24"/>
              </w:rPr>
            </w:pPr>
            <w:r w:rsidRPr="00CA7282">
              <w:rPr>
                <w:bCs w:val="0"/>
                <w:color w:val="000000"/>
                <w:szCs w:val="24"/>
              </w:rPr>
              <w:t>January 1, 2019–March 31, 2019</w:t>
            </w:r>
          </w:p>
        </w:tc>
      </w:tr>
      <w:tr w:rsidR="00CA7282" w:rsidRPr="00CA7282" w:rsidTr="00A4684D">
        <w:trPr>
          <w:cantSplit/>
          <w:trHeight w:val="30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CA7282" w:rsidRPr="00CA7282" w:rsidRDefault="00CA7282" w:rsidP="00CA7282">
            <w:pPr>
              <w:rPr>
                <w:bCs w:val="0"/>
                <w:color w:val="000000"/>
                <w:szCs w:val="24"/>
              </w:rPr>
            </w:pPr>
            <w:r w:rsidRPr="00CA7282">
              <w:rPr>
                <w:bCs w:val="0"/>
                <w:color w:val="000000"/>
                <w:szCs w:val="24"/>
              </w:rPr>
              <w:t>August 9, 2019</w:t>
            </w:r>
          </w:p>
        </w:tc>
        <w:tc>
          <w:tcPr>
            <w:tcW w:w="4500" w:type="dxa"/>
            <w:tcBorders>
              <w:top w:val="nil"/>
              <w:left w:val="nil"/>
              <w:bottom w:val="single" w:sz="4" w:space="0" w:color="auto"/>
              <w:right w:val="single" w:sz="4" w:space="0" w:color="auto"/>
            </w:tcBorders>
            <w:shd w:val="clear" w:color="auto" w:fill="auto"/>
            <w:noWrap/>
            <w:vAlign w:val="bottom"/>
            <w:hideMark/>
          </w:tcPr>
          <w:p w:rsidR="00CA7282" w:rsidRPr="00CA7282" w:rsidRDefault="00CA7282" w:rsidP="00CA7282">
            <w:pPr>
              <w:rPr>
                <w:bCs w:val="0"/>
                <w:color w:val="000000"/>
                <w:szCs w:val="24"/>
              </w:rPr>
            </w:pPr>
            <w:r w:rsidRPr="00CA7282">
              <w:rPr>
                <w:bCs w:val="0"/>
                <w:color w:val="000000"/>
                <w:szCs w:val="24"/>
              </w:rPr>
              <w:t>April 1, 2019–June 30, 2019</w:t>
            </w:r>
          </w:p>
        </w:tc>
      </w:tr>
      <w:tr w:rsidR="00CA7282" w:rsidRPr="00CA7282" w:rsidTr="00A4684D">
        <w:trPr>
          <w:cantSplit/>
          <w:trHeight w:val="30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CA7282" w:rsidRPr="00CA7282" w:rsidRDefault="00CA7282" w:rsidP="00CA7282">
            <w:pPr>
              <w:rPr>
                <w:bCs w:val="0"/>
                <w:color w:val="000000"/>
                <w:szCs w:val="24"/>
              </w:rPr>
            </w:pPr>
            <w:r w:rsidRPr="00CA7282">
              <w:rPr>
                <w:bCs w:val="0"/>
                <w:color w:val="000000"/>
                <w:szCs w:val="24"/>
              </w:rPr>
              <w:t>November 8, 2019</w:t>
            </w:r>
          </w:p>
        </w:tc>
        <w:tc>
          <w:tcPr>
            <w:tcW w:w="4500" w:type="dxa"/>
            <w:tcBorders>
              <w:top w:val="nil"/>
              <w:left w:val="nil"/>
              <w:bottom w:val="single" w:sz="4" w:space="0" w:color="auto"/>
              <w:right w:val="single" w:sz="4" w:space="0" w:color="auto"/>
            </w:tcBorders>
            <w:shd w:val="clear" w:color="auto" w:fill="auto"/>
            <w:noWrap/>
            <w:vAlign w:val="bottom"/>
            <w:hideMark/>
          </w:tcPr>
          <w:p w:rsidR="00CA7282" w:rsidRPr="00CA7282" w:rsidRDefault="00CA7282" w:rsidP="00CA7282">
            <w:pPr>
              <w:rPr>
                <w:bCs w:val="0"/>
                <w:color w:val="000000"/>
                <w:szCs w:val="24"/>
              </w:rPr>
            </w:pPr>
            <w:r w:rsidRPr="00CA7282">
              <w:rPr>
                <w:bCs w:val="0"/>
                <w:color w:val="000000"/>
                <w:szCs w:val="24"/>
              </w:rPr>
              <w:t>October 1, 2019–September 30, 2019</w:t>
            </w:r>
          </w:p>
        </w:tc>
      </w:tr>
    </w:tbl>
    <w:p w:rsidR="002F5B2A" w:rsidRDefault="002F5B2A" w:rsidP="00CA7282">
      <w:pPr>
        <w:tabs>
          <w:tab w:val="left" w:pos="360"/>
        </w:tabs>
      </w:pPr>
    </w:p>
    <w:p w:rsidR="002F5B2A" w:rsidRPr="007A7018" w:rsidRDefault="002F5B2A" w:rsidP="002F5B2A">
      <w:pPr>
        <w:tabs>
          <w:tab w:val="left" w:pos="360"/>
        </w:tabs>
        <w:spacing w:after="240"/>
        <w:ind w:left="720"/>
        <w:rPr>
          <w:szCs w:val="24"/>
        </w:rPr>
      </w:pPr>
      <w:r>
        <w:t xml:space="preserve">The reports shall be signed by the AIEC Board Chair/Fiscal Accounting Officer and will have two </w:t>
      </w:r>
      <w:r w:rsidRPr="007A7018">
        <w:rPr>
          <w:szCs w:val="24"/>
        </w:rPr>
        <w:t>components:</w:t>
      </w:r>
    </w:p>
    <w:p w:rsidR="002F5B2A" w:rsidRPr="002F5B2A" w:rsidRDefault="002F5B2A" w:rsidP="001914FD">
      <w:pPr>
        <w:numPr>
          <w:ilvl w:val="0"/>
          <w:numId w:val="41"/>
        </w:numPr>
        <w:tabs>
          <w:tab w:val="left" w:pos="360"/>
        </w:tabs>
        <w:spacing w:after="240"/>
        <w:ind w:left="1440"/>
        <w:rPr>
          <w:szCs w:val="24"/>
        </w:rPr>
      </w:pPr>
      <w:r>
        <w:rPr>
          <w:szCs w:val="24"/>
        </w:rPr>
        <w:t>An Expenditure Report</w:t>
      </w:r>
    </w:p>
    <w:p w:rsidR="002F5B2A" w:rsidRPr="002F5B2A" w:rsidRDefault="002F5B2A" w:rsidP="001914FD">
      <w:pPr>
        <w:numPr>
          <w:ilvl w:val="0"/>
          <w:numId w:val="41"/>
        </w:numPr>
        <w:tabs>
          <w:tab w:val="left" w:pos="360"/>
        </w:tabs>
        <w:spacing w:after="240"/>
        <w:ind w:left="1440"/>
        <w:rPr>
          <w:szCs w:val="24"/>
        </w:rPr>
      </w:pPr>
      <w:r w:rsidRPr="007A7018">
        <w:rPr>
          <w:szCs w:val="24"/>
        </w:rPr>
        <w:t xml:space="preserve">A general ledger that shows </w:t>
      </w:r>
      <w:r>
        <w:rPr>
          <w:szCs w:val="24"/>
        </w:rPr>
        <w:t xml:space="preserve">each employee’s name and </w:t>
      </w:r>
      <w:r w:rsidRPr="007A7018">
        <w:rPr>
          <w:szCs w:val="24"/>
        </w:rPr>
        <w:t>the expenditures in detail</w:t>
      </w:r>
    </w:p>
    <w:p w:rsidR="002F5B2A" w:rsidRPr="002F5B2A" w:rsidRDefault="002F5B2A" w:rsidP="001914FD">
      <w:pPr>
        <w:numPr>
          <w:ilvl w:val="0"/>
          <w:numId w:val="42"/>
        </w:numPr>
        <w:tabs>
          <w:tab w:val="left" w:pos="360"/>
        </w:tabs>
        <w:spacing w:after="240"/>
        <w:ind w:left="2160"/>
        <w:rPr>
          <w:szCs w:val="24"/>
        </w:rPr>
      </w:pPr>
      <w:r w:rsidRPr="007A7018">
        <w:rPr>
          <w:szCs w:val="24"/>
        </w:rPr>
        <w:t>The general ledger is due quarterly and is not to be included with the application. The amounts on the general ledger must match the amounts reported on the Expenditure Report.</w:t>
      </w:r>
    </w:p>
    <w:p w:rsidR="002F5B2A" w:rsidRPr="002F5B2A" w:rsidRDefault="002F5B2A" w:rsidP="001914FD">
      <w:pPr>
        <w:numPr>
          <w:ilvl w:val="0"/>
          <w:numId w:val="41"/>
        </w:numPr>
        <w:spacing w:after="240"/>
        <w:ind w:left="1440"/>
        <w:rPr>
          <w:szCs w:val="24"/>
        </w:rPr>
      </w:pPr>
      <w:r>
        <w:rPr>
          <w:szCs w:val="24"/>
        </w:rPr>
        <w:t>Once an Expenditure Report has been submitted and approved by the CDE, no changes are allowed without justification as to why the changes are being made. The AIEC must receive prior approval by the CDE.</w:t>
      </w:r>
    </w:p>
    <w:p w:rsidR="002F5B2A" w:rsidRPr="007A7018" w:rsidRDefault="002F5B2A" w:rsidP="002F5B2A">
      <w:pPr>
        <w:autoSpaceDE w:val="0"/>
        <w:autoSpaceDN w:val="0"/>
        <w:adjustRightInd w:val="0"/>
        <w:spacing w:after="240"/>
        <w:ind w:left="720" w:right="-187"/>
        <w:rPr>
          <w:color w:val="000000"/>
          <w:szCs w:val="24"/>
        </w:rPr>
      </w:pPr>
      <w:r w:rsidRPr="007A7018">
        <w:rPr>
          <w:color w:val="000000"/>
          <w:szCs w:val="24"/>
        </w:rPr>
        <w:lastRenderedPageBreak/>
        <w:t>The CDE shall reduce, withhold, or cancel any scheduled payment when one or more of the following conditions exist:</w:t>
      </w:r>
    </w:p>
    <w:p w:rsidR="002F5B2A" w:rsidRPr="002F5B2A" w:rsidRDefault="002F5B2A" w:rsidP="001914FD">
      <w:pPr>
        <w:numPr>
          <w:ilvl w:val="0"/>
          <w:numId w:val="43"/>
        </w:numPr>
        <w:autoSpaceDE w:val="0"/>
        <w:autoSpaceDN w:val="0"/>
        <w:adjustRightInd w:val="0"/>
        <w:spacing w:after="240"/>
        <w:ind w:left="1440" w:right="-187"/>
        <w:rPr>
          <w:color w:val="000000"/>
          <w:szCs w:val="24"/>
        </w:rPr>
      </w:pPr>
      <w:r w:rsidRPr="007A7018">
        <w:rPr>
          <w:color w:val="000000"/>
          <w:szCs w:val="24"/>
        </w:rPr>
        <w:t>The grantee has not submitted an acceptable audit for any prior year of operation on or before the date due.</w:t>
      </w:r>
    </w:p>
    <w:p w:rsidR="002F5B2A" w:rsidRPr="002F5B2A" w:rsidRDefault="002F5B2A" w:rsidP="001914FD">
      <w:pPr>
        <w:numPr>
          <w:ilvl w:val="0"/>
          <w:numId w:val="43"/>
        </w:numPr>
        <w:autoSpaceDE w:val="0"/>
        <w:autoSpaceDN w:val="0"/>
        <w:adjustRightInd w:val="0"/>
        <w:spacing w:after="240"/>
        <w:ind w:left="1440" w:right="-187"/>
        <w:rPr>
          <w:color w:val="000000"/>
          <w:szCs w:val="24"/>
        </w:rPr>
      </w:pPr>
      <w:r w:rsidRPr="007A7018">
        <w:rPr>
          <w:color w:val="000000"/>
          <w:szCs w:val="24"/>
        </w:rPr>
        <w:t>The grantee has not submitted any reports required before the date due.</w:t>
      </w:r>
    </w:p>
    <w:p w:rsidR="002F5B2A" w:rsidRPr="00B54669" w:rsidRDefault="002F5B2A" w:rsidP="001914FD">
      <w:pPr>
        <w:numPr>
          <w:ilvl w:val="0"/>
          <w:numId w:val="43"/>
        </w:numPr>
        <w:autoSpaceDE w:val="0"/>
        <w:autoSpaceDN w:val="0"/>
        <w:adjustRightInd w:val="0"/>
        <w:spacing w:after="240"/>
        <w:ind w:left="1440" w:right="-187"/>
        <w:rPr>
          <w:color w:val="000000"/>
          <w:szCs w:val="24"/>
        </w:rPr>
      </w:pPr>
      <w:r>
        <w:rPr>
          <w:color w:val="000000"/>
          <w:szCs w:val="24"/>
        </w:rPr>
        <w:t>Any past due reports are not approved.</w:t>
      </w:r>
    </w:p>
    <w:p w:rsidR="002F5B2A" w:rsidRPr="00B54669" w:rsidRDefault="002F5B2A" w:rsidP="001914FD">
      <w:pPr>
        <w:numPr>
          <w:ilvl w:val="0"/>
          <w:numId w:val="43"/>
        </w:numPr>
        <w:autoSpaceDE w:val="0"/>
        <w:autoSpaceDN w:val="0"/>
        <w:adjustRightInd w:val="0"/>
        <w:spacing w:after="240"/>
        <w:ind w:left="1440" w:right="-187"/>
        <w:rPr>
          <w:color w:val="000000"/>
          <w:szCs w:val="24"/>
        </w:rPr>
      </w:pPr>
      <w:r w:rsidRPr="007A7018">
        <w:rPr>
          <w:color w:val="000000"/>
          <w:szCs w:val="24"/>
        </w:rPr>
        <w:t>The grantee will not earn the full grant amount based on the current year net reimbursable program costs as determined by the CDE.</w:t>
      </w:r>
    </w:p>
    <w:p w:rsidR="002F5B2A" w:rsidRPr="00B54669" w:rsidRDefault="002F5B2A" w:rsidP="001914FD">
      <w:pPr>
        <w:numPr>
          <w:ilvl w:val="0"/>
          <w:numId w:val="43"/>
        </w:numPr>
        <w:autoSpaceDE w:val="0"/>
        <w:autoSpaceDN w:val="0"/>
        <w:adjustRightInd w:val="0"/>
        <w:spacing w:after="240"/>
        <w:ind w:left="1440" w:right="-187"/>
        <w:rPr>
          <w:color w:val="000000"/>
          <w:szCs w:val="24"/>
        </w:rPr>
      </w:pPr>
      <w:r w:rsidRPr="007A7018">
        <w:rPr>
          <w:color w:val="000000"/>
          <w:szCs w:val="24"/>
        </w:rPr>
        <w:t>A creditor of the grantee has placed a lien on the grantee’s scheduled payments.</w:t>
      </w:r>
    </w:p>
    <w:p w:rsidR="002F5B2A" w:rsidRPr="00B54669" w:rsidRDefault="002F5B2A" w:rsidP="001914FD">
      <w:pPr>
        <w:numPr>
          <w:ilvl w:val="0"/>
          <w:numId w:val="43"/>
        </w:numPr>
        <w:autoSpaceDE w:val="0"/>
        <w:autoSpaceDN w:val="0"/>
        <w:adjustRightInd w:val="0"/>
        <w:spacing w:after="240"/>
        <w:ind w:left="1440" w:right="-187"/>
        <w:rPr>
          <w:color w:val="000000"/>
          <w:szCs w:val="24"/>
        </w:rPr>
      </w:pPr>
      <w:r w:rsidRPr="007A7018">
        <w:rPr>
          <w:color w:val="000000"/>
          <w:szCs w:val="24"/>
        </w:rPr>
        <w:t>The grantee has accounts payable which are:</w:t>
      </w:r>
    </w:p>
    <w:p w:rsidR="002F5B2A" w:rsidRPr="007A7018" w:rsidRDefault="002F5B2A" w:rsidP="001914FD">
      <w:pPr>
        <w:numPr>
          <w:ilvl w:val="0"/>
          <w:numId w:val="44"/>
        </w:numPr>
        <w:autoSpaceDE w:val="0"/>
        <w:autoSpaceDN w:val="0"/>
        <w:adjustRightInd w:val="0"/>
        <w:ind w:right="-180"/>
        <w:rPr>
          <w:color w:val="000000"/>
          <w:szCs w:val="24"/>
        </w:rPr>
      </w:pPr>
      <w:r w:rsidRPr="007A7018">
        <w:rPr>
          <w:color w:val="000000"/>
          <w:szCs w:val="24"/>
        </w:rPr>
        <w:t>More than 90 days delinquent to the CDE</w:t>
      </w:r>
    </w:p>
    <w:p w:rsidR="002F5B2A" w:rsidRPr="00B54669" w:rsidRDefault="002F5B2A" w:rsidP="001914FD">
      <w:pPr>
        <w:numPr>
          <w:ilvl w:val="0"/>
          <w:numId w:val="44"/>
        </w:numPr>
        <w:autoSpaceDE w:val="0"/>
        <w:autoSpaceDN w:val="0"/>
        <w:adjustRightInd w:val="0"/>
        <w:spacing w:after="240"/>
        <w:ind w:right="-187"/>
        <w:rPr>
          <w:color w:val="000000"/>
          <w:szCs w:val="24"/>
        </w:rPr>
      </w:pPr>
      <w:r w:rsidRPr="007A7018">
        <w:rPr>
          <w:color w:val="000000"/>
          <w:szCs w:val="24"/>
        </w:rPr>
        <w:t>Not under appeal</w:t>
      </w:r>
    </w:p>
    <w:p w:rsidR="002F5B2A" w:rsidRPr="007A7018" w:rsidRDefault="002F5B2A" w:rsidP="00B54669">
      <w:pPr>
        <w:tabs>
          <w:tab w:val="left" w:pos="360"/>
        </w:tabs>
        <w:spacing w:after="240"/>
        <w:ind w:left="360"/>
        <w:rPr>
          <w:szCs w:val="24"/>
        </w:rPr>
      </w:pPr>
      <w:r w:rsidRPr="007A7018">
        <w:rPr>
          <w:szCs w:val="24"/>
        </w:rPr>
        <w:t>If any payment is to be reduced, withheld, or canceled, the CDE shall provide the grantee prior written notice of the intended action.</w:t>
      </w:r>
    </w:p>
    <w:p w:rsidR="002F5B2A" w:rsidRPr="007A7018" w:rsidRDefault="002F5B2A" w:rsidP="00B54669">
      <w:pPr>
        <w:tabs>
          <w:tab w:val="left" w:pos="360"/>
        </w:tabs>
        <w:spacing w:after="240"/>
        <w:ind w:left="360"/>
        <w:rPr>
          <w:szCs w:val="24"/>
        </w:rPr>
      </w:pPr>
      <w:r w:rsidRPr="007A7018">
        <w:rPr>
          <w:szCs w:val="24"/>
        </w:rPr>
        <w:t xml:space="preserve">Each grant recipient shall submit annually, a fiscal audit of expenditures titled </w:t>
      </w:r>
      <w:r>
        <w:rPr>
          <w:szCs w:val="24"/>
        </w:rPr>
        <w:t xml:space="preserve">Audited </w:t>
      </w:r>
      <w:r w:rsidRPr="007A7018">
        <w:rPr>
          <w:szCs w:val="24"/>
        </w:rPr>
        <w:t>Final Revenue and</w:t>
      </w:r>
      <w:r>
        <w:rPr>
          <w:szCs w:val="24"/>
        </w:rPr>
        <w:t xml:space="preserve"> Expenditure Report</w:t>
      </w:r>
      <w:r w:rsidRPr="007A7018">
        <w:rPr>
          <w:szCs w:val="24"/>
        </w:rPr>
        <w:t xml:space="preserve">. This </w:t>
      </w:r>
      <w:r>
        <w:rPr>
          <w:szCs w:val="24"/>
        </w:rPr>
        <w:t xml:space="preserve">report is due annually on April </w:t>
      </w:r>
      <w:r w:rsidRPr="007A7018">
        <w:rPr>
          <w:szCs w:val="24"/>
        </w:rPr>
        <w:t xml:space="preserve">30. A one-time, </w:t>
      </w:r>
      <w:r w:rsidRPr="007A7018">
        <w:rPr>
          <w:bCs w:val="0"/>
          <w:szCs w:val="24"/>
        </w:rPr>
        <w:t>6</w:t>
      </w:r>
      <w:r w:rsidRPr="007A7018">
        <w:rPr>
          <w:szCs w:val="24"/>
        </w:rPr>
        <w:t>0-day extension shall be granted if a request for the extension is made prior to April 30 and demonstrates good cause for such an extension. Grant funds may be used to pay for the preparation of this report.</w:t>
      </w:r>
    </w:p>
    <w:p w:rsidR="00AA7BC1" w:rsidRPr="00B54669" w:rsidRDefault="002F5B2A" w:rsidP="00B54669">
      <w:pPr>
        <w:ind w:left="360"/>
        <w:rPr>
          <w:rStyle w:val="Strong"/>
          <w:b w:val="0"/>
          <w:bCs/>
          <w:szCs w:val="24"/>
        </w:rPr>
      </w:pPr>
      <w:r w:rsidRPr="007A7018">
        <w:rPr>
          <w:color w:val="000000"/>
          <w:szCs w:val="24"/>
        </w:rPr>
        <w:t xml:space="preserve">Failure to submit the Annual Program Report, Quarterly Fiscal Reports, or results of the Audited Final Revenue and Expenditure Report by the due dates will result in a delay of the second payment for the current year and all payments for subsequent grant years until the reports are submitted (5 </w:t>
      </w:r>
      <w:r w:rsidRPr="007A7018">
        <w:rPr>
          <w:i/>
          <w:color w:val="000000"/>
          <w:szCs w:val="24"/>
        </w:rPr>
        <w:t>CCR</w:t>
      </w:r>
      <w:r w:rsidRPr="007A7018">
        <w:rPr>
          <w:color w:val="000000"/>
          <w:szCs w:val="24"/>
        </w:rPr>
        <w:t>, Section 11996.7[d]).</w:t>
      </w:r>
    </w:p>
    <w:sectPr w:rsidR="00AA7BC1" w:rsidRPr="00B54669" w:rsidSect="001E2A2E">
      <w:headerReference w:type="default" r:id="rId25"/>
      <w:footerReference w:type="default" r:id="rId26"/>
      <w:headerReference w:type="first" r:id="rId27"/>
      <w:footerReference w:type="firs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876" w:rsidRDefault="007E2876">
      <w:r>
        <w:separator/>
      </w:r>
    </w:p>
  </w:endnote>
  <w:endnote w:type="continuationSeparator" w:id="0">
    <w:p w:rsidR="007E2876" w:rsidRDefault="007E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A2E" w:rsidRDefault="001E2A2E">
    <w:pPr>
      <w:pStyle w:val="Footer"/>
    </w:pPr>
    <w:r>
      <w:fldChar w:fldCharType="begin"/>
    </w:r>
    <w:r>
      <w:instrText xml:space="preserve"> PAGE   \* MERGEFORMAT </w:instrText>
    </w:r>
    <w:r>
      <w:fldChar w:fldCharType="separate"/>
    </w:r>
    <w:r w:rsidR="001601B2">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A2E" w:rsidRPr="001E2A2E" w:rsidRDefault="001E2A2E" w:rsidP="001E2A2E">
    <w:pPr>
      <w:pStyle w:val="Footer"/>
      <w:jc w:val="center"/>
    </w:pPr>
    <w:r>
      <w:fldChar w:fldCharType="begin"/>
    </w:r>
    <w:r>
      <w:instrText xml:space="preserve"> PAGE   \* MERGEFORMAT </w:instrText>
    </w:r>
    <w:r>
      <w:fldChar w:fldCharType="separate"/>
    </w:r>
    <w:r w:rsidR="00E35FCD">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A2E" w:rsidRDefault="001E2A2E" w:rsidP="001E2A2E">
    <w:pPr>
      <w:pStyle w:val="Footer"/>
      <w:jc w:val="center"/>
    </w:pPr>
    <w:r>
      <w:fldChar w:fldCharType="begin"/>
    </w:r>
    <w:r>
      <w:instrText xml:space="preserve"> PAGE   \* MERGEFORMAT </w:instrText>
    </w:r>
    <w:r>
      <w:fldChar w:fldCharType="separate"/>
    </w:r>
    <w:r w:rsidR="00E35FCD">
      <w:rPr>
        <w:noProof/>
      </w:rPr>
      <w:t>18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B2" w:rsidRPr="00A71A0E" w:rsidRDefault="00F41CB2" w:rsidP="00FA3BB9">
    <w:pPr>
      <w:pStyle w:val="Footer"/>
      <w:jc w:val="center"/>
    </w:pPr>
    <w:r>
      <w:t>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876" w:rsidRDefault="007E2876">
      <w:r>
        <w:separator/>
      </w:r>
    </w:p>
  </w:footnote>
  <w:footnote w:type="continuationSeparator" w:id="0">
    <w:p w:rsidR="007E2876" w:rsidRDefault="007E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B2" w:rsidRPr="001E2A2E" w:rsidRDefault="00F41CB2" w:rsidP="001E2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B2" w:rsidRPr="007F43A5" w:rsidRDefault="00F41CB2" w:rsidP="007F43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CA4670"/>
    <w:lvl w:ilvl="0">
      <w:start w:val="1"/>
      <w:numFmt w:val="bullet"/>
      <w:pStyle w:val="ListBullet2"/>
      <w:lvlText w:val="o"/>
      <w:lvlJc w:val="left"/>
      <w:pPr>
        <w:tabs>
          <w:tab w:val="num" w:pos="1440"/>
        </w:tabs>
        <w:ind w:left="1440" w:hanging="360"/>
      </w:pPr>
      <w:rPr>
        <w:rFonts w:ascii="Courier New" w:hAnsi="Courier New" w:cs="Courier New" w:hint="default"/>
      </w:rPr>
    </w:lvl>
  </w:abstractNum>
  <w:abstractNum w:abstractNumId="1" w15:restartNumberingAfterBreak="0">
    <w:nsid w:val="FFFFFF89"/>
    <w:multiLevelType w:val="singleLevel"/>
    <w:tmpl w:val="3D8811F6"/>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1A"/>
    <w:multiLevelType w:val="multilevel"/>
    <w:tmpl w:val="00000000"/>
    <w:lvl w:ilvl="0">
      <w:start w:val="1"/>
      <w:numFmt w:val="lowerLetter"/>
      <w:lvlText w:val="%1"/>
      <w:lvlJc w:val="left"/>
    </w:lvl>
    <w:lvl w:ilvl="1">
      <w:start w:val="1"/>
      <w:numFmt w:val="lowerLetter"/>
      <w:pStyle w:val="Level2"/>
      <w:lvlText w:val="(%2)"/>
      <w:lvlJc w:val="left"/>
      <w:pPr>
        <w:tabs>
          <w:tab w:val="num" w:pos="4716"/>
        </w:tabs>
        <w:ind w:left="4716" w:hanging="720"/>
      </w:pPr>
    </w:lvl>
    <w:lvl w:ilvl="2">
      <w:start w:val="1"/>
      <w:numFmt w:val="decimal"/>
      <w:pStyle w:val="Level3"/>
      <w:lvlText w:val="(%3)"/>
      <w:lvlJc w:val="left"/>
      <w:pPr>
        <w:tabs>
          <w:tab w:val="num" w:pos="5436"/>
        </w:tabs>
        <w:ind w:left="5436" w:hanging="720"/>
      </w:pPr>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2D67EF3"/>
    <w:multiLevelType w:val="hybridMultilevel"/>
    <w:tmpl w:val="22B87988"/>
    <w:lvl w:ilvl="0" w:tplc="58784F8C">
      <w:start w:val="1"/>
      <w:numFmt w:val="upperRoman"/>
      <w:pStyle w:val="Heading6"/>
      <w:lvlText w:val="%1."/>
      <w:lvlJc w:val="left"/>
      <w:pPr>
        <w:ind w:left="1080" w:hanging="360"/>
      </w:pPr>
      <w:rPr>
        <w:rFonts w:ascii="Arial" w:hAnsi="Arial" w:hint="default"/>
        <w:b/>
        <w:i w:val="0"/>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BA147C"/>
    <w:multiLevelType w:val="hybridMultilevel"/>
    <w:tmpl w:val="FCFE44B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B36378D"/>
    <w:multiLevelType w:val="hybridMultilevel"/>
    <w:tmpl w:val="D74AC0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CD4E95"/>
    <w:multiLevelType w:val="hybridMultilevel"/>
    <w:tmpl w:val="E5CA24F0"/>
    <w:lvl w:ilvl="0" w:tplc="0409000F">
      <w:start w:val="1"/>
      <w:numFmt w:val="decimal"/>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7" w15:restartNumberingAfterBreak="0">
    <w:nsid w:val="1B430162"/>
    <w:multiLevelType w:val="hybridMultilevel"/>
    <w:tmpl w:val="81CCDE70"/>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D627D3C"/>
    <w:multiLevelType w:val="hybridMultilevel"/>
    <w:tmpl w:val="12022C5A"/>
    <w:lvl w:ilvl="0" w:tplc="04090001">
      <w:start w:val="1"/>
      <w:numFmt w:val="bullet"/>
      <w:lvlText w:val=""/>
      <w:lvlJc w:val="left"/>
      <w:pPr>
        <w:ind w:left="6120" w:hanging="360"/>
      </w:pPr>
      <w:rPr>
        <w:rFonts w:ascii="Symbol" w:hAnsi="Symbol" w:hint="default"/>
      </w:rPr>
    </w:lvl>
    <w:lvl w:ilvl="1" w:tplc="04090003">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9" w15:restartNumberingAfterBreak="0">
    <w:nsid w:val="219B7741"/>
    <w:multiLevelType w:val="hybridMultilevel"/>
    <w:tmpl w:val="838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212EA"/>
    <w:multiLevelType w:val="hybridMultilevel"/>
    <w:tmpl w:val="C28CF1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042397"/>
    <w:multiLevelType w:val="hybridMultilevel"/>
    <w:tmpl w:val="DB7CC98A"/>
    <w:lvl w:ilvl="0" w:tplc="43BAAC2E">
      <w:start w:val="1"/>
      <w:numFmt w:val="decimal"/>
      <w:lvlText w:val="%1."/>
      <w:lvlJc w:val="left"/>
      <w:pPr>
        <w:ind w:left="3960" w:hanging="360"/>
      </w:pPr>
      <w:rPr>
        <w:rFonts w:hint="default"/>
        <w:b w:val="0"/>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327D31CD"/>
    <w:multiLevelType w:val="hybridMultilevel"/>
    <w:tmpl w:val="06D0AA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F">
      <w:start w:val="1"/>
      <w:numFmt w:val="decimal"/>
      <w:lvlText w:val="%3."/>
      <w:lvlJc w:val="left"/>
      <w:pPr>
        <w:ind w:left="3240" w:hanging="360"/>
      </w:pPr>
      <w:rPr>
        <w:rFont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6A12B9"/>
    <w:multiLevelType w:val="multilevel"/>
    <w:tmpl w:val="D362D36E"/>
    <w:lvl w:ilvl="0">
      <w:start w:val="1"/>
      <w:numFmt w:val="decimal"/>
      <w:lvlText w:val="%1."/>
      <w:lvlJc w:val="left"/>
      <w:pPr>
        <w:tabs>
          <w:tab w:val="num" w:pos="1560"/>
        </w:tabs>
        <w:ind w:left="1560" w:hanging="360"/>
      </w:pPr>
      <w:rPr>
        <w:rFonts w:cs="Times New Roman"/>
        <w:b w:val="0"/>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4" w15:restartNumberingAfterBreak="0">
    <w:nsid w:val="37C00733"/>
    <w:multiLevelType w:val="hybridMultilevel"/>
    <w:tmpl w:val="E8EE7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8F3277"/>
    <w:multiLevelType w:val="hybridMultilevel"/>
    <w:tmpl w:val="D00848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4036B42"/>
    <w:multiLevelType w:val="multilevel"/>
    <w:tmpl w:val="572CCF0A"/>
    <w:lvl w:ilvl="0">
      <w:start w:val="1"/>
      <w:numFmt w:val="upperRoman"/>
      <w:pStyle w:val="Heading2"/>
      <w:lvlText w:val="%1."/>
      <w:lvlJc w:val="left"/>
      <w:pPr>
        <w:tabs>
          <w:tab w:val="num" w:pos="3870"/>
        </w:tabs>
        <w:ind w:left="3870" w:hanging="360"/>
      </w:pPr>
      <w:rPr>
        <w:rFonts w:hint="default"/>
        <w:i w:val="0"/>
        <w:iCs w:val="0"/>
        <w:caps w:val="0"/>
        <w:small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start w:val="1"/>
      <w:numFmt w:val="upperRoman"/>
      <w:lvlText w:val="%2"/>
      <w:lvlJc w:val="left"/>
      <w:pPr>
        <w:tabs>
          <w:tab w:val="num" w:pos="4540"/>
        </w:tabs>
        <w:ind w:left="4540" w:hanging="360"/>
      </w:pPr>
      <w:rPr>
        <w:rFonts w:hint="default"/>
      </w:rPr>
    </w:lvl>
    <w:lvl w:ilvl="2">
      <w:start w:val="1"/>
      <w:numFmt w:val="upperLetter"/>
      <w:lvlText w:val="%3."/>
      <w:lvlJc w:val="left"/>
      <w:pPr>
        <w:tabs>
          <w:tab w:val="num" w:pos="5440"/>
        </w:tabs>
        <w:ind w:left="5440" w:hanging="360"/>
      </w:pPr>
      <w:rPr>
        <w:rFonts w:hint="default"/>
      </w:rPr>
    </w:lvl>
    <w:lvl w:ilvl="3">
      <w:start w:val="1"/>
      <w:numFmt w:val="lowerLetter"/>
      <w:lvlText w:val="%4."/>
      <w:lvlJc w:val="left"/>
      <w:pPr>
        <w:tabs>
          <w:tab w:val="num" w:pos="5980"/>
        </w:tabs>
        <w:ind w:left="5980" w:hanging="360"/>
      </w:pPr>
      <w:rPr>
        <w:rFonts w:hint="default"/>
      </w:rPr>
    </w:lvl>
    <w:lvl w:ilvl="4">
      <w:start w:val="1"/>
      <w:numFmt w:val="lowerLetter"/>
      <w:lvlText w:val="%5."/>
      <w:lvlJc w:val="left"/>
      <w:pPr>
        <w:tabs>
          <w:tab w:val="num" w:pos="6700"/>
        </w:tabs>
        <w:ind w:left="6700" w:hanging="360"/>
      </w:pPr>
      <w:rPr>
        <w:rFonts w:hint="default"/>
      </w:rPr>
    </w:lvl>
    <w:lvl w:ilvl="5">
      <w:start w:val="1"/>
      <w:numFmt w:val="lowerRoman"/>
      <w:lvlText w:val="%6."/>
      <w:lvlJc w:val="right"/>
      <w:pPr>
        <w:tabs>
          <w:tab w:val="num" w:pos="7420"/>
        </w:tabs>
        <w:ind w:left="7420" w:hanging="180"/>
      </w:pPr>
      <w:rPr>
        <w:rFonts w:hint="default"/>
      </w:rPr>
    </w:lvl>
    <w:lvl w:ilvl="6">
      <w:start w:val="1"/>
      <w:numFmt w:val="decimal"/>
      <w:lvlText w:val="%7."/>
      <w:lvlJc w:val="left"/>
      <w:pPr>
        <w:tabs>
          <w:tab w:val="num" w:pos="8140"/>
        </w:tabs>
        <w:ind w:left="8140" w:hanging="360"/>
      </w:pPr>
      <w:rPr>
        <w:rFonts w:hint="default"/>
      </w:rPr>
    </w:lvl>
    <w:lvl w:ilvl="7">
      <w:start w:val="1"/>
      <w:numFmt w:val="lowerLetter"/>
      <w:lvlText w:val="%8."/>
      <w:lvlJc w:val="left"/>
      <w:pPr>
        <w:tabs>
          <w:tab w:val="num" w:pos="8860"/>
        </w:tabs>
        <w:ind w:left="8860" w:hanging="360"/>
      </w:pPr>
      <w:rPr>
        <w:rFonts w:hint="default"/>
      </w:rPr>
    </w:lvl>
    <w:lvl w:ilvl="8">
      <w:start w:val="1"/>
      <w:numFmt w:val="lowerRoman"/>
      <w:lvlText w:val="%9."/>
      <w:lvlJc w:val="right"/>
      <w:pPr>
        <w:tabs>
          <w:tab w:val="num" w:pos="9580"/>
        </w:tabs>
        <w:ind w:left="9580" w:hanging="180"/>
      </w:pPr>
      <w:rPr>
        <w:rFonts w:hint="default"/>
      </w:rPr>
    </w:lvl>
  </w:abstractNum>
  <w:abstractNum w:abstractNumId="17" w15:restartNumberingAfterBreak="0">
    <w:nsid w:val="4580726F"/>
    <w:multiLevelType w:val="hybridMultilevel"/>
    <w:tmpl w:val="BEB0211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460A395D"/>
    <w:multiLevelType w:val="hybridMultilevel"/>
    <w:tmpl w:val="C57CD69A"/>
    <w:lvl w:ilvl="0" w:tplc="0409000F">
      <w:start w:val="1"/>
      <w:numFmt w:val="decimal"/>
      <w:lvlText w:val="%1."/>
      <w:lvlJc w:val="left"/>
      <w:pPr>
        <w:tabs>
          <w:tab w:val="num" w:pos="1440"/>
        </w:tabs>
        <w:ind w:left="1440" w:hanging="360"/>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4A3E00F9"/>
    <w:multiLevelType w:val="hybridMultilevel"/>
    <w:tmpl w:val="61520302"/>
    <w:lvl w:ilvl="0" w:tplc="3BFC7CC4">
      <w:start w:val="1"/>
      <w:numFmt w:val="bullet"/>
      <w:lvlText w:val=""/>
      <w:lvlJc w:val="left"/>
      <w:pPr>
        <w:tabs>
          <w:tab w:val="num" w:pos="1440"/>
        </w:tabs>
        <w:ind w:left="1440" w:hanging="360"/>
      </w:pPr>
      <w:rPr>
        <w:rFonts w:ascii="Symbol" w:hAnsi="Symbol" w:hint="default"/>
      </w:rPr>
    </w:lvl>
    <w:lvl w:ilvl="1" w:tplc="F55C773C">
      <w:start w:val="2"/>
      <w:numFmt w:val="upperLetter"/>
      <w:lvlText w:val="%2."/>
      <w:lvlJc w:val="left"/>
      <w:pPr>
        <w:tabs>
          <w:tab w:val="num" w:pos="2160"/>
        </w:tabs>
        <w:ind w:left="2160" w:hanging="360"/>
      </w:pPr>
      <w:rPr>
        <w:rFonts w:eastAsia="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BD61AF5"/>
    <w:multiLevelType w:val="hybridMultilevel"/>
    <w:tmpl w:val="63EEF9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F95739"/>
    <w:multiLevelType w:val="multilevel"/>
    <w:tmpl w:val="0409001D"/>
    <w:styleLink w:val="Style2"/>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076B45"/>
    <w:multiLevelType w:val="hybridMultilevel"/>
    <w:tmpl w:val="8B081D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0C3735"/>
    <w:multiLevelType w:val="hybridMultilevel"/>
    <w:tmpl w:val="4D18FA9C"/>
    <w:lvl w:ilvl="0" w:tplc="F23EB3C6">
      <w:start w:val="1"/>
      <w:numFmt w:val="bullet"/>
      <w:lvlText w:val=""/>
      <w:lvlJc w:val="left"/>
      <w:pPr>
        <w:tabs>
          <w:tab w:val="num" w:pos="2160"/>
        </w:tabs>
        <w:ind w:left="2160" w:hanging="360"/>
      </w:pPr>
      <w:rPr>
        <w:rFonts w:ascii="Symbol" w:hAnsi="Symbol" w:hint="default"/>
        <w:b w:val="0"/>
        <w:i w:val="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55572F64"/>
    <w:multiLevelType w:val="hybridMultilevel"/>
    <w:tmpl w:val="DF5A05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9E4933"/>
    <w:multiLevelType w:val="hybridMultilevel"/>
    <w:tmpl w:val="01B4AA1C"/>
    <w:lvl w:ilvl="0" w:tplc="92E02F4C">
      <w:start w:val="1"/>
      <w:numFmt w:val="bullet"/>
      <w:lvlText w:val=""/>
      <w:lvlJc w:val="left"/>
      <w:pPr>
        <w:tabs>
          <w:tab w:val="num" w:pos="1440"/>
        </w:tabs>
        <w:ind w:left="1440" w:hanging="360"/>
      </w:pPr>
      <w:rPr>
        <w:rFonts w:ascii="Symbol" w:hAnsi="Symbol" w:hint="default"/>
        <w:b/>
        <w:i w:val="0"/>
        <w:color w:val="auto"/>
        <w:sz w:val="24"/>
      </w:rPr>
    </w:lvl>
    <w:lvl w:ilvl="1" w:tplc="241A473C">
      <w:start w:val="1"/>
      <w:numFmt w:val="upperRoman"/>
      <w:lvlText w:val="%2."/>
      <w:lvlJc w:val="left"/>
      <w:pPr>
        <w:tabs>
          <w:tab w:val="num" w:pos="2520"/>
        </w:tabs>
        <w:ind w:left="2520" w:hanging="360"/>
      </w:pPr>
      <w:rPr>
        <w:rFonts w:hint="default"/>
        <w:b/>
        <w:i w:val="0"/>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8987C95"/>
    <w:multiLevelType w:val="multilevel"/>
    <w:tmpl w:val="0409001D"/>
    <w:styleLink w:val="1ai"/>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344865"/>
    <w:multiLevelType w:val="hybridMultilevel"/>
    <w:tmpl w:val="9C526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A35FA"/>
    <w:multiLevelType w:val="hybridMultilevel"/>
    <w:tmpl w:val="A33486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DD7FA9"/>
    <w:multiLevelType w:val="hybridMultilevel"/>
    <w:tmpl w:val="854AE1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F379F"/>
    <w:multiLevelType w:val="hybridMultilevel"/>
    <w:tmpl w:val="3DDCB592"/>
    <w:lvl w:ilvl="0" w:tplc="91AA99A0">
      <w:start w:val="4"/>
      <w:numFmt w:val="upperRoman"/>
      <w:pStyle w:val="Heading9"/>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5F656238"/>
    <w:multiLevelType w:val="hybridMultilevel"/>
    <w:tmpl w:val="8AC8AF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00C787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79504E8"/>
    <w:multiLevelType w:val="hybridMultilevel"/>
    <w:tmpl w:val="E67CB2CC"/>
    <w:lvl w:ilvl="0" w:tplc="F23EB3C6">
      <w:start w:val="1"/>
      <w:numFmt w:val="bullet"/>
      <w:lvlText w:val=""/>
      <w:lvlJc w:val="left"/>
      <w:pPr>
        <w:tabs>
          <w:tab w:val="num" w:pos="756"/>
        </w:tabs>
        <w:ind w:left="756" w:hanging="360"/>
      </w:pPr>
      <w:rPr>
        <w:rFonts w:ascii="Symbol" w:hAnsi="Symbol" w:hint="default"/>
        <w:b w:val="0"/>
        <w:i w:val="0"/>
      </w:rPr>
    </w:lvl>
    <w:lvl w:ilvl="1" w:tplc="04090019">
      <w:start w:val="1"/>
      <w:numFmt w:val="lowerLetter"/>
      <w:lvlText w:val="%2."/>
      <w:lvlJc w:val="left"/>
      <w:pPr>
        <w:tabs>
          <w:tab w:val="num" w:pos="1476"/>
        </w:tabs>
        <w:ind w:left="1476" w:hanging="360"/>
      </w:pPr>
      <w:rPr>
        <w:rFonts w:hint="default"/>
        <w:b w:val="0"/>
        <w:i w:val="0"/>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34" w15:restartNumberingAfterBreak="0">
    <w:nsid w:val="6B6B3EF6"/>
    <w:multiLevelType w:val="hybridMultilevel"/>
    <w:tmpl w:val="37621A1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BB257E1"/>
    <w:multiLevelType w:val="hybridMultilevel"/>
    <w:tmpl w:val="31D8A83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70BB7DC1"/>
    <w:multiLevelType w:val="hybridMultilevel"/>
    <w:tmpl w:val="5E4887E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73E313CA"/>
    <w:multiLevelType w:val="hybridMultilevel"/>
    <w:tmpl w:val="CA62A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7268CF"/>
    <w:multiLevelType w:val="hybridMultilevel"/>
    <w:tmpl w:val="2722C3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00277"/>
    <w:multiLevelType w:val="hybridMultilevel"/>
    <w:tmpl w:val="75140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6502165"/>
    <w:multiLevelType w:val="hybridMultilevel"/>
    <w:tmpl w:val="DB9A4BA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95B759F"/>
    <w:multiLevelType w:val="hybridMultilevel"/>
    <w:tmpl w:val="5CB85D5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2" w15:restartNumberingAfterBreak="0">
    <w:nsid w:val="7AFC758B"/>
    <w:multiLevelType w:val="multilevel"/>
    <w:tmpl w:val="0409001D"/>
    <w:styleLink w:val="Style1"/>
    <w:lvl w:ilvl="0">
      <w:start w:val="1"/>
      <w:numFmt w:val="upperRoman"/>
      <w:lvlText w:val="%1)"/>
      <w:lvlJc w:val="left"/>
      <w:pPr>
        <w:tabs>
          <w:tab w:val="num" w:pos="360"/>
        </w:tabs>
        <w:ind w:left="360" w:hanging="360"/>
      </w:pPr>
      <w:rPr>
        <w:rFonts w:ascii="Arial" w:hAnsi="Arial"/>
        <w:sz w:val="24"/>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FD4478A"/>
    <w:multiLevelType w:val="hybridMultilevel"/>
    <w:tmpl w:val="70B0B1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2"/>
  </w:num>
  <w:num w:numId="4">
    <w:abstractNumId w:val="32"/>
  </w:num>
  <w:num w:numId="5">
    <w:abstractNumId w:val="26"/>
  </w:num>
  <w:num w:numId="6">
    <w:abstractNumId w:val="21"/>
  </w:num>
  <w:num w:numId="7">
    <w:abstractNumId w:val="3"/>
  </w:num>
  <w:num w:numId="8">
    <w:abstractNumId w:val="16"/>
  </w:num>
  <w:num w:numId="9">
    <w:abstractNumId w:val="27"/>
  </w:num>
  <w:num w:numId="10">
    <w:abstractNumId w:val="24"/>
  </w:num>
  <w:num w:numId="11">
    <w:abstractNumId w:val="25"/>
  </w:num>
  <w:num w:numId="12">
    <w:abstractNumId w:val="23"/>
  </w:num>
  <w:num w:numId="13">
    <w:abstractNumId w:val="10"/>
  </w:num>
  <w:num w:numId="14">
    <w:abstractNumId w:val="33"/>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 w:numId="19">
    <w:abstractNumId w:val="18"/>
  </w:num>
  <w:num w:numId="20">
    <w:abstractNumId w:val="41"/>
  </w:num>
  <w:num w:numId="21">
    <w:abstractNumId w:val="20"/>
  </w:num>
  <w:num w:numId="22">
    <w:abstractNumId w:val="6"/>
  </w:num>
  <w:num w:numId="23">
    <w:abstractNumId w:val="39"/>
  </w:num>
  <w:num w:numId="24">
    <w:abstractNumId w:val="12"/>
  </w:num>
  <w:num w:numId="25">
    <w:abstractNumId w:val="8"/>
  </w:num>
  <w:num w:numId="26">
    <w:abstractNumId w:val="11"/>
  </w:num>
  <w:num w:numId="27">
    <w:abstractNumId w:val="7"/>
  </w:num>
  <w:num w:numId="28">
    <w:abstractNumId w:val="15"/>
  </w:num>
  <w:num w:numId="29">
    <w:abstractNumId w:val="35"/>
  </w:num>
  <w:num w:numId="30">
    <w:abstractNumId w:val="36"/>
  </w:num>
  <w:num w:numId="31">
    <w:abstractNumId w:val="17"/>
  </w:num>
  <w:num w:numId="32">
    <w:abstractNumId w:val="22"/>
  </w:num>
  <w:num w:numId="33">
    <w:abstractNumId w:val="34"/>
  </w:num>
  <w:num w:numId="34">
    <w:abstractNumId w:val="5"/>
  </w:num>
  <w:num w:numId="35">
    <w:abstractNumId w:val="38"/>
  </w:num>
  <w:num w:numId="36">
    <w:abstractNumId w:val="43"/>
  </w:num>
  <w:num w:numId="37">
    <w:abstractNumId w:val="14"/>
  </w:num>
  <w:num w:numId="38">
    <w:abstractNumId w:val="29"/>
  </w:num>
  <w:num w:numId="39">
    <w:abstractNumId w:val="19"/>
  </w:num>
  <w:num w:numId="40">
    <w:abstractNumId w:val="40"/>
  </w:num>
  <w:num w:numId="41">
    <w:abstractNumId w:val="28"/>
  </w:num>
  <w:num w:numId="42">
    <w:abstractNumId w:val="4"/>
  </w:num>
  <w:num w:numId="43">
    <w:abstractNumId w:val="37"/>
  </w:num>
  <w:num w:numId="44">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c0sDA2tzAxMzAzNjBX0lEKTi0uzszPAykwrAUAt6VYVCwAAAA="/>
  </w:docVars>
  <w:rsids>
    <w:rsidRoot w:val="00225334"/>
    <w:rsid w:val="00000B54"/>
    <w:rsid w:val="00001174"/>
    <w:rsid w:val="00001329"/>
    <w:rsid w:val="000018E9"/>
    <w:rsid w:val="00002999"/>
    <w:rsid w:val="00002EF7"/>
    <w:rsid w:val="00003F7A"/>
    <w:rsid w:val="000046F3"/>
    <w:rsid w:val="00005C77"/>
    <w:rsid w:val="000108CD"/>
    <w:rsid w:val="00012479"/>
    <w:rsid w:val="0001259D"/>
    <w:rsid w:val="000125A6"/>
    <w:rsid w:val="00012F73"/>
    <w:rsid w:val="00014D4A"/>
    <w:rsid w:val="00015D9D"/>
    <w:rsid w:val="00016672"/>
    <w:rsid w:val="00016C37"/>
    <w:rsid w:val="00020358"/>
    <w:rsid w:val="00020897"/>
    <w:rsid w:val="00020B0C"/>
    <w:rsid w:val="00022949"/>
    <w:rsid w:val="00022EAC"/>
    <w:rsid w:val="000232FC"/>
    <w:rsid w:val="000237DD"/>
    <w:rsid w:val="00024A54"/>
    <w:rsid w:val="00024E2F"/>
    <w:rsid w:val="00025AC9"/>
    <w:rsid w:val="0003357F"/>
    <w:rsid w:val="00033FAB"/>
    <w:rsid w:val="000343BF"/>
    <w:rsid w:val="00037550"/>
    <w:rsid w:val="00040090"/>
    <w:rsid w:val="00042B48"/>
    <w:rsid w:val="000433A9"/>
    <w:rsid w:val="00043767"/>
    <w:rsid w:val="00044009"/>
    <w:rsid w:val="00044ECF"/>
    <w:rsid w:val="0004506A"/>
    <w:rsid w:val="000456F6"/>
    <w:rsid w:val="00046298"/>
    <w:rsid w:val="0005180C"/>
    <w:rsid w:val="000553A8"/>
    <w:rsid w:val="00057E95"/>
    <w:rsid w:val="00057F22"/>
    <w:rsid w:val="00060149"/>
    <w:rsid w:val="00060F57"/>
    <w:rsid w:val="0006151E"/>
    <w:rsid w:val="00061912"/>
    <w:rsid w:val="000619CF"/>
    <w:rsid w:val="000624CA"/>
    <w:rsid w:val="000631DD"/>
    <w:rsid w:val="000632EC"/>
    <w:rsid w:val="000639FD"/>
    <w:rsid w:val="00063DC4"/>
    <w:rsid w:val="00064D93"/>
    <w:rsid w:val="00065721"/>
    <w:rsid w:val="000660F7"/>
    <w:rsid w:val="00070507"/>
    <w:rsid w:val="0007078E"/>
    <w:rsid w:val="00070D92"/>
    <w:rsid w:val="00076C9D"/>
    <w:rsid w:val="000779B0"/>
    <w:rsid w:val="00082F84"/>
    <w:rsid w:val="00083578"/>
    <w:rsid w:val="00083A2A"/>
    <w:rsid w:val="00084EA3"/>
    <w:rsid w:val="00085139"/>
    <w:rsid w:val="0008642F"/>
    <w:rsid w:val="00086B28"/>
    <w:rsid w:val="00086EA3"/>
    <w:rsid w:val="00087AF5"/>
    <w:rsid w:val="0009158D"/>
    <w:rsid w:val="000935CD"/>
    <w:rsid w:val="00093952"/>
    <w:rsid w:val="00094B96"/>
    <w:rsid w:val="00095527"/>
    <w:rsid w:val="000970B6"/>
    <w:rsid w:val="000A0A99"/>
    <w:rsid w:val="000A1DF8"/>
    <w:rsid w:val="000A4124"/>
    <w:rsid w:val="000A4C66"/>
    <w:rsid w:val="000A556E"/>
    <w:rsid w:val="000A573B"/>
    <w:rsid w:val="000A5F03"/>
    <w:rsid w:val="000A62E4"/>
    <w:rsid w:val="000A6C21"/>
    <w:rsid w:val="000A7425"/>
    <w:rsid w:val="000A7C15"/>
    <w:rsid w:val="000B05D3"/>
    <w:rsid w:val="000B067D"/>
    <w:rsid w:val="000B244C"/>
    <w:rsid w:val="000B449A"/>
    <w:rsid w:val="000B4BD0"/>
    <w:rsid w:val="000B55B1"/>
    <w:rsid w:val="000B6BF8"/>
    <w:rsid w:val="000B6D95"/>
    <w:rsid w:val="000B728E"/>
    <w:rsid w:val="000B7E35"/>
    <w:rsid w:val="000C0280"/>
    <w:rsid w:val="000C0838"/>
    <w:rsid w:val="000C1EB2"/>
    <w:rsid w:val="000C1F77"/>
    <w:rsid w:val="000C3958"/>
    <w:rsid w:val="000C4A25"/>
    <w:rsid w:val="000C663E"/>
    <w:rsid w:val="000C66EC"/>
    <w:rsid w:val="000C6980"/>
    <w:rsid w:val="000C7371"/>
    <w:rsid w:val="000D0D20"/>
    <w:rsid w:val="000D1202"/>
    <w:rsid w:val="000D2A8E"/>
    <w:rsid w:val="000D2D2E"/>
    <w:rsid w:val="000D4AEB"/>
    <w:rsid w:val="000D6990"/>
    <w:rsid w:val="000D6A2E"/>
    <w:rsid w:val="000D6A55"/>
    <w:rsid w:val="000E1474"/>
    <w:rsid w:val="000E3334"/>
    <w:rsid w:val="000E5091"/>
    <w:rsid w:val="000E600E"/>
    <w:rsid w:val="000E6578"/>
    <w:rsid w:val="000E6683"/>
    <w:rsid w:val="000F0DD6"/>
    <w:rsid w:val="000F17AF"/>
    <w:rsid w:val="000F1BB8"/>
    <w:rsid w:val="000F435D"/>
    <w:rsid w:val="000F5D92"/>
    <w:rsid w:val="000F672B"/>
    <w:rsid w:val="000F6BD2"/>
    <w:rsid w:val="000F77A3"/>
    <w:rsid w:val="0010153A"/>
    <w:rsid w:val="00102FFE"/>
    <w:rsid w:val="00104ED8"/>
    <w:rsid w:val="0010532A"/>
    <w:rsid w:val="001105B9"/>
    <w:rsid w:val="00111395"/>
    <w:rsid w:val="0011332F"/>
    <w:rsid w:val="00113372"/>
    <w:rsid w:val="00114CD0"/>
    <w:rsid w:val="00115BF0"/>
    <w:rsid w:val="00116292"/>
    <w:rsid w:val="00116884"/>
    <w:rsid w:val="00116C57"/>
    <w:rsid w:val="00116F1A"/>
    <w:rsid w:val="0011778D"/>
    <w:rsid w:val="00120854"/>
    <w:rsid w:val="0012089C"/>
    <w:rsid w:val="0012173B"/>
    <w:rsid w:val="00124770"/>
    <w:rsid w:val="00124CAC"/>
    <w:rsid w:val="001272FF"/>
    <w:rsid w:val="0013045A"/>
    <w:rsid w:val="00130599"/>
    <w:rsid w:val="0013205E"/>
    <w:rsid w:val="00132275"/>
    <w:rsid w:val="00132E07"/>
    <w:rsid w:val="001346F6"/>
    <w:rsid w:val="00136BE2"/>
    <w:rsid w:val="0013723B"/>
    <w:rsid w:val="00137FDF"/>
    <w:rsid w:val="0014014C"/>
    <w:rsid w:val="00141047"/>
    <w:rsid w:val="00144EE3"/>
    <w:rsid w:val="00145A39"/>
    <w:rsid w:val="001461A0"/>
    <w:rsid w:val="001467AA"/>
    <w:rsid w:val="0014696D"/>
    <w:rsid w:val="00147102"/>
    <w:rsid w:val="0014724D"/>
    <w:rsid w:val="00151884"/>
    <w:rsid w:val="00153316"/>
    <w:rsid w:val="00154152"/>
    <w:rsid w:val="00154CBE"/>
    <w:rsid w:val="00157D8A"/>
    <w:rsid w:val="00160061"/>
    <w:rsid w:val="001601B2"/>
    <w:rsid w:val="00160A1D"/>
    <w:rsid w:val="001619A2"/>
    <w:rsid w:val="00161CB0"/>
    <w:rsid w:val="00162A54"/>
    <w:rsid w:val="001632AF"/>
    <w:rsid w:val="00163C54"/>
    <w:rsid w:val="00164C91"/>
    <w:rsid w:val="00166949"/>
    <w:rsid w:val="00167007"/>
    <w:rsid w:val="00167762"/>
    <w:rsid w:val="00170A67"/>
    <w:rsid w:val="00171C14"/>
    <w:rsid w:val="001748AD"/>
    <w:rsid w:val="00174FD7"/>
    <w:rsid w:val="001756D3"/>
    <w:rsid w:val="00175922"/>
    <w:rsid w:val="00175ADE"/>
    <w:rsid w:val="00180DE9"/>
    <w:rsid w:val="0018154B"/>
    <w:rsid w:val="00182364"/>
    <w:rsid w:val="00182405"/>
    <w:rsid w:val="001824D3"/>
    <w:rsid w:val="00182FA0"/>
    <w:rsid w:val="001845FA"/>
    <w:rsid w:val="001857DA"/>
    <w:rsid w:val="00185A0F"/>
    <w:rsid w:val="00185CDD"/>
    <w:rsid w:val="00185DDD"/>
    <w:rsid w:val="001860B3"/>
    <w:rsid w:val="001865CD"/>
    <w:rsid w:val="00186629"/>
    <w:rsid w:val="00187BD3"/>
    <w:rsid w:val="00187E26"/>
    <w:rsid w:val="00190106"/>
    <w:rsid w:val="001904C8"/>
    <w:rsid w:val="0019134E"/>
    <w:rsid w:val="001914FD"/>
    <w:rsid w:val="00191DE8"/>
    <w:rsid w:val="00193F26"/>
    <w:rsid w:val="00195713"/>
    <w:rsid w:val="001959B9"/>
    <w:rsid w:val="00195B1F"/>
    <w:rsid w:val="0019656E"/>
    <w:rsid w:val="001968A6"/>
    <w:rsid w:val="00196981"/>
    <w:rsid w:val="001A1156"/>
    <w:rsid w:val="001A3E54"/>
    <w:rsid w:val="001A4EA1"/>
    <w:rsid w:val="001A5F5A"/>
    <w:rsid w:val="001A6818"/>
    <w:rsid w:val="001B586E"/>
    <w:rsid w:val="001B7436"/>
    <w:rsid w:val="001C072D"/>
    <w:rsid w:val="001C2263"/>
    <w:rsid w:val="001C2843"/>
    <w:rsid w:val="001C4842"/>
    <w:rsid w:val="001C62B3"/>
    <w:rsid w:val="001C6579"/>
    <w:rsid w:val="001C7B7B"/>
    <w:rsid w:val="001D3066"/>
    <w:rsid w:val="001D5565"/>
    <w:rsid w:val="001D5BE2"/>
    <w:rsid w:val="001D6116"/>
    <w:rsid w:val="001E1697"/>
    <w:rsid w:val="001E1840"/>
    <w:rsid w:val="001E2676"/>
    <w:rsid w:val="001E2A2E"/>
    <w:rsid w:val="001E2BA7"/>
    <w:rsid w:val="001E49BC"/>
    <w:rsid w:val="001E5BF3"/>
    <w:rsid w:val="001E6A9A"/>
    <w:rsid w:val="001E7D5D"/>
    <w:rsid w:val="001F2224"/>
    <w:rsid w:val="001F282A"/>
    <w:rsid w:val="001F2E5F"/>
    <w:rsid w:val="001F5136"/>
    <w:rsid w:val="00201129"/>
    <w:rsid w:val="00201226"/>
    <w:rsid w:val="00201FE3"/>
    <w:rsid w:val="00202655"/>
    <w:rsid w:val="002059E3"/>
    <w:rsid w:val="00206EED"/>
    <w:rsid w:val="00210788"/>
    <w:rsid w:val="00210D11"/>
    <w:rsid w:val="00210F8A"/>
    <w:rsid w:val="00211377"/>
    <w:rsid w:val="00211770"/>
    <w:rsid w:val="00212494"/>
    <w:rsid w:val="0021461F"/>
    <w:rsid w:val="00214768"/>
    <w:rsid w:val="00217708"/>
    <w:rsid w:val="00217D9E"/>
    <w:rsid w:val="0022020E"/>
    <w:rsid w:val="00220712"/>
    <w:rsid w:val="00221542"/>
    <w:rsid w:val="00222BC9"/>
    <w:rsid w:val="00222F12"/>
    <w:rsid w:val="0022501E"/>
    <w:rsid w:val="00225334"/>
    <w:rsid w:val="00230317"/>
    <w:rsid w:val="00230E4D"/>
    <w:rsid w:val="00231EB0"/>
    <w:rsid w:val="00235DC5"/>
    <w:rsid w:val="00236067"/>
    <w:rsid w:val="002368DD"/>
    <w:rsid w:val="00236E0D"/>
    <w:rsid w:val="0023782B"/>
    <w:rsid w:val="00237850"/>
    <w:rsid w:val="00240ED7"/>
    <w:rsid w:val="002416AE"/>
    <w:rsid w:val="00242BC2"/>
    <w:rsid w:val="002439E7"/>
    <w:rsid w:val="002445BA"/>
    <w:rsid w:val="00244834"/>
    <w:rsid w:val="002451DC"/>
    <w:rsid w:val="00245D6E"/>
    <w:rsid w:val="00250C85"/>
    <w:rsid w:val="002519C3"/>
    <w:rsid w:val="00252746"/>
    <w:rsid w:val="00253214"/>
    <w:rsid w:val="00254E87"/>
    <w:rsid w:val="002568C9"/>
    <w:rsid w:val="00256CF5"/>
    <w:rsid w:val="00257120"/>
    <w:rsid w:val="0026050A"/>
    <w:rsid w:val="00261247"/>
    <w:rsid w:val="0026128F"/>
    <w:rsid w:val="00264C75"/>
    <w:rsid w:val="00264CBA"/>
    <w:rsid w:val="002652B8"/>
    <w:rsid w:val="00265626"/>
    <w:rsid w:val="0026584C"/>
    <w:rsid w:val="00267007"/>
    <w:rsid w:val="00267F7F"/>
    <w:rsid w:val="0027285C"/>
    <w:rsid w:val="002733C4"/>
    <w:rsid w:val="00273ED2"/>
    <w:rsid w:val="002753FF"/>
    <w:rsid w:val="002760F0"/>
    <w:rsid w:val="00277275"/>
    <w:rsid w:val="00280C94"/>
    <w:rsid w:val="002821AA"/>
    <w:rsid w:val="00282D4D"/>
    <w:rsid w:val="00283767"/>
    <w:rsid w:val="00283A8E"/>
    <w:rsid w:val="002843A8"/>
    <w:rsid w:val="002857B8"/>
    <w:rsid w:val="002872E4"/>
    <w:rsid w:val="00292EE3"/>
    <w:rsid w:val="0029314B"/>
    <w:rsid w:val="00293801"/>
    <w:rsid w:val="002939DF"/>
    <w:rsid w:val="00293AB0"/>
    <w:rsid w:val="00293DC8"/>
    <w:rsid w:val="00294960"/>
    <w:rsid w:val="0029521C"/>
    <w:rsid w:val="0029529B"/>
    <w:rsid w:val="00295C1E"/>
    <w:rsid w:val="0029602B"/>
    <w:rsid w:val="0029666B"/>
    <w:rsid w:val="00296833"/>
    <w:rsid w:val="002A0E27"/>
    <w:rsid w:val="002A16A7"/>
    <w:rsid w:val="002A1A76"/>
    <w:rsid w:val="002A2FE9"/>
    <w:rsid w:val="002A3901"/>
    <w:rsid w:val="002A52B7"/>
    <w:rsid w:val="002A668D"/>
    <w:rsid w:val="002A7266"/>
    <w:rsid w:val="002A7B9A"/>
    <w:rsid w:val="002A7DE4"/>
    <w:rsid w:val="002B11CE"/>
    <w:rsid w:val="002B1267"/>
    <w:rsid w:val="002B210E"/>
    <w:rsid w:val="002B429A"/>
    <w:rsid w:val="002B676B"/>
    <w:rsid w:val="002B7EEA"/>
    <w:rsid w:val="002C08E9"/>
    <w:rsid w:val="002C3947"/>
    <w:rsid w:val="002C445D"/>
    <w:rsid w:val="002C4A02"/>
    <w:rsid w:val="002C4C8E"/>
    <w:rsid w:val="002C6843"/>
    <w:rsid w:val="002C6A7B"/>
    <w:rsid w:val="002C6BAD"/>
    <w:rsid w:val="002D156A"/>
    <w:rsid w:val="002D4BD5"/>
    <w:rsid w:val="002D6171"/>
    <w:rsid w:val="002D710E"/>
    <w:rsid w:val="002D7DBE"/>
    <w:rsid w:val="002E0A20"/>
    <w:rsid w:val="002E107A"/>
    <w:rsid w:val="002E291D"/>
    <w:rsid w:val="002E2E7E"/>
    <w:rsid w:val="002E7241"/>
    <w:rsid w:val="002E7C18"/>
    <w:rsid w:val="002F2849"/>
    <w:rsid w:val="002F3D74"/>
    <w:rsid w:val="002F5535"/>
    <w:rsid w:val="002F5B2A"/>
    <w:rsid w:val="002F637D"/>
    <w:rsid w:val="002F7A07"/>
    <w:rsid w:val="003011AF"/>
    <w:rsid w:val="0030533E"/>
    <w:rsid w:val="003068A8"/>
    <w:rsid w:val="00306A8A"/>
    <w:rsid w:val="003075BD"/>
    <w:rsid w:val="00310867"/>
    <w:rsid w:val="00312504"/>
    <w:rsid w:val="00317B67"/>
    <w:rsid w:val="00322964"/>
    <w:rsid w:val="00322E2A"/>
    <w:rsid w:val="003231D4"/>
    <w:rsid w:val="00323686"/>
    <w:rsid w:val="00324612"/>
    <w:rsid w:val="00326055"/>
    <w:rsid w:val="0032681E"/>
    <w:rsid w:val="00326BCC"/>
    <w:rsid w:val="0032762C"/>
    <w:rsid w:val="0033175A"/>
    <w:rsid w:val="00331CF1"/>
    <w:rsid w:val="00333E5B"/>
    <w:rsid w:val="00335D87"/>
    <w:rsid w:val="00336D9E"/>
    <w:rsid w:val="00337F98"/>
    <w:rsid w:val="00343163"/>
    <w:rsid w:val="00343A90"/>
    <w:rsid w:val="00343F53"/>
    <w:rsid w:val="00345094"/>
    <w:rsid w:val="00345826"/>
    <w:rsid w:val="00350758"/>
    <w:rsid w:val="00350A46"/>
    <w:rsid w:val="00350DE1"/>
    <w:rsid w:val="0035150C"/>
    <w:rsid w:val="003531D3"/>
    <w:rsid w:val="00353923"/>
    <w:rsid w:val="0035452E"/>
    <w:rsid w:val="00354AFC"/>
    <w:rsid w:val="00355D7C"/>
    <w:rsid w:val="00356395"/>
    <w:rsid w:val="00356564"/>
    <w:rsid w:val="00356702"/>
    <w:rsid w:val="00356A71"/>
    <w:rsid w:val="00356D79"/>
    <w:rsid w:val="003578A5"/>
    <w:rsid w:val="00360173"/>
    <w:rsid w:val="0036071B"/>
    <w:rsid w:val="003609C1"/>
    <w:rsid w:val="00361102"/>
    <w:rsid w:val="0036125E"/>
    <w:rsid w:val="00362E96"/>
    <w:rsid w:val="00363516"/>
    <w:rsid w:val="003640F6"/>
    <w:rsid w:val="003662B4"/>
    <w:rsid w:val="0036776E"/>
    <w:rsid w:val="00370E98"/>
    <w:rsid w:val="00371259"/>
    <w:rsid w:val="003713C5"/>
    <w:rsid w:val="003744AF"/>
    <w:rsid w:val="003749BD"/>
    <w:rsid w:val="003761E1"/>
    <w:rsid w:val="003774EA"/>
    <w:rsid w:val="00377A90"/>
    <w:rsid w:val="003801E4"/>
    <w:rsid w:val="003811F2"/>
    <w:rsid w:val="003818D2"/>
    <w:rsid w:val="00381B68"/>
    <w:rsid w:val="0038207D"/>
    <w:rsid w:val="00382F37"/>
    <w:rsid w:val="00385AD6"/>
    <w:rsid w:val="00385D0D"/>
    <w:rsid w:val="003865D0"/>
    <w:rsid w:val="00387859"/>
    <w:rsid w:val="00390AAD"/>
    <w:rsid w:val="0039758A"/>
    <w:rsid w:val="00397978"/>
    <w:rsid w:val="00397A08"/>
    <w:rsid w:val="00397B4E"/>
    <w:rsid w:val="003A0382"/>
    <w:rsid w:val="003A2604"/>
    <w:rsid w:val="003A2A7A"/>
    <w:rsid w:val="003A4751"/>
    <w:rsid w:val="003A6042"/>
    <w:rsid w:val="003A6F72"/>
    <w:rsid w:val="003A7454"/>
    <w:rsid w:val="003A7848"/>
    <w:rsid w:val="003B070D"/>
    <w:rsid w:val="003B1EF6"/>
    <w:rsid w:val="003B2134"/>
    <w:rsid w:val="003B3DF4"/>
    <w:rsid w:val="003B6358"/>
    <w:rsid w:val="003B7A25"/>
    <w:rsid w:val="003B7A35"/>
    <w:rsid w:val="003C1C89"/>
    <w:rsid w:val="003C26B4"/>
    <w:rsid w:val="003C2BE7"/>
    <w:rsid w:val="003C3716"/>
    <w:rsid w:val="003C386C"/>
    <w:rsid w:val="003C439B"/>
    <w:rsid w:val="003C6711"/>
    <w:rsid w:val="003D1777"/>
    <w:rsid w:val="003D1EBD"/>
    <w:rsid w:val="003D413A"/>
    <w:rsid w:val="003D4487"/>
    <w:rsid w:val="003D4D56"/>
    <w:rsid w:val="003D58A8"/>
    <w:rsid w:val="003D6355"/>
    <w:rsid w:val="003D7BB3"/>
    <w:rsid w:val="003E375C"/>
    <w:rsid w:val="003E4C52"/>
    <w:rsid w:val="003E5EF9"/>
    <w:rsid w:val="003E61B2"/>
    <w:rsid w:val="003E6CE9"/>
    <w:rsid w:val="003E70E0"/>
    <w:rsid w:val="003E7389"/>
    <w:rsid w:val="003F04EA"/>
    <w:rsid w:val="003F13E4"/>
    <w:rsid w:val="003F2486"/>
    <w:rsid w:val="003F26F5"/>
    <w:rsid w:val="003F378F"/>
    <w:rsid w:val="003F5500"/>
    <w:rsid w:val="003F6C55"/>
    <w:rsid w:val="003F792C"/>
    <w:rsid w:val="00400C3F"/>
    <w:rsid w:val="00402043"/>
    <w:rsid w:val="004039DA"/>
    <w:rsid w:val="00403ACB"/>
    <w:rsid w:val="00406BFD"/>
    <w:rsid w:val="0041027B"/>
    <w:rsid w:val="00411F51"/>
    <w:rsid w:val="0041281E"/>
    <w:rsid w:val="00413C7F"/>
    <w:rsid w:val="004219DB"/>
    <w:rsid w:val="00422029"/>
    <w:rsid w:val="00424E3C"/>
    <w:rsid w:val="004254F4"/>
    <w:rsid w:val="00425A91"/>
    <w:rsid w:val="0042675A"/>
    <w:rsid w:val="004275B5"/>
    <w:rsid w:val="004305F5"/>
    <w:rsid w:val="0043073D"/>
    <w:rsid w:val="004310F5"/>
    <w:rsid w:val="00431D82"/>
    <w:rsid w:val="00433618"/>
    <w:rsid w:val="00433C3E"/>
    <w:rsid w:val="0043559A"/>
    <w:rsid w:val="004372B8"/>
    <w:rsid w:val="004376FE"/>
    <w:rsid w:val="00437CEC"/>
    <w:rsid w:val="004425C4"/>
    <w:rsid w:val="00443100"/>
    <w:rsid w:val="00443745"/>
    <w:rsid w:val="00444035"/>
    <w:rsid w:val="004444BE"/>
    <w:rsid w:val="00444864"/>
    <w:rsid w:val="00445A37"/>
    <w:rsid w:val="00445E50"/>
    <w:rsid w:val="00447062"/>
    <w:rsid w:val="00447EC5"/>
    <w:rsid w:val="00452743"/>
    <w:rsid w:val="00452777"/>
    <w:rsid w:val="00452796"/>
    <w:rsid w:val="004541A6"/>
    <w:rsid w:val="0045477D"/>
    <w:rsid w:val="00454A06"/>
    <w:rsid w:val="004557B1"/>
    <w:rsid w:val="00455910"/>
    <w:rsid w:val="00463663"/>
    <w:rsid w:val="004639DA"/>
    <w:rsid w:val="00463D92"/>
    <w:rsid w:val="004670B1"/>
    <w:rsid w:val="00467AAD"/>
    <w:rsid w:val="00467C18"/>
    <w:rsid w:val="00470820"/>
    <w:rsid w:val="00470E42"/>
    <w:rsid w:val="0047236B"/>
    <w:rsid w:val="004725F7"/>
    <w:rsid w:val="00473E9B"/>
    <w:rsid w:val="004757B2"/>
    <w:rsid w:val="00476B52"/>
    <w:rsid w:val="00476E3D"/>
    <w:rsid w:val="004835AA"/>
    <w:rsid w:val="00485320"/>
    <w:rsid w:val="00491969"/>
    <w:rsid w:val="004930ED"/>
    <w:rsid w:val="00493546"/>
    <w:rsid w:val="00496A6B"/>
    <w:rsid w:val="00497976"/>
    <w:rsid w:val="004A2689"/>
    <w:rsid w:val="004A2DDD"/>
    <w:rsid w:val="004A2DE4"/>
    <w:rsid w:val="004A4420"/>
    <w:rsid w:val="004A46C7"/>
    <w:rsid w:val="004A555B"/>
    <w:rsid w:val="004A6E61"/>
    <w:rsid w:val="004A7462"/>
    <w:rsid w:val="004A7A2D"/>
    <w:rsid w:val="004B07A4"/>
    <w:rsid w:val="004B0808"/>
    <w:rsid w:val="004B119F"/>
    <w:rsid w:val="004B1F5F"/>
    <w:rsid w:val="004B25C0"/>
    <w:rsid w:val="004B3918"/>
    <w:rsid w:val="004B450A"/>
    <w:rsid w:val="004B542B"/>
    <w:rsid w:val="004B671E"/>
    <w:rsid w:val="004B74C5"/>
    <w:rsid w:val="004C0E62"/>
    <w:rsid w:val="004C1D8F"/>
    <w:rsid w:val="004C29D6"/>
    <w:rsid w:val="004C32A7"/>
    <w:rsid w:val="004C3755"/>
    <w:rsid w:val="004C4BB0"/>
    <w:rsid w:val="004C65CB"/>
    <w:rsid w:val="004C6A2D"/>
    <w:rsid w:val="004C6CF5"/>
    <w:rsid w:val="004C778F"/>
    <w:rsid w:val="004C7960"/>
    <w:rsid w:val="004D15AA"/>
    <w:rsid w:val="004D190E"/>
    <w:rsid w:val="004D260B"/>
    <w:rsid w:val="004D369C"/>
    <w:rsid w:val="004D4808"/>
    <w:rsid w:val="004D4DCA"/>
    <w:rsid w:val="004D4E5F"/>
    <w:rsid w:val="004D574D"/>
    <w:rsid w:val="004D5C04"/>
    <w:rsid w:val="004D6724"/>
    <w:rsid w:val="004E1E6A"/>
    <w:rsid w:val="004E24E7"/>
    <w:rsid w:val="004E2A9D"/>
    <w:rsid w:val="004E312B"/>
    <w:rsid w:val="004E4F86"/>
    <w:rsid w:val="004E5100"/>
    <w:rsid w:val="004E5245"/>
    <w:rsid w:val="004F080B"/>
    <w:rsid w:val="004F0E92"/>
    <w:rsid w:val="004F1168"/>
    <w:rsid w:val="004F2A6B"/>
    <w:rsid w:val="004F5ABC"/>
    <w:rsid w:val="004F6547"/>
    <w:rsid w:val="004F716E"/>
    <w:rsid w:val="00500135"/>
    <w:rsid w:val="005005EF"/>
    <w:rsid w:val="0050072E"/>
    <w:rsid w:val="005015E5"/>
    <w:rsid w:val="00502851"/>
    <w:rsid w:val="00502F3F"/>
    <w:rsid w:val="00503A2F"/>
    <w:rsid w:val="005047C0"/>
    <w:rsid w:val="00504CDD"/>
    <w:rsid w:val="005058D2"/>
    <w:rsid w:val="005060AB"/>
    <w:rsid w:val="00506C29"/>
    <w:rsid w:val="0050754F"/>
    <w:rsid w:val="00507F44"/>
    <w:rsid w:val="00511CDF"/>
    <w:rsid w:val="00514AE0"/>
    <w:rsid w:val="00514EF9"/>
    <w:rsid w:val="00515CAA"/>
    <w:rsid w:val="00516AC2"/>
    <w:rsid w:val="0051703D"/>
    <w:rsid w:val="00520C6A"/>
    <w:rsid w:val="00521F4E"/>
    <w:rsid w:val="0052248D"/>
    <w:rsid w:val="0052399A"/>
    <w:rsid w:val="00524613"/>
    <w:rsid w:val="0052486A"/>
    <w:rsid w:val="00525100"/>
    <w:rsid w:val="005278F4"/>
    <w:rsid w:val="00527C16"/>
    <w:rsid w:val="0053065D"/>
    <w:rsid w:val="00530C93"/>
    <w:rsid w:val="00530FCE"/>
    <w:rsid w:val="00535855"/>
    <w:rsid w:val="00537CD1"/>
    <w:rsid w:val="005408E3"/>
    <w:rsid w:val="00542AAE"/>
    <w:rsid w:val="0054461F"/>
    <w:rsid w:val="005458A0"/>
    <w:rsid w:val="00546293"/>
    <w:rsid w:val="00552178"/>
    <w:rsid w:val="005545AD"/>
    <w:rsid w:val="00554A8F"/>
    <w:rsid w:val="00554B92"/>
    <w:rsid w:val="00554D65"/>
    <w:rsid w:val="00557EF0"/>
    <w:rsid w:val="005600F4"/>
    <w:rsid w:val="00560331"/>
    <w:rsid w:val="00562484"/>
    <w:rsid w:val="00562C98"/>
    <w:rsid w:val="00562FB3"/>
    <w:rsid w:val="00563977"/>
    <w:rsid w:val="005639D7"/>
    <w:rsid w:val="00563F59"/>
    <w:rsid w:val="00564068"/>
    <w:rsid w:val="00564572"/>
    <w:rsid w:val="005648C1"/>
    <w:rsid w:val="00564E81"/>
    <w:rsid w:val="00565080"/>
    <w:rsid w:val="00565DC2"/>
    <w:rsid w:val="00566602"/>
    <w:rsid w:val="0056740C"/>
    <w:rsid w:val="00567964"/>
    <w:rsid w:val="00567AA7"/>
    <w:rsid w:val="00567AAE"/>
    <w:rsid w:val="00567C9F"/>
    <w:rsid w:val="00570DD2"/>
    <w:rsid w:val="005721B6"/>
    <w:rsid w:val="0057262B"/>
    <w:rsid w:val="00573A70"/>
    <w:rsid w:val="005745C1"/>
    <w:rsid w:val="005745D6"/>
    <w:rsid w:val="005768B0"/>
    <w:rsid w:val="00577CF0"/>
    <w:rsid w:val="00580C6A"/>
    <w:rsid w:val="0058108F"/>
    <w:rsid w:val="00582B4B"/>
    <w:rsid w:val="00584024"/>
    <w:rsid w:val="005840B9"/>
    <w:rsid w:val="00585068"/>
    <w:rsid w:val="00585A7A"/>
    <w:rsid w:val="00586A39"/>
    <w:rsid w:val="00587CE2"/>
    <w:rsid w:val="00590112"/>
    <w:rsid w:val="00591165"/>
    <w:rsid w:val="005913A4"/>
    <w:rsid w:val="00592568"/>
    <w:rsid w:val="00593EF8"/>
    <w:rsid w:val="00594273"/>
    <w:rsid w:val="00594866"/>
    <w:rsid w:val="00595D88"/>
    <w:rsid w:val="00596963"/>
    <w:rsid w:val="0059711E"/>
    <w:rsid w:val="005A0A4B"/>
    <w:rsid w:val="005A0C40"/>
    <w:rsid w:val="005A13A8"/>
    <w:rsid w:val="005A3B6E"/>
    <w:rsid w:val="005A510A"/>
    <w:rsid w:val="005A65BF"/>
    <w:rsid w:val="005A68F4"/>
    <w:rsid w:val="005A6BD2"/>
    <w:rsid w:val="005A6C73"/>
    <w:rsid w:val="005A6FCD"/>
    <w:rsid w:val="005B383F"/>
    <w:rsid w:val="005B3FB5"/>
    <w:rsid w:val="005B539B"/>
    <w:rsid w:val="005B56CE"/>
    <w:rsid w:val="005B5787"/>
    <w:rsid w:val="005B70B1"/>
    <w:rsid w:val="005C0E2E"/>
    <w:rsid w:val="005C2FCB"/>
    <w:rsid w:val="005C30F6"/>
    <w:rsid w:val="005C3E0A"/>
    <w:rsid w:val="005C4202"/>
    <w:rsid w:val="005C4363"/>
    <w:rsid w:val="005C443B"/>
    <w:rsid w:val="005C6421"/>
    <w:rsid w:val="005C6EF1"/>
    <w:rsid w:val="005C73CE"/>
    <w:rsid w:val="005C7D72"/>
    <w:rsid w:val="005C7F27"/>
    <w:rsid w:val="005D199B"/>
    <w:rsid w:val="005D1CC7"/>
    <w:rsid w:val="005D46D7"/>
    <w:rsid w:val="005D67C0"/>
    <w:rsid w:val="005D6DC0"/>
    <w:rsid w:val="005E0893"/>
    <w:rsid w:val="005E0BB1"/>
    <w:rsid w:val="005E237A"/>
    <w:rsid w:val="005E2D54"/>
    <w:rsid w:val="005E2EC6"/>
    <w:rsid w:val="005E2FB5"/>
    <w:rsid w:val="005E428A"/>
    <w:rsid w:val="005E4B6F"/>
    <w:rsid w:val="005E5A9A"/>
    <w:rsid w:val="005E5FE7"/>
    <w:rsid w:val="005E6004"/>
    <w:rsid w:val="005E6AD6"/>
    <w:rsid w:val="005E7990"/>
    <w:rsid w:val="005F0E61"/>
    <w:rsid w:val="005F1875"/>
    <w:rsid w:val="005F4A78"/>
    <w:rsid w:val="005F5948"/>
    <w:rsid w:val="005F66CE"/>
    <w:rsid w:val="005F7B3C"/>
    <w:rsid w:val="00600917"/>
    <w:rsid w:val="0060188C"/>
    <w:rsid w:val="006028C6"/>
    <w:rsid w:val="00604CEA"/>
    <w:rsid w:val="00605E82"/>
    <w:rsid w:val="00606FED"/>
    <w:rsid w:val="0060700F"/>
    <w:rsid w:val="0060761A"/>
    <w:rsid w:val="0061109F"/>
    <w:rsid w:val="006110D1"/>
    <w:rsid w:val="006119F6"/>
    <w:rsid w:val="00614592"/>
    <w:rsid w:val="00614E8A"/>
    <w:rsid w:val="006153F0"/>
    <w:rsid w:val="0061695D"/>
    <w:rsid w:val="006219EA"/>
    <w:rsid w:val="00621A8A"/>
    <w:rsid w:val="006223C8"/>
    <w:rsid w:val="00622AB9"/>
    <w:rsid w:val="00622D02"/>
    <w:rsid w:val="006261C5"/>
    <w:rsid w:val="00631283"/>
    <w:rsid w:val="00631628"/>
    <w:rsid w:val="00634167"/>
    <w:rsid w:val="006350ED"/>
    <w:rsid w:val="00635D68"/>
    <w:rsid w:val="006370F2"/>
    <w:rsid w:val="00637299"/>
    <w:rsid w:val="006372E3"/>
    <w:rsid w:val="0063733A"/>
    <w:rsid w:val="00640580"/>
    <w:rsid w:val="00641FBE"/>
    <w:rsid w:val="006424E4"/>
    <w:rsid w:val="006427FA"/>
    <w:rsid w:val="00643385"/>
    <w:rsid w:val="006435B8"/>
    <w:rsid w:val="00645575"/>
    <w:rsid w:val="0064663B"/>
    <w:rsid w:val="0064687A"/>
    <w:rsid w:val="00646EC2"/>
    <w:rsid w:val="006470DC"/>
    <w:rsid w:val="00647169"/>
    <w:rsid w:val="006471F5"/>
    <w:rsid w:val="00647379"/>
    <w:rsid w:val="0064786D"/>
    <w:rsid w:val="00650795"/>
    <w:rsid w:val="00650C2B"/>
    <w:rsid w:val="00650C64"/>
    <w:rsid w:val="00651C82"/>
    <w:rsid w:val="006521D8"/>
    <w:rsid w:val="00652865"/>
    <w:rsid w:val="00652B6D"/>
    <w:rsid w:val="00654964"/>
    <w:rsid w:val="00655F2A"/>
    <w:rsid w:val="006561F0"/>
    <w:rsid w:val="006568D9"/>
    <w:rsid w:val="00656E8C"/>
    <w:rsid w:val="00656FD8"/>
    <w:rsid w:val="0066025A"/>
    <w:rsid w:val="00661EC3"/>
    <w:rsid w:val="0066368F"/>
    <w:rsid w:val="0066395C"/>
    <w:rsid w:val="0066469B"/>
    <w:rsid w:val="00665FBB"/>
    <w:rsid w:val="0066636B"/>
    <w:rsid w:val="00667B8F"/>
    <w:rsid w:val="00667D50"/>
    <w:rsid w:val="0067009C"/>
    <w:rsid w:val="006701EF"/>
    <w:rsid w:val="006707E3"/>
    <w:rsid w:val="0067190E"/>
    <w:rsid w:val="00671F09"/>
    <w:rsid w:val="00673C3F"/>
    <w:rsid w:val="00674933"/>
    <w:rsid w:val="00676F6D"/>
    <w:rsid w:val="0067708B"/>
    <w:rsid w:val="00677730"/>
    <w:rsid w:val="00677C76"/>
    <w:rsid w:val="0068325F"/>
    <w:rsid w:val="00684FD4"/>
    <w:rsid w:val="00685A11"/>
    <w:rsid w:val="006860B8"/>
    <w:rsid w:val="006869FD"/>
    <w:rsid w:val="00687C1F"/>
    <w:rsid w:val="00692378"/>
    <w:rsid w:val="006926A3"/>
    <w:rsid w:val="00692EF0"/>
    <w:rsid w:val="00694E1A"/>
    <w:rsid w:val="0069528F"/>
    <w:rsid w:val="006955B6"/>
    <w:rsid w:val="00696A06"/>
    <w:rsid w:val="00697D92"/>
    <w:rsid w:val="006A1774"/>
    <w:rsid w:val="006A17D1"/>
    <w:rsid w:val="006A1AF4"/>
    <w:rsid w:val="006A1E09"/>
    <w:rsid w:val="006A2092"/>
    <w:rsid w:val="006A38A0"/>
    <w:rsid w:val="006A7A29"/>
    <w:rsid w:val="006B09A1"/>
    <w:rsid w:val="006B4AC8"/>
    <w:rsid w:val="006B4C55"/>
    <w:rsid w:val="006B53EE"/>
    <w:rsid w:val="006B638B"/>
    <w:rsid w:val="006B6933"/>
    <w:rsid w:val="006B6DA0"/>
    <w:rsid w:val="006C082A"/>
    <w:rsid w:val="006C16C9"/>
    <w:rsid w:val="006C18F2"/>
    <w:rsid w:val="006C20B7"/>
    <w:rsid w:val="006C21CA"/>
    <w:rsid w:val="006C302F"/>
    <w:rsid w:val="006C3BDA"/>
    <w:rsid w:val="006C41CE"/>
    <w:rsid w:val="006C4250"/>
    <w:rsid w:val="006C7249"/>
    <w:rsid w:val="006C7945"/>
    <w:rsid w:val="006D1B58"/>
    <w:rsid w:val="006D3DF0"/>
    <w:rsid w:val="006D4ACC"/>
    <w:rsid w:val="006D6464"/>
    <w:rsid w:val="006D66AF"/>
    <w:rsid w:val="006D6B05"/>
    <w:rsid w:val="006E494B"/>
    <w:rsid w:val="006E6AA6"/>
    <w:rsid w:val="006E7084"/>
    <w:rsid w:val="006E7AAE"/>
    <w:rsid w:val="006F0577"/>
    <w:rsid w:val="006F064A"/>
    <w:rsid w:val="006F2021"/>
    <w:rsid w:val="006F20A2"/>
    <w:rsid w:val="006F2418"/>
    <w:rsid w:val="006F34AB"/>
    <w:rsid w:val="006F3BB1"/>
    <w:rsid w:val="006F3DC7"/>
    <w:rsid w:val="006F4335"/>
    <w:rsid w:val="006F53DB"/>
    <w:rsid w:val="006F5B1C"/>
    <w:rsid w:val="006F5DC2"/>
    <w:rsid w:val="00700B06"/>
    <w:rsid w:val="00700BB4"/>
    <w:rsid w:val="0070403C"/>
    <w:rsid w:val="00705174"/>
    <w:rsid w:val="00706247"/>
    <w:rsid w:val="007069CD"/>
    <w:rsid w:val="00707495"/>
    <w:rsid w:val="007107AC"/>
    <w:rsid w:val="0071286F"/>
    <w:rsid w:val="007128EC"/>
    <w:rsid w:val="00713359"/>
    <w:rsid w:val="00714840"/>
    <w:rsid w:val="007157DF"/>
    <w:rsid w:val="00717A66"/>
    <w:rsid w:val="00720560"/>
    <w:rsid w:val="00721192"/>
    <w:rsid w:val="00721386"/>
    <w:rsid w:val="00723E71"/>
    <w:rsid w:val="00725291"/>
    <w:rsid w:val="007252D7"/>
    <w:rsid w:val="0072634B"/>
    <w:rsid w:val="007269D8"/>
    <w:rsid w:val="0072752C"/>
    <w:rsid w:val="00727A28"/>
    <w:rsid w:val="00732AD8"/>
    <w:rsid w:val="00732EFE"/>
    <w:rsid w:val="00733DC7"/>
    <w:rsid w:val="00734ACC"/>
    <w:rsid w:val="00735670"/>
    <w:rsid w:val="007418BD"/>
    <w:rsid w:val="00741A2D"/>
    <w:rsid w:val="00741DDD"/>
    <w:rsid w:val="007421FE"/>
    <w:rsid w:val="0074319A"/>
    <w:rsid w:val="00743351"/>
    <w:rsid w:val="007440BF"/>
    <w:rsid w:val="00745124"/>
    <w:rsid w:val="00746199"/>
    <w:rsid w:val="007466D7"/>
    <w:rsid w:val="00746EB9"/>
    <w:rsid w:val="00747621"/>
    <w:rsid w:val="00747EBB"/>
    <w:rsid w:val="00750474"/>
    <w:rsid w:val="0075083E"/>
    <w:rsid w:val="00752EFE"/>
    <w:rsid w:val="0075306C"/>
    <w:rsid w:val="00753298"/>
    <w:rsid w:val="00754715"/>
    <w:rsid w:val="00757F65"/>
    <w:rsid w:val="007616DB"/>
    <w:rsid w:val="00761C43"/>
    <w:rsid w:val="00761E48"/>
    <w:rsid w:val="00762F20"/>
    <w:rsid w:val="007644A6"/>
    <w:rsid w:val="00764FC8"/>
    <w:rsid w:val="00766302"/>
    <w:rsid w:val="00766778"/>
    <w:rsid w:val="00766B98"/>
    <w:rsid w:val="00767AE8"/>
    <w:rsid w:val="007705B8"/>
    <w:rsid w:val="007709DC"/>
    <w:rsid w:val="00770BB1"/>
    <w:rsid w:val="00770F1E"/>
    <w:rsid w:val="0077100B"/>
    <w:rsid w:val="00772BFA"/>
    <w:rsid w:val="00773E21"/>
    <w:rsid w:val="0077465A"/>
    <w:rsid w:val="00775322"/>
    <w:rsid w:val="007765F4"/>
    <w:rsid w:val="00776FC3"/>
    <w:rsid w:val="00781D2F"/>
    <w:rsid w:val="00782A14"/>
    <w:rsid w:val="00783B3A"/>
    <w:rsid w:val="00784F91"/>
    <w:rsid w:val="00786079"/>
    <w:rsid w:val="00786649"/>
    <w:rsid w:val="00786C2A"/>
    <w:rsid w:val="007873E8"/>
    <w:rsid w:val="00787B12"/>
    <w:rsid w:val="00787D44"/>
    <w:rsid w:val="00792101"/>
    <w:rsid w:val="007922D7"/>
    <w:rsid w:val="00792527"/>
    <w:rsid w:val="00793235"/>
    <w:rsid w:val="00794164"/>
    <w:rsid w:val="00794C5B"/>
    <w:rsid w:val="00794C73"/>
    <w:rsid w:val="00795FE6"/>
    <w:rsid w:val="00796302"/>
    <w:rsid w:val="00796A71"/>
    <w:rsid w:val="00797885"/>
    <w:rsid w:val="00797AF7"/>
    <w:rsid w:val="00797D91"/>
    <w:rsid w:val="007A095F"/>
    <w:rsid w:val="007A20D4"/>
    <w:rsid w:val="007A3233"/>
    <w:rsid w:val="007A5728"/>
    <w:rsid w:val="007A5A6C"/>
    <w:rsid w:val="007A6488"/>
    <w:rsid w:val="007A6819"/>
    <w:rsid w:val="007A757E"/>
    <w:rsid w:val="007A763E"/>
    <w:rsid w:val="007A7F2C"/>
    <w:rsid w:val="007B003E"/>
    <w:rsid w:val="007B04D6"/>
    <w:rsid w:val="007B1AD5"/>
    <w:rsid w:val="007B20E2"/>
    <w:rsid w:val="007B419B"/>
    <w:rsid w:val="007B48AD"/>
    <w:rsid w:val="007B50B4"/>
    <w:rsid w:val="007B5F76"/>
    <w:rsid w:val="007B7E00"/>
    <w:rsid w:val="007C073A"/>
    <w:rsid w:val="007C0E85"/>
    <w:rsid w:val="007C189A"/>
    <w:rsid w:val="007C3DDE"/>
    <w:rsid w:val="007C64CB"/>
    <w:rsid w:val="007C6BC4"/>
    <w:rsid w:val="007C7691"/>
    <w:rsid w:val="007C7FE5"/>
    <w:rsid w:val="007D0B1D"/>
    <w:rsid w:val="007D274E"/>
    <w:rsid w:val="007D2AEC"/>
    <w:rsid w:val="007D64BF"/>
    <w:rsid w:val="007D6F3A"/>
    <w:rsid w:val="007D7274"/>
    <w:rsid w:val="007D744B"/>
    <w:rsid w:val="007D7663"/>
    <w:rsid w:val="007E0990"/>
    <w:rsid w:val="007E0E44"/>
    <w:rsid w:val="007E0F02"/>
    <w:rsid w:val="007E2160"/>
    <w:rsid w:val="007E2876"/>
    <w:rsid w:val="007E3B4C"/>
    <w:rsid w:val="007E3D08"/>
    <w:rsid w:val="007E5603"/>
    <w:rsid w:val="007E6E8C"/>
    <w:rsid w:val="007F0522"/>
    <w:rsid w:val="007F144C"/>
    <w:rsid w:val="007F25F0"/>
    <w:rsid w:val="007F43A5"/>
    <w:rsid w:val="007F4434"/>
    <w:rsid w:val="008015BB"/>
    <w:rsid w:val="00802423"/>
    <w:rsid w:val="00802844"/>
    <w:rsid w:val="008039ED"/>
    <w:rsid w:val="0080597C"/>
    <w:rsid w:val="00807019"/>
    <w:rsid w:val="00810597"/>
    <w:rsid w:val="0081059C"/>
    <w:rsid w:val="00810710"/>
    <w:rsid w:val="00813BA3"/>
    <w:rsid w:val="00813D33"/>
    <w:rsid w:val="00814736"/>
    <w:rsid w:val="008147C7"/>
    <w:rsid w:val="00815277"/>
    <w:rsid w:val="008157F0"/>
    <w:rsid w:val="008168C0"/>
    <w:rsid w:val="008169BE"/>
    <w:rsid w:val="0081703B"/>
    <w:rsid w:val="00817060"/>
    <w:rsid w:val="0081711D"/>
    <w:rsid w:val="00817370"/>
    <w:rsid w:val="008177F5"/>
    <w:rsid w:val="00817BFC"/>
    <w:rsid w:val="0082006B"/>
    <w:rsid w:val="00821F50"/>
    <w:rsid w:val="008222BD"/>
    <w:rsid w:val="0082247F"/>
    <w:rsid w:val="00822677"/>
    <w:rsid w:val="00822F6D"/>
    <w:rsid w:val="008240E6"/>
    <w:rsid w:val="00824F6A"/>
    <w:rsid w:val="00825AB0"/>
    <w:rsid w:val="00825C04"/>
    <w:rsid w:val="00825C09"/>
    <w:rsid w:val="00826527"/>
    <w:rsid w:val="00826FDE"/>
    <w:rsid w:val="00827255"/>
    <w:rsid w:val="00827D04"/>
    <w:rsid w:val="00827F34"/>
    <w:rsid w:val="0083232A"/>
    <w:rsid w:val="00834250"/>
    <w:rsid w:val="00836996"/>
    <w:rsid w:val="008370B0"/>
    <w:rsid w:val="008371B7"/>
    <w:rsid w:val="0083725A"/>
    <w:rsid w:val="00840A4A"/>
    <w:rsid w:val="008413D6"/>
    <w:rsid w:val="0084213A"/>
    <w:rsid w:val="00846388"/>
    <w:rsid w:val="008527CC"/>
    <w:rsid w:val="00852A82"/>
    <w:rsid w:val="00852BDA"/>
    <w:rsid w:val="00852C69"/>
    <w:rsid w:val="00853758"/>
    <w:rsid w:val="00854D4D"/>
    <w:rsid w:val="0086018D"/>
    <w:rsid w:val="008624AD"/>
    <w:rsid w:val="008626B2"/>
    <w:rsid w:val="008631D7"/>
    <w:rsid w:val="0086451C"/>
    <w:rsid w:val="008649A2"/>
    <w:rsid w:val="00865032"/>
    <w:rsid w:val="00865B3A"/>
    <w:rsid w:val="00866653"/>
    <w:rsid w:val="00870A92"/>
    <w:rsid w:val="00874939"/>
    <w:rsid w:val="008758DC"/>
    <w:rsid w:val="00877D01"/>
    <w:rsid w:val="00877DAC"/>
    <w:rsid w:val="00880DA3"/>
    <w:rsid w:val="00880DAA"/>
    <w:rsid w:val="00880E65"/>
    <w:rsid w:val="008820D8"/>
    <w:rsid w:val="00882DE1"/>
    <w:rsid w:val="00883019"/>
    <w:rsid w:val="00884412"/>
    <w:rsid w:val="008845E7"/>
    <w:rsid w:val="0088525A"/>
    <w:rsid w:val="00885794"/>
    <w:rsid w:val="00885DB3"/>
    <w:rsid w:val="00885E59"/>
    <w:rsid w:val="00886ACA"/>
    <w:rsid w:val="00887626"/>
    <w:rsid w:val="008923D3"/>
    <w:rsid w:val="008940E5"/>
    <w:rsid w:val="00894CD6"/>
    <w:rsid w:val="00894E1A"/>
    <w:rsid w:val="0089508F"/>
    <w:rsid w:val="00895C9C"/>
    <w:rsid w:val="00896224"/>
    <w:rsid w:val="00897780"/>
    <w:rsid w:val="008A1A65"/>
    <w:rsid w:val="008A2B6D"/>
    <w:rsid w:val="008A2EEC"/>
    <w:rsid w:val="008A49BA"/>
    <w:rsid w:val="008A4E93"/>
    <w:rsid w:val="008A5349"/>
    <w:rsid w:val="008A6B53"/>
    <w:rsid w:val="008A6E83"/>
    <w:rsid w:val="008A7735"/>
    <w:rsid w:val="008A7EFD"/>
    <w:rsid w:val="008B003F"/>
    <w:rsid w:val="008B0C58"/>
    <w:rsid w:val="008B0E41"/>
    <w:rsid w:val="008B1A59"/>
    <w:rsid w:val="008B2229"/>
    <w:rsid w:val="008B29FC"/>
    <w:rsid w:val="008B31FC"/>
    <w:rsid w:val="008B38C6"/>
    <w:rsid w:val="008B3CEB"/>
    <w:rsid w:val="008B4536"/>
    <w:rsid w:val="008B4D5B"/>
    <w:rsid w:val="008B590D"/>
    <w:rsid w:val="008B59BB"/>
    <w:rsid w:val="008B6408"/>
    <w:rsid w:val="008B68F3"/>
    <w:rsid w:val="008B7C6D"/>
    <w:rsid w:val="008C0669"/>
    <w:rsid w:val="008C1823"/>
    <w:rsid w:val="008C3776"/>
    <w:rsid w:val="008C4486"/>
    <w:rsid w:val="008C4E64"/>
    <w:rsid w:val="008C502D"/>
    <w:rsid w:val="008C5414"/>
    <w:rsid w:val="008C605E"/>
    <w:rsid w:val="008C7101"/>
    <w:rsid w:val="008D01A7"/>
    <w:rsid w:val="008D1A35"/>
    <w:rsid w:val="008D2643"/>
    <w:rsid w:val="008D65AA"/>
    <w:rsid w:val="008D7F3B"/>
    <w:rsid w:val="008E1753"/>
    <w:rsid w:val="008E231E"/>
    <w:rsid w:val="008E39FD"/>
    <w:rsid w:val="008E4533"/>
    <w:rsid w:val="008E5CA8"/>
    <w:rsid w:val="008E663F"/>
    <w:rsid w:val="008E6F1B"/>
    <w:rsid w:val="008E7280"/>
    <w:rsid w:val="008F222F"/>
    <w:rsid w:val="008F22E9"/>
    <w:rsid w:val="008F38C0"/>
    <w:rsid w:val="00901A22"/>
    <w:rsid w:val="00902C5B"/>
    <w:rsid w:val="009044B5"/>
    <w:rsid w:val="00904C17"/>
    <w:rsid w:val="0090681B"/>
    <w:rsid w:val="00906A83"/>
    <w:rsid w:val="00906DD6"/>
    <w:rsid w:val="009072D7"/>
    <w:rsid w:val="00907C01"/>
    <w:rsid w:val="00910514"/>
    <w:rsid w:val="00912CCA"/>
    <w:rsid w:val="00913383"/>
    <w:rsid w:val="00914FB0"/>
    <w:rsid w:val="00916514"/>
    <w:rsid w:val="009166C1"/>
    <w:rsid w:val="00916DF1"/>
    <w:rsid w:val="009179F3"/>
    <w:rsid w:val="00917AB5"/>
    <w:rsid w:val="00920970"/>
    <w:rsid w:val="009216D7"/>
    <w:rsid w:val="00921855"/>
    <w:rsid w:val="00922048"/>
    <w:rsid w:val="0092268F"/>
    <w:rsid w:val="009241A4"/>
    <w:rsid w:val="0092518C"/>
    <w:rsid w:val="009254D4"/>
    <w:rsid w:val="009255B5"/>
    <w:rsid w:val="009300B1"/>
    <w:rsid w:val="009306B7"/>
    <w:rsid w:val="00930FD1"/>
    <w:rsid w:val="009320E4"/>
    <w:rsid w:val="00933056"/>
    <w:rsid w:val="00933298"/>
    <w:rsid w:val="00934DCA"/>
    <w:rsid w:val="0094001A"/>
    <w:rsid w:val="009401D9"/>
    <w:rsid w:val="00942EF4"/>
    <w:rsid w:val="00944A46"/>
    <w:rsid w:val="00945A3C"/>
    <w:rsid w:val="00945F07"/>
    <w:rsid w:val="00947200"/>
    <w:rsid w:val="00947395"/>
    <w:rsid w:val="009504C7"/>
    <w:rsid w:val="00950D31"/>
    <w:rsid w:val="0095166D"/>
    <w:rsid w:val="0095273C"/>
    <w:rsid w:val="00953F57"/>
    <w:rsid w:val="009540D3"/>
    <w:rsid w:val="00954883"/>
    <w:rsid w:val="00957B1C"/>
    <w:rsid w:val="00961946"/>
    <w:rsid w:val="0096248A"/>
    <w:rsid w:val="00962BBF"/>
    <w:rsid w:val="00963484"/>
    <w:rsid w:val="00963DF1"/>
    <w:rsid w:val="009653FC"/>
    <w:rsid w:val="00965555"/>
    <w:rsid w:val="00965BAE"/>
    <w:rsid w:val="00965DB8"/>
    <w:rsid w:val="00966AF9"/>
    <w:rsid w:val="00967058"/>
    <w:rsid w:val="009710CA"/>
    <w:rsid w:val="00971590"/>
    <w:rsid w:val="009726A0"/>
    <w:rsid w:val="009726D2"/>
    <w:rsid w:val="009729AD"/>
    <w:rsid w:val="00972CC9"/>
    <w:rsid w:val="00973335"/>
    <w:rsid w:val="00973AAB"/>
    <w:rsid w:val="00974B53"/>
    <w:rsid w:val="00976A89"/>
    <w:rsid w:val="009770A1"/>
    <w:rsid w:val="00977903"/>
    <w:rsid w:val="00977ACD"/>
    <w:rsid w:val="009806CF"/>
    <w:rsid w:val="00980D80"/>
    <w:rsid w:val="009814AB"/>
    <w:rsid w:val="00981E42"/>
    <w:rsid w:val="0098207E"/>
    <w:rsid w:val="00982118"/>
    <w:rsid w:val="0098309D"/>
    <w:rsid w:val="00984D50"/>
    <w:rsid w:val="00986E57"/>
    <w:rsid w:val="00987935"/>
    <w:rsid w:val="009904E9"/>
    <w:rsid w:val="00992366"/>
    <w:rsid w:val="00992596"/>
    <w:rsid w:val="00992CE1"/>
    <w:rsid w:val="00993607"/>
    <w:rsid w:val="00993869"/>
    <w:rsid w:val="0099567D"/>
    <w:rsid w:val="00995C74"/>
    <w:rsid w:val="00996642"/>
    <w:rsid w:val="009967DE"/>
    <w:rsid w:val="0099688C"/>
    <w:rsid w:val="00996B06"/>
    <w:rsid w:val="00996FC7"/>
    <w:rsid w:val="009A07D2"/>
    <w:rsid w:val="009A159C"/>
    <w:rsid w:val="009A20A8"/>
    <w:rsid w:val="009A2137"/>
    <w:rsid w:val="009A2734"/>
    <w:rsid w:val="009A35FF"/>
    <w:rsid w:val="009A4856"/>
    <w:rsid w:val="009A4A4F"/>
    <w:rsid w:val="009A4FA2"/>
    <w:rsid w:val="009A57D7"/>
    <w:rsid w:val="009A6AC1"/>
    <w:rsid w:val="009A7357"/>
    <w:rsid w:val="009A78AD"/>
    <w:rsid w:val="009B08D7"/>
    <w:rsid w:val="009B137A"/>
    <w:rsid w:val="009B17AB"/>
    <w:rsid w:val="009B1C74"/>
    <w:rsid w:val="009B24A2"/>
    <w:rsid w:val="009B319C"/>
    <w:rsid w:val="009B3D6E"/>
    <w:rsid w:val="009B4DB1"/>
    <w:rsid w:val="009B5BEB"/>
    <w:rsid w:val="009B65CC"/>
    <w:rsid w:val="009B670A"/>
    <w:rsid w:val="009B69E7"/>
    <w:rsid w:val="009B7A23"/>
    <w:rsid w:val="009C0BFD"/>
    <w:rsid w:val="009C0CB0"/>
    <w:rsid w:val="009C0CCF"/>
    <w:rsid w:val="009C1526"/>
    <w:rsid w:val="009C18BB"/>
    <w:rsid w:val="009C315A"/>
    <w:rsid w:val="009C4346"/>
    <w:rsid w:val="009C4428"/>
    <w:rsid w:val="009C485D"/>
    <w:rsid w:val="009C5201"/>
    <w:rsid w:val="009C55CA"/>
    <w:rsid w:val="009C687D"/>
    <w:rsid w:val="009C6EAC"/>
    <w:rsid w:val="009D0CC3"/>
    <w:rsid w:val="009D1566"/>
    <w:rsid w:val="009D17F8"/>
    <w:rsid w:val="009D2A7D"/>
    <w:rsid w:val="009D2D2E"/>
    <w:rsid w:val="009D3966"/>
    <w:rsid w:val="009D39AF"/>
    <w:rsid w:val="009D3D26"/>
    <w:rsid w:val="009D44A3"/>
    <w:rsid w:val="009D62AA"/>
    <w:rsid w:val="009D7A62"/>
    <w:rsid w:val="009E0AAC"/>
    <w:rsid w:val="009E151B"/>
    <w:rsid w:val="009E37BF"/>
    <w:rsid w:val="009E4919"/>
    <w:rsid w:val="009E4C6B"/>
    <w:rsid w:val="009E510D"/>
    <w:rsid w:val="009E6D57"/>
    <w:rsid w:val="009E78EC"/>
    <w:rsid w:val="009E7AFD"/>
    <w:rsid w:val="009F017B"/>
    <w:rsid w:val="009F0D0A"/>
    <w:rsid w:val="009F1BBA"/>
    <w:rsid w:val="009F212E"/>
    <w:rsid w:val="009F26F7"/>
    <w:rsid w:val="009F2813"/>
    <w:rsid w:val="009F2EE9"/>
    <w:rsid w:val="009F3CF0"/>
    <w:rsid w:val="009F4842"/>
    <w:rsid w:val="009F4D26"/>
    <w:rsid w:val="009F663C"/>
    <w:rsid w:val="009F6E55"/>
    <w:rsid w:val="009F7964"/>
    <w:rsid w:val="00A01F88"/>
    <w:rsid w:val="00A02D2B"/>
    <w:rsid w:val="00A034B1"/>
    <w:rsid w:val="00A03CE3"/>
    <w:rsid w:val="00A04191"/>
    <w:rsid w:val="00A04262"/>
    <w:rsid w:val="00A04946"/>
    <w:rsid w:val="00A05FB1"/>
    <w:rsid w:val="00A0668C"/>
    <w:rsid w:val="00A0702F"/>
    <w:rsid w:val="00A07564"/>
    <w:rsid w:val="00A0794F"/>
    <w:rsid w:val="00A11329"/>
    <w:rsid w:val="00A11546"/>
    <w:rsid w:val="00A1199B"/>
    <w:rsid w:val="00A1288B"/>
    <w:rsid w:val="00A129E6"/>
    <w:rsid w:val="00A12F95"/>
    <w:rsid w:val="00A13515"/>
    <w:rsid w:val="00A1465A"/>
    <w:rsid w:val="00A15A4A"/>
    <w:rsid w:val="00A17401"/>
    <w:rsid w:val="00A175D5"/>
    <w:rsid w:val="00A17CCD"/>
    <w:rsid w:val="00A20555"/>
    <w:rsid w:val="00A20BE9"/>
    <w:rsid w:val="00A20C67"/>
    <w:rsid w:val="00A2115C"/>
    <w:rsid w:val="00A21188"/>
    <w:rsid w:val="00A23BF2"/>
    <w:rsid w:val="00A259E0"/>
    <w:rsid w:val="00A27ABE"/>
    <w:rsid w:val="00A3049B"/>
    <w:rsid w:val="00A30782"/>
    <w:rsid w:val="00A32AD6"/>
    <w:rsid w:val="00A32E64"/>
    <w:rsid w:val="00A33A52"/>
    <w:rsid w:val="00A348AF"/>
    <w:rsid w:val="00A35DB9"/>
    <w:rsid w:val="00A372AB"/>
    <w:rsid w:val="00A40DD6"/>
    <w:rsid w:val="00A41232"/>
    <w:rsid w:val="00A416AC"/>
    <w:rsid w:val="00A4186C"/>
    <w:rsid w:val="00A41907"/>
    <w:rsid w:val="00A42023"/>
    <w:rsid w:val="00A42AB0"/>
    <w:rsid w:val="00A42CB9"/>
    <w:rsid w:val="00A454A4"/>
    <w:rsid w:val="00A459A9"/>
    <w:rsid w:val="00A45AAE"/>
    <w:rsid w:val="00A4684D"/>
    <w:rsid w:val="00A469E4"/>
    <w:rsid w:val="00A515EC"/>
    <w:rsid w:val="00A525E2"/>
    <w:rsid w:val="00A530B8"/>
    <w:rsid w:val="00A539F7"/>
    <w:rsid w:val="00A54A3D"/>
    <w:rsid w:val="00A55868"/>
    <w:rsid w:val="00A57928"/>
    <w:rsid w:val="00A60FA3"/>
    <w:rsid w:val="00A627BD"/>
    <w:rsid w:val="00A62F48"/>
    <w:rsid w:val="00A63656"/>
    <w:rsid w:val="00A637F0"/>
    <w:rsid w:val="00A64157"/>
    <w:rsid w:val="00A6534C"/>
    <w:rsid w:val="00A66A85"/>
    <w:rsid w:val="00A66ED0"/>
    <w:rsid w:val="00A673D9"/>
    <w:rsid w:val="00A70976"/>
    <w:rsid w:val="00A72063"/>
    <w:rsid w:val="00A732A3"/>
    <w:rsid w:val="00A74DD0"/>
    <w:rsid w:val="00A75BF5"/>
    <w:rsid w:val="00A766CB"/>
    <w:rsid w:val="00A76C06"/>
    <w:rsid w:val="00A777A0"/>
    <w:rsid w:val="00A82E1A"/>
    <w:rsid w:val="00A84BE6"/>
    <w:rsid w:val="00A84D03"/>
    <w:rsid w:val="00A864CE"/>
    <w:rsid w:val="00A86874"/>
    <w:rsid w:val="00A86B42"/>
    <w:rsid w:val="00A86DE6"/>
    <w:rsid w:val="00A86FAF"/>
    <w:rsid w:val="00A87D7D"/>
    <w:rsid w:val="00A87D9B"/>
    <w:rsid w:val="00A902A9"/>
    <w:rsid w:val="00A9081B"/>
    <w:rsid w:val="00A90889"/>
    <w:rsid w:val="00A90CBD"/>
    <w:rsid w:val="00A90E52"/>
    <w:rsid w:val="00A9122F"/>
    <w:rsid w:val="00A9190E"/>
    <w:rsid w:val="00A91C6E"/>
    <w:rsid w:val="00A92B1A"/>
    <w:rsid w:val="00A92CE3"/>
    <w:rsid w:val="00A93779"/>
    <w:rsid w:val="00AA077A"/>
    <w:rsid w:val="00AA132C"/>
    <w:rsid w:val="00AA208B"/>
    <w:rsid w:val="00AA454C"/>
    <w:rsid w:val="00AA6AD1"/>
    <w:rsid w:val="00AA7BC1"/>
    <w:rsid w:val="00AB0299"/>
    <w:rsid w:val="00AB07A3"/>
    <w:rsid w:val="00AB0837"/>
    <w:rsid w:val="00AB09AC"/>
    <w:rsid w:val="00AB1831"/>
    <w:rsid w:val="00AB2924"/>
    <w:rsid w:val="00AB2B98"/>
    <w:rsid w:val="00AB3090"/>
    <w:rsid w:val="00AB35CB"/>
    <w:rsid w:val="00AB4767"/>
    <w:rsid w:val="00AB4DB5"/>
    <w:rsid w:val="00AB6862"/>
    <w:rsid w:val="00AB69D1"/>
    <w:rsid w:val="00AC101E"/>
    <w:rsid w:val="00AC1293"/>
    <w:rsid w:val="00AC2004"/>
    <w:rsid w:val="00AC5C4F"/>
    <w:rsid w:val="00AC6244"/>
    <w:rsid w:val="00AC69F4"/>
    <w:rsid w:val="00AC737B"/>
    <w:rsid w:val="00AC75C5"/>
    <w:rsid w:val="00AC7AEE"/>
    <w:rsid w:val="00AD085F"/>
    <w:rsid w:val="00AD11A4"/>
    <w:rsid w:val="00AD1A9A"/>
    <w:rsid w:val="00AD21FA"/>
    <w:rsid w:val="00AD31C2"/>
    <w:rsid w:val="00AD425B"/>
    <w:rsid w:val="00AD656B"/>
    <w:rsid w:val="00AD6E63"/>
    <w:rsid w:val="00AD6E7D"/>
    <w:rsid w:val="00AD71BA"/>
    <w:rsid w:val="00AE07D1"/>
    <w:rsid w:val="00AE20CB"/>
    <w:rsid w:val="00AE2D08"/>
    <w:rsid w:val="00AE3ABA"/>
    <w:rsid w:val="00AE3FA3"/>
    <w:rsid w:val="00AE478C"/>
    <w:rsid w:val="00AE6458"/>
    <w:rsid w:val="00AE75DF"/>
    <w:rsid w:val="00AE78DB"/>
    <w:rsid w:val="00AF084B"/>
    <w:rsid w:val="00AF10F2"/>
    <w:rsid w:val="00AF2AC0"/>
    <w:rsid w:val="00AF6117"/>
    <w:rsid w:val="00AF66AC"/>
    <w:rsid w:val="00B01EC6"/>
    <w:rsid w:val="00B0267E"/>
    <w:rsid w:val="00B03611"/>
    <w:rsid w:val="00B04287"/>
    <w:rsid w:val="00B04314"/>
    <w:rsid w:val="00B043AB"/>
    <w:rsid w:val="00B05195"/>
    <w:rsid w:val="00B05246"/>
    <w:rsid w:val="00B05926"/>
    <w:rsid w:val="00B05A3A"/>
    <w:rsid w:val="00B12252"/>
    <w:rsid w:val="00B13B63"/>
    <w:rsid w:val="00B151FA"/>
    <w:rsid w:val="00B157E8"/>
    <w:rsid w:val="00B16FB2"/>
    <w:rsid w:val="00B17D97"/>
    <w:rsid w:val="00B20360"/>
    <w:rsid w:val="00B20A5F"/>
    <w:rsid w:val="00B22CC9"/>
    <w:rsid w:val="00B22CD7"/>
    <w:rsid w:val="00B24102"/>
    <w:rsid w:val="00B24952"/>
    <w:rsid w:val="00B27801"/>
    <w:rsid w:val="00B30688"/>
    <w:rsid w:val="00B3086C"/>
    <w:rsid w:val="00B31CCC"/>
    <w:rsid w:val="00B31D06"/>
    <w:rsid w:val="00B32192"/>
    <w:rsid w:val="00B32571"/>
    <w:rsid w:val="00B336F0"/>
    <w:rsid w:val="00B33C41"/>
    <w:rsid w:val="00B33D58"/>
    <w:rsid w:val="00B33F24"/>
    <w:rsid w:val="00B35355"/>
    <w:rsid w:val="00B45FC0"/>
    <w:rsid w:val="00B46C6E"/>
    <w:rsid w:val="00B51310"/>
    <w:rsid w:val="00B54669"/>
    <w:rsid w:val="00B563BD"/>
    <w:rsid w:val="00B56786"/>
    <w:rsid w:val="00B56FFB"/>
    <w:rsid w:val="00B6085B"/>
    <w:rsid w:val="00B61E89"/>
    <w:rsid w:val="00B6363B"/>
    <w:rsid w:val="00B63F48"/>
    <w:rsid w:val="00B66032"/>
    <w:rsid w:val="00B6624A"/>
    <w:rsid w:val="00B6750A"/>
    <w:rsid w:val="00B71DE7"/>
    <w:rsid w:val="00B724D7"/>
    <w:rsid w:val="00B727B7"/>
    <w:rsid w:val="00B728B6"/>
    <w:rsid w:val="00B73420"/>
    <w:rsid w:val="00B738C1"/>
    <w:rsid w:val="00B740BE"/>
    <w:rsid w:val="00B74BC4"/>
    <w:rsid w:val="00B74EEB"/>
    <w:rsid w:val="00B76072"/>
    <w:rsid w:val="00B7631A"/>
    <w:rsid w:val="00B764D1"/>
    <w:rsid w:val="00B765A8"/>
    <w:rsid w:val="00B77CF5"/>
    <w:rsid w:val="00B80E43"/>
    <w:rsid w:val="00B821DB"/>
    <w:rsid w:val="00B822DB"/>
    <w:rsid w:val="00B82384"/>
    <w:rsid w:val="00B82957"/>
    <w:rsid w:val="00B82E7C"/>
    <w:rsid w:val="00B83C5E"/>
    <w:rsid w:val="00B83D4E"/>
    <w:rsid w:val="00B84991"/>
    <w:rsid w:val="00B84BD9"/>
    <w:rsid w:val="00B85EEF"/>
    <w:rsid w:val="00B86295"/>
    <w:rsid w:val="00B86738"/>
    <w:rsid w:val="00B86BE2"/>
    <w:rsid w:val="00B86C71"/>
    <w:rsid w:val="00B8796D"/>
    <w:rsid w:val="00B87BF9"/>
    <w:rsid w:val="00B9005B"/>
    <w:rsid w:val="00B90445"/>
    <w:rsid w:val="00B91497"/>
    <w:rsid w:val="00B91B58"/>
    <w:rsid w:val="00B94F23"/>
    <w:rsid w:val="00BA1C01"/>
    <w:rsid w:val="00BA2D84"/>
    <w:rsid w:val="00BA35B3"/>
    <w:rsid w:val="00BA395A"/>
    <w:rsid w:val="00BA53ED"/>
    <w:rsid w:val="00BB1DE7"/>
    <w:rsid w:val="00BB1ED5"/>
    <w:rsid w:val="00BB41CB"/>
    <w:rsid w:val="00BB4FB8"/>
    <w:rsid w:val="00BB676D"/>
    <w:rsid w:val="00BB7EC2"/>
    <w:rsid w:val="00BC0407"/>
    <w:rsid w:val="00BC07D3"/>
    <w:rsid w:val="00BC0ECC"/>
    <w:rsid w:val="00BC2BEF"/>
    <w:rsid w:val="00BC337C"/>
    <w:rsid w:val="00BC3749"/>
    <w:rsid w:val="00BC7E3E"/>
    <w:rsid w:val="00BC7F08"/>
    <w:rsid w:val="00BD06A3"/>
    <w:rsid w:val="00BD3736"/>
    <w:rsid w:val="00BD37C5"/>
    <w:rsid w:val="00BD470F"/>
    <w:rsid w:val="00BD49A0"/>
    <w:rsid w:val="00BD51AF"/>
    <w:rsid w:val="00BE02BA"/>
    <w:rsid w:val="00BE0A16"/>
    <w:rsid w:val="00BE0B5D"/>
    <w:rsid w:val="00BE174E"/>
    <w:rsid w:val="00BE2342"/>
    <w:rsid w:val="00BE277A"/>
    <w:rsid w:val="00BE2B07"/>
    <w:rsid w:val="00BE38C2"/>
    <w:rsid w:val="00BE3FC0"/>
    <w:rsid w:val="00BE6F89"/>
    <w:rsid w:val="00BF0B05"/>
    <w:rsid w:val="00BF33B0"/>
    <w:rsid w:val="00BF3740"/>
    <w:rsid w:val="00BF5233"/>
    <w:rsid w:val="00BF5AC3"/>
    <w:rsid w:val="00BF7F31"/>
    <w:rsid w:val="00C02F0A"/>
    <w:rsid w:val="00C06084"/>
    <w:rsid w:val="00C06924"/>
    <w:rsid w:val="00C07DAF"/>
    <w:rsid w:val="00C10681"/>
    <w:rsid w:val="00C10756"/>
    <w:rsid w:val="00C10C08"/>
    <w:rsid w:val="00C13EB8"/>
    <w:rsid w:val="00C153F1"/>
    <w:rsid w:val="00C15E82"/>
    <w:rsid w:val="00C16E69"/>
    <w:rsid w:val="00C1715D"/>
    <w:rsid w:val="00C17F6A"/>
    <w:rsid w:val="00C21063"/>
    <w:rsid w:val="00C21CA8"/>
    <w:rsid w:val="00C22ADC"/>
    <w:rsid w:val="00C2341A"/>
    <w:rsid w:val="00C25804"/>
    <w:rsid w:val="00C31953"/>
    <w:rsid w:val="00C31E5A"/>
    <w:rsid w:val="00C32773"/>
    <w:rsid w:val="00C360A8"/>
    <w:rsid w:val="00C40830"/>
    <w:rsid w:val="00C41693"/>
    <w:rsid w:val="00C41DD6"/>
    <w:rsid w:val="00C4231E"/>
    <w:rsid w:val="00C43365"/>
    <w:rsid w:val="00C4360D"/>
    <w:rsid w:val="00C44DED"/>
    <w:rsid w:val="00C455ED"/>
    <w:rsid w:val="00C46EF6"/>
    <w:rsid w:val="00C51491"/>
    <w:rsid w:val="00C52880"/>
    <w:rsid w:val="00C53BC4"/>
    <w:rsid w:val="00C551A8"/>
    <w:rsid w:val="00C554CC"/>
    <w:rsid w:val="00C55C11"/>
    <w:rsid w:val="00C55DBE"/>
    <w:rsid w:val="00C566F2"/>
    <w:rsid w:val="00C60615"/>
    <w:rsid w:val="00C60AA0"/>
    <w:rsid w:val="00C60E67"/>
    <w:rsid w:val="00C62736"/>
    <w:rsid w:val="00C646C3"/>
    <w:rsid w:val="00C64AC7"/>
    <w:rsid w:val="00C66935"/>
    <w:rsid w:val="00C6755F"/>
    <w:rsid w:val="00C70BEE"/>
    <w:rsid w:val="00C714C8"/>
    <w:rsid w:val="00C71C30"/>
    <w:rsid w:val="00C75C96"/>
    <w:rsid w:val="00C75E70"/>
    <w:rsid w:val="00C76278"/>
    <w:rsid w:val="00C76A87"/>
    <w:rsid w:val="00C76E67"/>
    <w:rsid w:val="00C776D5"/>
    <w:rsid w:val="00C80123"/>
    <w:rsid w:val="00C8016B"/>
    <w:rsid w:val="00C806F5"/>
    <w:rsid w:val="00C80F07"/>
    <w:rsid w:val="00C81523"/>
    <w:rsid w:val="00C831BE"/>
    <w:rsid w:val="00C85265"/>
    <w:rsid w:val="00C8573B"/>
    <w:rsid w:val="00C861F4"/>
    <w:rsid w:val="00C87352"/>
    <w:rsid w:val="00C91E80"/>
    <w:rsid w:val="00C9220E"/>
    <w:rsid w:val="00C977DD"/>
    <w:rsid w:val="00CA0105"/>
    <w:rsid w:val="00CA229A"/>
    <w:rsid w:val="00CA24EB"/>
    <w:rsid w:val="00CA27B7"/>
    <w:rsid w:val="00CA2843"/>
    <w:rsid w:val="00CA2986"/>
    <w:rsid w:val="00CA2C18"/>
    <w:rsid w:val="00CA5F20"/>
    <w:rsid w:val="00CA7282"/>
    <w:rsid w:val="00CB09E8"/>
    <w:rsid w:val="00CB1154"/>
    <w:rsid w:val="00CB17F8"/>
    <w:rsid w:val="00CB1E06"/>
    <w:rsid w:val="00CB21E1"/>
    <w:rsid w:val="00CB26BE"/>
    <w:rsid w:val="00CB516E"/>
    <w:rsid w:val="00CC02C8"/>
    <w:rsid w:val="00CC1593"/>
    <w:rsid w:val="00CC18E9"/>
    <w:rsid w:val="00CC1D6F"/>
    <w:rsid w:val="00CC2E0D"/>
    <w:rsid w:val="00CC5055"/>
    <w:rsid w:val="00CC5CDB"/>
    <w:rsid w:val="00CC68B3"/>
    <w:rsid w:val="00CD112B"/>
    <w:rsid w:val="00CD122D"/>
    <w:rsid w:val="00CD22DD"/>
    <w:rsid w:val="00CD56A5"/>
    <w:rsid w:val="00CD5A48"/>
    <w:rsid w:val="00CD6CD3"/>
    <w:rsid w:val="00CD7D6E"/>
    <w:rsid w:val="00CE0476"/>
    <w:rsid w:val="00CE0A68"/>
    <w:rsid w:val="00CE1F06"/>
    <w:rsid w:val="00CE2D3A"/>
    <w:rsid w:val="00CE31A4"/>
    <w:rsid w:val="00CE49B7"/>
    <w:rsid w:val="00CE5638"/>
    <w:rsid w:val="00CE56AD"/>
    <w:rsid w:val="00CE5746"/>
    <w:rsid w:val="00CE6347"/>
    <w:rsid w:val="00CE70FF"/>
    <w:rsid w:val="00CE78A5"/>
    <w:rsid w:val="00CF06C9"/>
    <w:rsid w:val="00CF09CE"/>
    <w:rsid w:val="00CF172A"/>
    <w:rsid w:val="00CF1CB9"/>
    <w:rsid w:val="00CF29BE"/>
    <w:rsid w:val="00CF3D25"/>
    <w:rsid w:val="00CF4030"/>
    <w:rsid w:val="00CF4975"/>
    <w:rsid w:val="00CF4A31"/>
    <w:rsid w:val="00CF50A6"/>
    <w:rsid w:val="00CF52DA"/>
    <w:rsid w:val="00CF6036"/>
    <w:rsid w:val="00CF7119"/>
    <w:rsid w:val="00CF73A8"/>
    <w:rsid w:val="00CF7D18"/>
    <w:rsid w:val="00D000FE"/>
    <w:rsid w:val="00D0020E"/>
    <w:rsid w:val="00D00301"/>
    <w:rsid w:val="00D02C1B"/>
    <w:rsid w:val="00D02E28"/>
    <w:rsid w:val="00D02F9A"/>
    <w:rsid w:val="00D037F7"/>
    <w:rsid w:val="00D04890"/>
    <w:rsid w:val="00D04A8D"/>
    <w:rsid w:val="00D06566"/>
    <w:rsid w:val="00D06605"/>
    <w:rsid w:val="00D06E2D"/>
    <w:rsid w:val="00D074FE"/>
    <w:rsid w:val="00D13073"/>
    <w:rsid w:val="00D130C2"/>
    <w:rsid w:val="00D13625"/>
    <w:rsid w:val="00D14870"/>
    <w:rsid w:val="00D14B09"/>
    <w:rsid w:val="00D151DF"/>
    <w:rsid w:val="00D15753"/>
    <w:rsid w:val="00D16A8E"/>
    <w:rsid w:val="00D2012B"/>
    <w:rsid w:val="00D2192A"/>
    <w:rsid w:val="00D222F5"/>
    <w:rsid w:val="00D22D7C"/>
    <w:rsid w:val="00D248B9"/>
    <w:rsid w:val="00D24F52"/>
    <w:rsid w:val="00D25DD2"/>
    <w:rsid w:val="00D3067E"/>
    <w:rsid w:val="00D31862"/>
    <w:rsid w:val="00D31E9E"/>
    <w:rsid w:val="00D32082"/>
    <w:rsid w:val="00D3342C"/>
    <w:rsid w:val="00D36696"/>
    <w:rsid w:val="00D37B3F"/>
    <w:rsid w:val="00D40AB9"/>
    <w:rsid w:val="00D41B7F"/>
    <w:rsid w:val="00D41BBF"/>
    <w:rsid w:val="00D44003"/>
    <w:rsid w:val="00D44026"/>
    <w:rsid w:val="00D440C9"/>
    <w:rsid w:val="00D47451"/>
    <w:rsid w:val="00D47D8D"/>
    <w:rsid w:val="00D50254"/>
    <w:rsid w:val="00D5197E"/>
    <w:rsid w:val="00D5347F"/>
    <w:rsid w:val="00D53EA6"/>
    <w:rsid w:val="00D544E6"/>
    <w:rsid w:val="00D55404"/>
    <w:rsid w:val="00D56B7B"/>
    <w:rsid w:val="00D56D61"/>
    <w:rsid w:val="00D60E11"/>
    <w:rsid w:val="00D610A7"/>
    <w:rsid w:val="00D61A9F"/>
    <w:rsid w:val="00D62470"/>
    <w:rsid w:val="00D62E77"/>
    <w:rsid w:val="00D62EA8"/>
    <w:rsid w:val="00D631F2"/>
    <w:rsid w:val="00D656C7"/>
    <w:rsid w:val="00D661A1"/>
    <w:rsid w:val="00D70339"/>
    <w:rsid w:val="00D7105B"/>
    <w:rsid w:val="00D715E0"/>
    <w:rsid w:val="00D71D8C"/>
    <w:rsid w:val="00D7213C"/>
    <w:rsid w:val="00D73670"/>
    <w:rsid w:val="00D7553F"/>
    <w:rsid w:val="00D76D78"/>
    <w:rsid w:val="00D76D9D"/>
    <w:rsid w:val="00D772B7"/>
    <w:rsid w:val="00D80DB2"/>
    <w:rsid w:val="00D81176"/>
    <w:rsid w:val="00D826AE"/>
    <w:rsid w:val="00D840EC"/>
    <w:rsid w:val="00D85A25"/>
    <w:rsid w:val="00D85F7B"/>
    <w:rsid w:val="00D8603F"/>
    <w:rsid w:val="00D87FA1"/>
    <w:rsid w:val="00D9125F"/>
    <w:rsid w:val="00D91DEA"/>
    <w:rsid w:val="00D92284"/>
    <w:rsid w:val="00D92AB2"/>
    <w:rsid w:val="00D9303F"/>
    <w:rsid w:val="00D93E78"/>
    <w:rsid w:val="00D95546"/>
    <w:rsid w:val="00D95ECE"/>
    <w:rsid w:val="00D9603D"/>
    <w:rsid w:val="00D96FED"/>
    <w:rsid w:val="00D9710A"/>
    <w:rsid w:val="00D97701"/>
    <w:rsid w:val="00DA1C14"/>
    <w:rsid w:val="00DA1EA7"/>
    <w:rsid w:val="00DA2BE4"/>
    <w:rsid w:val="00DA3B44"/>
    <w:rsid w:val="00DA40A7"/>
    <w:rsid w:val="00DA48B3"/>
    <w:rsid w:val="00DA5990"/>
    <w:rsid w:val="00DA603C"/>
    <w:rsid w:val="00DB0CF2"/>
    <w:rsid w:val="00DB1E30"/>
    <w:rsid w:val="00DB2898"/>
    <w:rsid w:val="00DB385B"/>
    <w:rsid w:val="00DB39E4"/>
    <w:rsid w:val="00DB3DFD"/>
    <w:rsid w:val="00DB5B63"/>
    <w:rsid w:val="00DB6848"/>
    <w:rsid w:val="00DC0D6F"/>
    <w:rsid w:val="00DC13EF"/>
    <w:rsid w:val="00DC240E"/>
    <w:rsid w:val="00DC25B0"/>
    <w:rsid w:val="00DC33CD"/>
    <w:rsid w:val="00DC38EC"/>
    <w:rsid w:val="00DC3E5A"/>
    <w:rsid w:val="00DC51CE"/>
    <w:rsid w:val="00DC552A"/>
    <w:rsid w:val="00DC631B"/>
    <w:rsid w:val="00DD0271"/>
    <w:rsid w:val="00DD041F"/>
    <w:rsid w:val="00DD10A7"/>
    <w:rsid w:val="00DD14F2"/>
    <w:rsid w:val="00DD1A5E"/>
    <w:rsid w:val="00DD30CD"/>
    <w:rsid w:val="00DD3406"/>
    <w:rsid w:val="00DD5C22"/>
    <w:rsid w:val="00DD6C8A"/>
    <w:rsid w:val="00DE0A49"/>
    <w:rsid w:val="00DE0D9C"/>
    <w:rsid w:val="00DE0F47"/>
    <w:rsid w:val="00DE1492"/>
    <w:rsid w:val="00DE170F"/>
    <w:rsid w:val="00DE4D0B"/>
    <w:rsid w:val="00DE579D"/>
    <w:rsid w:val="00DE7333"/>
    <w:rsid w:val="00DE7644"/>
    <w:rsid w:val="00DF0C87"/>
    <w:rsid w:val="00DF16A6"/>
    <w:rsid w:val="00DF3DFC"/>
    <w:rsid w:val="00DF4496"/>
    <w:rsid w:val="00E00745"/>
    <w:rsid w:val="00E020C5"/>
    <w:rsid w:val="00E0348F"/>
    <w:rsid w:val="00E11A25"/>
    <w:rsid w:val="00E13EDB"/>
    <w:rsid w:val="00E143F9"/>
    <w:rsid w:val="00E208DC"/>
    <w:rsid w:val="00E23110"/>
    <w:rsid w:val="00E24277"/>
    <w:rsid w:val="00E24D24"/>
    <w:rsid w:val="00E24F5E"/>
    <w:rsid w:val="00E25882"/>
    <w:rsid w:val="00E27B78"/>
    <w:rsid w:val="00E27EF4"/>
    <w:rsid w:val="00E308AE"/>
    <w:rsid w:val="00E322D2"/>
    <w:rsid w:val="00E32DB5"/>
    <w:rsid w:val="00E33C12"/>
    <w:rsid w:val="00E3509A"/>
    <w:rsid w:val="00E35FCD"/>
    <w:rsid w:val="00E360C3"/>
    <w:rsid w:val="00E361B8"/>
    <w:rsid w:val="00E36A4F"/>
    <w:rsid w:val="00E36E76"/>
    <w:rsid w:val="00E37E99"/>
    <w:rsid w:val="00E37FED"/>
    <w:rsid w:val="00E4063E"/>
    <w:rsid w:val="00E41774"/>
    <w:rsid w:val="00E41CA6"/>
    <w:rsid w:val="00E430A1"/>
    <w:rsid w:val="00E44936"/>
    <w:rsid w:val="00E44D92"/>
    <w:rsid w:val="00E45B0B"/>
    <w:rsid w:val="00E45B93"/>
    <w:rsid w:val="00E46532"/>
    <w:rsid w:val="00E47F19"/>
    <w:rsid w:val="00E5027C"/>
    <w:rsid w:val="00E50FCA"/>
    <w:rsid w:val="00E51B96"/>
    <w:rsid w:val="00E53FC1"/>
    <w:rsid w:val="00E5465F"/>
    <w:rsid w:val="00E547E2"/>
    <w:rsid w:val="00E565C8"/>
    <w:rsid w:val="00E56648"/>
    <w:rsid w:val="00E57BAF"/>
    <w:rsid w:val="00E57ED3"/>
    <w:rsid w:val="00E64248"/>
    <w:rsid w:val="00E645C1"/>
    <w:rsid w:val="00E65DBF"/>
    <w:rsid w:val="00E66A3E"/>
    <w:rsid w:val="00E67207"/>
    <w:rsid w:val="00E67245"/>
    <w:rsid w:val="00E675CF"/>
    <w:rsid w:val="00E709AD"/>
    <w:rsid w:val="00E71013"/>
    <w:rsid w:val="00E71640"/>
    <w:rsid w:val="00E7200B"/>
    <w:rsid w:val="00E72E96"/>
    <w:rsid w:val="00E72EEB"/>
    <w:rsid w:val="00E72F6A"/>
    <w:rsid w:val="00E73AC1"/>
    <w:rsid w:val="00E73D9D"/>
    <w:rsid w:val="00E74FD5"/>
    <w:rsid w:val="00E75ED9"/>
    <w:rsid w:val="00E77280"/>
    <w:rsid w:val="00E77FB8"/>
    <w:rsid w:val="00E80428"/>
    <w:rsid w:val="00E832B8"/>
    <w:rsid w:val="00E85ADF"/>
    <w:rsid w:val="00E92039"/>
    <w:rsid w:val="00E923C2"/>
    <w:rsid w:val="00E93CB5"/>
    <w:rsid w:val="00E93D5D"/>
    <w:rsid w:val="00E95230"/>
    <w:rsid w:val="00E95B13"/>
    <w:rsid w:val="00E9775D"/>
    <w:rsid w:val="00E97E2D"/>
    <w:rsid w:val="00EA0565"/>
    <w:rsid w:val="00EA065A"/>
    <w:rsid w:val="00EA0DB4"/>
    <w:rsid w:val="00EA12C6"/>
    <w:rsid w:val="00EA18FC"/>
    <w:rsid w:val="00EA3334"/>
    <w:rsid w:val="00EA3E73"/>
    <w:rsid w:val="00EA46AA"/>
    <w:rsid w:val="00EA5490"/>
    <w:rsid w:val="00EA56A2"/>
    <w:rsid w:val="00EA779B"/>
    <w:rsid w:val="00EA7DD3"/>
    <w:rsid w:val="00EA7F49"/>
    <w:rsid w:val="00EB0A42"/>
    <w:rsid w:val="00EB265D"/>
    <w:rsid w:val="00EB3B92"/>
    <w:rsid w:val="00EB44B5"/>
    <w:rsid w:val="00EB4E42"/>
    <w:rsid w:val="00EC00A9"/>
    <w:rsid w:val="00EC0A7F"/>
    <w:rsid w:val="00EC0F81"/>
    <w:rsid w:val="00EC1D27"/>
    <w:rsid w:val="00EC389D"/>
    <w:rsid w:val="00EC6C82"/>
    <w:rsid w:val="00EC7907"/>
    <w:rsid w:val="00EC7E67"/>
    <w:rsid w:val="00EC7F8C"/>
    <w:rsid w:val="00ED091F"/>
    <w:rsid w:val="00ED0C21"/>
    <w:rsid w:val="00ED3AF7"/>
    <w:rsid w:val="00ED6B5E"/>
    <w:rsid w:val="00EE01E8"/>
    <w:rsid w:val="00EE1287"/>
    <w:rsid w:val="00EE327A"/>
    <w:rsid w:val="00EF028F"/>
    <w:rsid w:val="00EF03A7"/>
    <w:rsid w:val="00EF18E8"/>
    <w:rsid w:val="00EF7203"/>
    <w:rsid w:val="00EF78AD"/>
    <w:rsid w:val="00EF7EEC"/>
    <w:rsid w:val="00F026F3"/>
    <w:rsid w:val="00F03213"/>
    <w:rsid w:val="00F03C00"/>
    <w:rsid w:val="00F04F3F"/>
    <w:rsid w:val="00F05D0D"/>
    <w:rsid w:val="00F05E4B"/>
    <w:rsid w:val="00F068B2"/>
    <w:rsid w:val="00F1200F"/>
    <w:rsid w:val="00F13986"/>
    <w:rsid w:val="00F13E7D"/>
    <w:rsid w:val="00F15368"/>
    <w:rsid w:val="00F159EF"/>
    <w:rsid w:val="00F1653F"/>
    <w:rsid w:val="00F16AA9"/>
    <w:rsid w:val="00F20D81"/>
    <w:rsid w:val="00F22A95"/>
    <w:rsid w:val="00F23767"/>
    <w:rsid w:val="00F24C12"/>
    <w:rsid w:val="00F2515F"/>
    <w:rsid w:val="00F2543E"/>
    <w:rsid w:val="00F25F8B"/>
    <w:rsid w:val="00F26756"/>
    <w:rsid w:val="00F26C30"/>
    <w:rsid w:val="00F27267"/>
    <w:rsid w:val="00F30BA1"/>
    <w:rsid w:val="00F30F46"/>
    <w:rsid w:val="00F316A4"/>
    <w:rsid w:val="00F31AC4"/>
    <w:rsid w:val="00F3257A"/>
    <w:rsid w:val="00F33C7D"/>
    <w:rsid w:val="00F34628"/>
    <w:rsid w:val="00F34AF2"/>
    <w:rsid w:val="00F34B64"/>
    <w:rsid w:val="00F35EDF"/>
    <w:rsid w:val="00F363B2"/>
    <w:rsid w:val="00F41667"/>
    <w:rsid w:val="00F41CB2"/>
    <w:rsid w:val="00F41DC0"/>
    <w:rsid w:val="00F41EC9"/>
    <w:rsid w:val="00F420AF"/>
    <w:rsid w:val="00F42A3A"/>
    <w:rsid w:val="00F455EC"/>
    <w:rsid w:val="00F4631C"/>
    <w:rsid w:val="00F464ED"/>
    <w:rsid w:val="00F46EFA"/>
    <w:rsid w:val="00F47591"/>
    <w:rsid w:val="00F47E92"/>
    <w:rsid w:val="00F509FD"/>
    <w:rsid w:val="00F51028"/>
    <w:rsid w:val="00F5117E"/>
    <w:rsid w:val="00F526C4"/>
    <w:rsid w:val="00F527E2"/>
    <w:rsid w:val="00F52B31"/>
    <w:rsid w:val="00F53288"/>
    <w:rsid w:val="00F53AB4"/>
    <w:rsid w:val="00F5453B"/>
    <w:rsid w:val="00F554FE"/>
    <w:rsid w:val="00F55896"/>
    <w:rsid w:val="00F55C1F"/>
    <w:rsid w:val="00F6178C"/>
    <w:rsid w:val="00F6192C"/>
    <w:rsid w:val="00F62ABF"/>
    <w:rsid w:val="00F65AED"/>
    <w:rsid w:val="00F66EAA"/>
    <w:rsid w:val="00F6771E"/>
    <w:rsid w:val="00F67E55"/>
    <w:rsid w:val="00F702F5"/>
    <w:rsid w:val="00F70862"/>
    <w:rsid w:val="00F717F9"/>
    <w:rsid w:val="00F725A0"/>
    <w:rsid w:val="00F7337C"/>
    <w:rsid w:val="00F736F2"/>
    <w:rsid w:val="00F73941"/>
    <w:rsid w:val="00F745BB"/>
    <w:rsid w:val="00F750F9"/>
    <w:rsid w:val="00F778C4"/>
    <w:rsid w:val="00F77D82"/>
    <w:rsid w:val="00F8078D"/>
    <w:rsid w:val="00F81539"/>
    <w:rsid w:val="00F819A2"/>
    <w:rsid w:val="00F819B5"/>
    <w:rsid w:val="00F83694"/>
    <w:rsid w:val="00F8411F"/>
    <w:rsid w:val="00F86373"/>
    <w:rsid w:val="00F87913"/>
    <w:rsid w:val="00F90984"/>
    <w:rsid w:val="00F91810"/>
    <w:rsid w:val="00F94D22"/>
    <w:rsid w:val="00F9549C"/>
    <w:rsid w:val="00F95BBD"/>
    <w:rsid w:val="00F97E54"/>
    <w:rsid w:val="00FA0A20"/>
    <w:rsid w:val="00FA1D85"/>
    <w:rsid w:val="00FA1E8F"/>
    <w:rsid w:val="00FA2412"/>
    <w:rsid w:val="00FA2634"/>
    <w:rsid w:val="00FA2CFB"/>
    <w:rsid w:val="00FA3668"/>
    <w:rsid w:val="00FA3BB9"/>
    <w:rsid w:val="00FA454D"/>
    <w:rsid w:val="00FA4CB6"/>
    <w:rsid w:val="00FA59D8"/>
    <w:rsid w:val="00FA6512"/>
    <w:rsid w:val="00FA6514"/>
    <w:rsid w:val="00FA6AF3"/>
    <w:rsid w:val="00FA6B08"/>
    <w:rsid w:val="00FA6E16"/>
    <w:rsid w:val="00FA700D"/>
    <w:rsid w:val="00FA7ED5"/>
    <w:rsid w:val="00FB04BC"/>
    <w:rsid w:val="00FB067F"/>
    <w:rsid w:val="00FB0C02"/>
    <w:rsid w:val="00FB1439"/>
    <w:rsid w:val="00FB1B9A"/>
    <w:rsid w:val="00FB22E7"/>
    <w:rsid w:val="00FB3CAB"/>
    <w:rsid w:val="00FB47DA"/>
    <w:rsid w:val="00FB518C"/>
    <w:rsid w:val="00FB5AF9"/>
    <w:rsid w:val="00FB6332"/>
    <w:rsid w:val="00FB6530"/>
    <w:rsid w:val="00FB731E"/>
    <w:rsid w:val="00FB77AA"/>
    <w:rsid w:val="00FB7E55"/>
    <w:rsid w:val="00FC11DC"/>
    <w:rsid w:val="00FC1708"/>
    <w:rsid w:val="00FC2F1E"/>
    <w:rsid w:val="00FD007C"/>
    <w:rsid w:val="00FD40F3"/>
    <w:rsid w:val="00FD45F7"/>
    <w:rsid w:val="00FD5420"/>
    <w:rsid w:val="00FD69EA"/>
    <w:rsid w:val="00FD6CEC"/>
    <w:rsid w:val="00FD753B"/>
    <w:rsid w:val="00FD75C0"/>
    <w:rsid w:val="00FE1805"/>
    <w:rsid w:val="00FE65DB"/>
    <w:rsid w:val="00FE7DCF"/>
    <w:rsid w:val="00FF12C7"/>
    <w:rsid w:val="00FF376C"/>
    <w:rsid w:val="00FF499C"/>
    <w:rsid w:val="00FF5579"/>
    <w:rsid w:val="00FF69F7"/>
    <w:rsid w:val="00FF6DA5"/>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C7619A-D480-4CEF-B97C-FC3BA4EE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6D"/>
    <w:rPr>
      <w:rFonts w:ascii="Arial" w:hAnsi="Arial" w:cs="Arial"/>
      <w:bCs/>
      <w:sz w:val="24"/>
    </w:rPr>
  </w:style>
  <w:style w:type="paragraph" w:styleId="Heading1">
    <w:name w:val="heading 1"/>
    <w:basedOn w:val="Normal"/>
    <w:next w:val="Normal"/>
    <w:qFormat/>
    <w:rsid w:val="00BA395A"/>
    <w:pPr>
      <w:keepNext/>
      <w:tabs>
        <w:tab w:val="left" w:pos="360"/>
      </w:tabs>
      <w:spacing w:before="240" w:after="60"/>
      <w:outlineLvl w:val="0"/>
    </w:pPr>
    <w:rPr>
      <w:b/>
      <w:kern w:val="32"/>
      <w:sz w:val="32"/>
      <w:szCs w:val="32"/>
    </w:rPr>
  </w:style>
  <w:style w:type="paragraph" w:styleId="Heading2">
    <w:name w:val="heading 2"/>
    <w:basedOn w:val="Normal"/>
    <w:next w:val="Normal"/>
    <w:qFormat/>
    <w:rsid w:val="001601B2"/>
    <w:pPr>
      <w:numPr>
        <w:numId w:val="8"/>
      </w:numPr>
      <w:jc w:val="center"/>
      <w:outlineLvl w:val="1"/>
    </w:pPr>
    <w:rPr>
      <w:sz w:val="28"/>
    </w:rPr>
  </w:style>
  <w:style w:type="paragraph" w:styleId="Heading3">
    <w:name w:val="heading 3"/>
    <w:basedOn w:val="Heading7"/>
    <w:next w:val="Normal"/>
    <w:qFormat/>
    <w:rsid w:val="004557B1"/>
    <w:pPr>
      <w:ind w:left="960"/>
      <w:outlineLvl w:val="2"/>
    </w:pPr>
    <w:rPr>
      <w:bCs w:val="0"/>
    </w:rPr>
  </w:style>
  <w:style w:type="paragraph" w:styleId="Heading4">
    <w:name w:val="heading 4"/>
    <w:basedOn w:val="Normal"/>
    <w:next w:val="Normal"/>
    <w:qFormat/>
    <w:rsid w:val="00225334"/>
    <w:pPr>
      <w:keepNext/>
      <w:spacing w:before="240" w:after="60"/>
      <w:outlineLvl w:val="3"/>
    </w:pPr>
    <w:rPr>
      <w:rFonts w:ascii="Times New Roman" w:hAnsi="Times New Roman" w:cs="Times New Roman"/>
      <w:b/>
      <w:sz w:val="28"/>
      <w:szCs w:val="28"/>
    </w:rPr>
  </w:style>
  <w:style w:type="paragraph" w:styleId="Heading5">
    <w:name w:val="heading 5"/>
    <w:basedOn w:val="Normal"/>
    <w:next w:val="Normal"/>
    <w:qFormat/>
    <w:rsid w:val="00225334"/>
    <w:pPr>
      <w:spacing w:before="240" w:after="60"/>
      <w:outlineLvl w:val="4"/>
    </w:pPr>
    <w:rPr>
      <w:b/>
      <w:i/>
      <w:iCs/>
      <w:sz w:val="26"/>
      <w:szCs w:val="26"/>
    </w:rPr>
  </w:style>
  <w:style w:type="paragraph" w:styleId="Heading6">
    <w:name w:val="heading 6"/>
    <w:basedOn w:val="Normal"/>
    <w:next w:val="Normal"/>
    <w:qFormat/>
    <w:rsid w:val="00F62ABF"/>
    <w:pPr>
      <w:keepNext/>
      <w:numPr>
        <w:numId w:val="7"/>
      </w:numPr>
      <w:tabs>
        <w:tab w:val="left" w:pos="1080"/>
        <w:tab w:val="left" w:pos="1440"/>
        <w:tab w:val="left" w:pos="1800"/>
        <w:tab w:val="left" w:pos="2160"/>
      </w:tabs>
      <w:outlineLvl w:val="5"/>
    </w:pPr>
    <w:rPr>
      <w:b/>
      <w:bCs w:val="0"/>
      <w:sz w:val="32"/>
    </w:rPr>
  </w:style>
  <w:style w:type="paragraph" w:styleId="Heading7">
    <w:name w:val="heading 7"/>
    <w:basedOn w:val="Normal"/>
    <w:next w:val="Normal"/>
    <w:qFormat/>
    <w:rsid w:val="00225334"/>
    <w:pPr>
      <w:keepNext/>
      <w:tabs>
        <w:tab w:val="left" w:pos="960"/>
        <w:tab w:val="left" w:pos="1440"/>
        <w:tab w:val="left" w:pos="1800"/>
        <w:tab w:val="left" w:pos="2160"/>
      </w:tabs>
      <w:autoSpaceDE w:val="0"/>
      <w:autoSpaceDN w:val="0"/>
      <w:adjustRightInd w:val="0"/>
      <w:outlineLvl w:val="6"/>
    </w:pPr>
    <w:rPr>
      <w:b/>
    </w:rPr>
  </w:style>
  <w:style w:type="paragraph" w:styleId="Heading8">
    <w:name w:val="heading 8"/>
    <w:basedOn w:val="Normal"/>
    <w:next w:val="Normal"/>
    <w:qFormat/>
    <w:rsid w:val="00225334"/>
    <w:p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225334"/>
    <w:pPr>
      <w:keepNext/>
      <w:numPr>
        <w:numId w:val="1"/>
      </w:numPr>
      <w:tabs>
        <w:tab w:val="left" w:pos="600"/>
      </w:tabs>
      <w:autoSpaceDE w:val="0"/>
      <w:autoSpaceDN w:val="0"/>
      <w:adjustRightInd w:val="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5334"/>
    <w:pPr>
      <w:tabs>
        <w:tab w:val="center" w:pos="4320"/>
        <w:tab w:val="right" w:pos="8640"/>
      </w:tabs>
    </w:pPr>
  </w:style>
  <w:style w:type="character" w:styleId="PageNumber">
    <w:name w:val="page number"/>
    <w:basedOn w:val="DefaultParagraphFont"/>
    <w:rsid w:val="00225334"/>
  </w:style>
  <w:style w:type="paragraph" w:styleId="Header">
    <w:name w:val="header"/>
    <w:basedOn w:val="Normal"/>
    <w:link w:val="HeaderChar"/>
    <w:rsid w:val="00225334"/>
    <w:pPr>
      <w:tabs>
        <w:tab w:val="center" w:pos="4320"/>
        <w:tab w:val="right" w:pos="8640"/>
      </w:tabs>
    </w:pPr>
  </w:style>
  <w:style w:type="paragraph" w:styleId="BodyText2">
    <w:name w:val="Body Text 2"/>
    <w:basedOn w:val="Normal"/>
    <w:rsid w:val="00225334"/>
    <w:rPr>
      <w:rFonts w:ascii="Times New Roman" w:hAnsi="Times New Roman"/>
      <w:sz w:val="22"/>
    </w:rPr>
  </w:style>
  <w:style w:type="paragraph" w:customStyle="1" w:styleId="1BulletList">
    <w:name w:val="1Bullet List"/>
    <w:rsid w:val="00225334"/>
    <w:pPr>
      <w:tabs>
        <w:tab w:val="left" w:pos="720"/>
      </w:tabs>
      <w:autoSpaceDE w:val="0"/>
      <w:autoSpaceDN w:val="0"/>
      <w:adjustRightInd w:val="0"/>
      <w:ind w:left="720" w:hanging="720"/>
    </w:pPr>
    <w:rPr>
      <w:szCs w:val="24"/>
    </w:rPr>
  </w:style>
  <w:style w:type="character" w:styleId="Hyperlink">
    <w:name w:val="Hyperlink"/>
    <w:uiPriority w:val="99"/>
    <w:rsid w:val="00225334"/>
    <w:rPr>
      <w:color w:val="0000FF"/>
      <w:u w:val="single"/>
    </w:rPr>
  </w:style>
  <w:style w:type="character" w:customStyle="1" w:styleId="Hypertext">
    <w:name w:val="Hypertext"/>
    <w:rsid w:val="00225334"/>
    <w:rPr>
      <w:b/>
      <w:color w:val="008000"/>
      <w:u w:val="single"/>
    </w:rPr>
  </w:style>
  <w:style w:type="paragraph" w:styleId="Title">
    <w:name w:val="Title"/>
    <w:basedOn w:val="Normal"/>
    <w:link w:val="TitleChar"/>
    <w:qFormat/>
    <w:rsid w:val="002253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snapToGrid w:val="0"/>
      <w:sz w:val="26"/>
    </w:rPr>
  </w:style>
  <w:style w:type="paragraph" w:styleId="Subtitle">
    <w:name w:val="Subtitle"/>
    <w:basedOn w:val="Normal"/>
    <w:qFormat/>
    <w:rsid w:val="002253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napToGrid w:val="0"/>
    </w:rPr>
  </w:style>
  <w:style w:type="paragraph" w:customStyle="1" w:styleId="1">
    <w:name w:val="1"/>
    <w:basedOn w:val="Normal"/>
    <w:rsid w:val="00225334"/>
    <w:pPr>
      <w:widowControl w:val="0"/>
      <w:tabs>
        <w:tab w:val="left" w:pos="-720"/>
        <w:tab w:val="left" w:pos="0"/>
        <w:tab w:val="left" w:pos="360"/>
        <w:tab w:val="left" w:pos="72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280"/>
        <w:tab w:val="left" w:pos="9000"/>
      </w:tabs>
      <w:ind w:left="360"/>
    </w:pPr>
    <w:rPr>
      <w:rFonts w:ascii="Palatino" w:hAnsi="Palatino"/>
      <w:snapToGrid w:val="0"/>
    </w:rPr>
  </w:style>
  <w:style w:type="character" w:styleId="FootnoteReference">
    <w:name w:val="footnote reference"/>
    <w:semiHidden/>
    <w:rsid w:val="00225334"/>
    <w:rPr>
      <w:vertAlign w:val="superscript"/>
    </w:rPr>
  </w:style>
  <w:style w:type="paragraph" w:customStyle="1" w:styleId="BodyTextIn">
    <w:name w:val="Body Text In"/>
    <w:basedOn w:val="Normal"/>
    <w:rsid w:val="00225334"/>
    <w:pPr>
      <w:widowControl w:val="0"/>
      <w:tabs>
        <w:tab w:val="left" w:pos="-360"/>
        <w:tab w:val="left" w:pos="0"/>
        <w:tab w:val="left" w:pos="36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Palatino" w:hAnsi="Palatino"/>
      <w:snapToGrid w:val="0"/>
    </w:rPr>
  </w:style>
  <w:style w:type="paragraph" w:styleId="BodyTextIndent2">
    <w:name w:val="Body Text Indent 2"/>
    <w:basedOn w:val="Normal"/>
    <w:link w:val="BodyTextIndent2Char"/>
    <w:rsid w:val="00225334"/>
    <w:pPr>
      <w:tabs>
        <w:tab w:val="left" w:pos="1680"/>
        <w:tab w:val="left" w:pos="2160"/>
      </w:tabs>
      <w:autoSpaceDE w:val="0"/>
      <w:autoSpaceDN w:val="0"/>
      <w:adjustRightInd w:val="0"/>
      <w:spacing w:before="240" w:after="240"/>
      <w:ind w:left="1680" w:hanging="600"/>
    </w:pPr>
  </w:style>
  <w:style w:type="paragraph" w:styleId="BodyText">
    <w:name w:val="Body Text"/>
    <w:basedOn w:val="Normal"/>
    <w:link w:val="BodyTextChar"/>
    <w:rsid w:val="00225334"/>
    <w:rPr>
      <w:rFonts w:ascii="Times New Roman" w:hAnsi="Times New Roman"/>
    </w:rPr>
  </w:style>
  <w:style w:type="paragraph" w:styleId="BodyTextIndent">
    <w:name w:val="Body Text Indent"/>
    <w:basedOn w:val="Normal"/>
    <w:rsid w:val="00225334"/>
    <w:pPr>
      <w:tabs>
        <w:tab w:val="left" w:pos="1080"/>
        <w:tab w:val="left" w:pos="1440"/>
        <w:tab w:val="left" w:pos="1800"/>
        <w:tab w:val="left" w:pos="2160"/>
      </w:tabs>
      <w:autoSpaceDE w:val="0"/>
      <w:autoSpaceDN w:val="0"/>
      <w:adjustRightInd w:val="0"/>
      <w:ind w:left="960"/>
    </w:pPr>
  </w:style>
  <w:style w:type="paragraph" w:customStyle="1" w:styleId="2">
    <w:name w:val="2"/>
    <w:basedOn w:val="Normal"/>
    <w:rsid w:val="00225334"/>
    <w:pPr>
      <w:widowControl w:val="0"/>
      <w:tabs>
        <w:tab w:val="left" w:pos="-1440"/>
        <w:tab w:val="left" w:pos="-720"/>
        <w:tab w:val="left" w:pos="0"/>
        <w:tab w:val="left" w:pos="360"/>
        <w:tab w:val="left" w:pos="720"/>
        <w:tab w:val="left" w:pos="810"/>
        <w:tab w:val="left" w:pos="1080"/>
        <w:tab w:val="left" w:pos="1440"/>
        <w:tab w:val="left" w:pos="4489"/>
        <w:tab w:val="left" w:pos="6289"/>
        <w:tab w:val="left" w:pos="6649"/>
        <w:tab w:val="left" w:pos="7819"/>
        <w:tab w:val="left" w:pos="8568"/>
        <w:tab w:val="left" w:pos="9289"/>
        <w:tab w:val="left" w:pos="10009"/>
      </w:tabs>
      <w:ind w:left="1080"/>
    </w:pPr>
    <w:rPr>
      <w:rFonts w:ascii="Palatino" w:hAnsi="Palatino"/>
      <w:snapToGrid w:val="0"/>
    </w:rPr>
  </w:style>
  <w:style w:type="paragraph" w:styleId="BodyTextIndent3">
    <w:name w:val="Body Text Indent 3"/>
    <w:basedOn w:val="Normal"/>
    <w:rsid w:val="00225334"/>
    <w:pPr>
      <w:autoSpaceDE w:val="0"/>
      <w:autoSpaceDN w:val="0"/>
      <w:adjustRightInd w:val="0"/>
      <w:ind w:left="1200"/>
    </w:pPr>
  </w:style>
  <w:style w:type="paragraph" w:customStyle="1" w:styleId="ci">
    <w:name w:val="ci"/>
    <w:basedOn w:val="Normal"/>
    <w:rsid w:val="00225334"/>
    <w:pPr>
      <w:tabs>
        <w:tab w:val="left" w:pos="440"/>
        <w:tab w:val="left" w:pos="900"/>
        <w:tab w:val="right" w:leader="dot" w:pos="8640"/>
        <w:tab w:val="right" w:pos="8820"/>
      </w:tabs>
    </w:pPr>
    <w:rPr>
      <w:rFonts w:ascii="New Century Schlbk" w:hAnsi="New Century Schlbk"/>
    </w:rPr>
  </w:style>
  <w:style w:type="paragraph" w:customStyle="1" w:styleId="Level1">
    <w:name w:val="Level 1"/>
    <w:basedOn w:val="Normal"/>
    <w:rsid w:val="00225334"/>
    <w:pPr>
      <w:widowControl w:val="0"/>
      <w:ind w:left="720" w:hanging="360"/>
    </w:pPr>
    <w:rPr>
      <w:rFonts w:ascii="Times New Roman" w:hAnsi="Times New Roman"/>
      <w:snapToGrid w:val="0"/>
    </w:rPr>
  </w:style>
  <w:style w:type="paragraph" w:styleId="NormalWeb">
    <w:name w:val="Normal (Web)"/>
    <w:basedOn w:val="Normal"/>
    <w:uiPriority w:val="99"/>
    <w:rsid w:val="00225334"/>
    <w:pPr>
      <w:spacing w:before="100" w:beforeAutospacing="1" w:after="100" w:afterAutospacing="1"/>
    </w:pPr>
  </w:style>
  <w:style w:type="character" w:styleId="Strong">
    <w:name w:val="Strong"/>
    <w:qFormat/>
    <w:rsid w:val="00225334"/>
    <w:rPr>
      <w:b/>
      <w:bCs/>
    </w:rPr>
  </w:style>
  <w:style w:type="paragraph" w:styleId="FootnoteText">
    <w:name w:val="footnote text"/>
    <w:basedOn w:val="Normal"/>
    <w:semiHidden/>
    <w:rsid w:val="00225334"/>
  </w:style>
  <w:style w:type="character" w:styleId="FollowedHyperlink">
    <w:name w:val="FollowedHyperlink"/>
    <w:rsid w:val="00225334"/>
    <w:rPr>
      <w:color w:val="800080"/>
      <w:u w:val="single"/>
    </w:rPr>
  </w:style>
  <w:style w:type="paragraph" w:customStyle="1" w:styleId="hangingpara">
    <w:name w:val="hanging para"/>
    <w:basedOn w:val="Normal"/>
    <w:rsid w:val="002253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360"/>
    </w:pPr>
    <w:rPr>
      <w:rFonts w:ascii="Times New Roman" w:hAnsi="Times New Roman"/>
      <w:snapToGrid w:val="0"/>
    </w:rPr>
  </w:style>
  <w:style w:type="paragraph" w:customStyle="1" w:styleId="level20">
    <w:name w:val="level2"/>
    <w:basedOn w:val="BodyText2"/>
    <w:rsid w:val="00225334"/>
    <w:pPr>
      <w:tabs>
        <w:tab w:val="num" w:pos="720"/>
        <w:tab w:val="num" w:pos="2880"/>
      </w:tabs>
      <w:spacing w:before="120" w:line="216" w:lineRule="auto"/>
      <w:ind w:left="720" w:hanging="180"/>
    </w:pPr>
    <w:rPr>
      <w:b/>
      <w:i/>
      <w:snapToGrid w:val="0"/>
      <w:sz w:val="24"/>
    </w:rPr>
  </w:style>
  <w:style w:type="paragraph" w:styleId="E-mailSignature">
    <w:name w:val="E-mail Signature"/>
    <w:basedOn w:val="Normal"/>
    <w:rsid w:val="00225334"/>
    <w:rPr>
      <w:rFonts w:ascii="Times New Roman" w:eastAsia="Arial Unicode MS" w:hAnsi="Times New Roman"/>
    </w:rPr>
  </w:style>
  <w:style w:type="paragraph" w:styleId="EnvelopeReturn">
    <w:name w:val="envelope return"/>
    <w:basedOn w:val="Normal"/>
    <w:rsid w:val="00225334"/>
    <w:rPr>
      <w:rFonts w:ascii="Times New Roman" w:hAnsi="Times New Roman"/>
    </w:rPr>
  </w:style>
  <w:style w:type="character" w:styleId="Emphasis">
    <w:name w:val="Emphasis"/>
    <w:uiPriority w:val="20"/>
    <w:qFormat/>
    <w:rsid w:val="00225334"/>
    <w:rPr>
      <w:i/>
      <w:iCs/>
    </w:rPr>
  </w:style>
  <w:style w:type="paragraph" w:styleId="TOC1">
    <w:name w:val="toc 1"/>
    <w:basedOn w:val="Normal"/>
    <w:next w:val="Normal"/>
    <w:autoRedefine/>
    <w:uiPriority w:val="39"/>
    <w:rsid w:val="00BA395A"/>
    <w:pPr>
      <w:tabs>
        <w:tab w:val="left" w:pos="540"/>
        <w:tab w:val="right" w:leader="dot" w:pos="9350"/>
      </w:tabs>
      <w:spacing w:after="100"/>
      <w:ind w:left="-58" w:firstLine="29"/>
      <w:jc w:val="center"/>
    </w:pPr>
    <w:rPr>
      <w:b/>
    </w:rPr>
  </w:style>
  <w:style w:type="character" w:customStyle="1" w:styleId="1Char">
    <w:name w:val="1 Char"/>
    <w:rsid w:val="00225334"/>
    <w:rPr>
      <w:rFonts w:ascii="Palatino" w:hAnsi="Palatino"/>
      <w:snapToGrid w:val="0"/>
      <w:sz w:val="24"/>
      <w:lang w:val="en-US" w:eastAsia="en-US" w:bidi="ar-SA"/>
    </w:rPr>
  </w:style>
  <w:style w:type="paragraph" w:styleId="BodyText3">
    <w:name w:val="Body Text 3"/>
    <w:basedOn w:val="Normal"/>
    <w:rsid w:val="0022533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Level3">
    <w:name w:val="Level 3"/>
    <w:basedOn w:val="Normal"/>
    <w:rsid w:val="00225334"/>
    <w:pPr>
      <w:widowControl w:val="0"/>
      <w:numPr>
        <w:ilvl w:val="2"/>
        <w:numId w:val="2"/>
      </w:numPr>
      <w:autoSpaceDE w:val="0"/>
      <w:autoSpaceDN w:val="0"/>
      <w:adjustRightInd w:val="0"/>
      <w:ind w:left="2160" w:hanging="720"/>
      <w:outlineLvl w:val="2"/>
    </w:pPr>
    <w:rPr>
      <w:rFonts w:ascii="CG Omega" w:hAnsi="CG Omega"/>
      <w:sz w:val="20"/>
    </w:rPr>
  </w:style>
  <w:style w:type="paragraph" w:customStyle="1" w:styleId="Level2">
    <w:name w:val="Level 2"/>
    <w:basedOn w:val="Normal"/>
    <w:rsid w:val="00225334"/>
    <w:pPr>
      <w:widowControl w:val="0"/>
      <w:numPr>
        <w:ilvl w:val="1"/>
        <w:numId w:val="2"/>
      </w:numPr>
      <w:autoSpaceDE w:val="0"/>
      <w:autoSpaceDN w:val="0"/>
      <w:adjustRightInd w:val="0"/>
      <w:ind w:left="1440" w:hanging="720"/>
      <w:outlineLvl w:val="1"/>
    </w:pPr>
    <w:rPr>
      <w:rFonts w:ascii="CG Omega" w:hAnsi="CG Omega"/>
      <w:sz w:val="20"/>
    </w:rPr>
  </w:style>
  <w:style w:type="paragraph" w:styleId="BalloonText">
    <w:name w:val="Balloon Text"/>
    <w:basedOn w:val="Normal"/>
    <w:semiHidden/>
    <w:rsid w:val="00225334"/>
    <w:rPr>
      <w:rFonts w:ascii="Tahoma" w:hAnsi="Tahoma" w:cs="Tahoma"/>
      <w:sz w:val="16"/>
      <w:szCs w:val="16"/>
    </w:rPr>
  </w:style>
  <w:style w:type="paragraph" w:styleId="HTMLPreformatted">
    <w:name w:val="HTML Preformatted"/>
    <w:basedOn w:val="Normal"/>
    <w:link w:val="HTMLPreformattedChar"/>
    <w:rsid w:val="00225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bCs w:val="0"/>
      <w:sz w:val="20"/>
    </w:rPr>
  </w:style>
  <w:style w:type="paragraph" w:styleId="BlockText">
    <w:name w:val="Block Text"/>
    <w:basedOn w:val="Normal"/>
    <w:rsid w:val="00225334"/>
    <w:pPr>
      <w:ind w:left="1300" w:right="1360"/>
    </w:pPr>
    <w:rPr>
      <w:sz w:val="20"/>
    </w:rPr>
  </w:style>
  <w:style w:type="table" w:styleId="TableGrid">
    <w:name w:val="Table Grid"/>
    <w:basedOn w:val="TableNormal"/>
    <w:rsid w:val="00225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225334"/>
    <w:pPr>
      <w:numPr>
        <w:numId w:val="3"/>
      </w:numPr>
    </w:pPr>
  </w:style>
  <w:style w:type="paragraph" w:customStyle="1" w:styleId="1-indent">
    <w:name w:val="1-indent"/>
    <w:basedOn w:val="Normal"/>
    <w:rsid w:val="00225334"/>
    <w:pPr>
      <w:ind w:left="720"/>
    </w:pPr>
    <w:rPr>
      <w:rFonts w:ascii="Palatino" w:hAnsi="Palatino" w:cs="Times New Roman"/>
      <w:bCs w:val="0"/>
      <w:szCs w:val="24"/>
    </w:rPr>
  </w:style>
  <w:style w:type="paragraph" w:styleId="CommentText">
    <w:name w:val="annotation text"/>
    <w:basedOn w:val="Normal"/>
    <w:link w:val="CommentTextChar"/>
    <w:semiHidden/>
    <w:rsid w:val="00225334"/>
    <w:rPr>
      <w:bCs w:val="0"/>
      <w:sz w:val="20"/>
    </w:rPr>
  </w:style>
  <w:style w:type="paragraph" w:customStyle="1" w:styleId="A-Plain">
    <w:name w:val="A-Plain"/>
    <w:basedOn w:val="Normal"/>
    <w:rsid w:val="00225334"/>
    <w:pPr>
      <w:ind w:left="1440"/>
    </w:pPr>
    <w:rPr>
      <w:rFonts w:ascii="Palatino" w:hAnsi="Palatino" w:cs="Times New Roman"/>
      <w:bCs w:val="0"/>
      <w:szCs w:val="24"/>
    </w:rPr>
  </w:style>
  <w:style w:type="numbering" w:styleId="111111">
    <w:name w:val="Outline List 2"/>
    <w:basedOn w:val="NoList"/>
    <w:rsid w:val="00225334"/>
    <w:pPr>
      <w:numPr>
        <w:numId w:val="4"/>
      </w:numPr>
    </w:pPr>
  </w:style>
  <w:style w:type="character" w:styleId="CommentReference">
    <w:name w:val="annotation reference"/>
    <w:semiHidden/>
    <w:rsid w:val="00225334"/>
    <w:rPr>
      <w:sz w:val="16"/>
      <w:szCs w:val="16"/>
    </w:rPr>
  </w:style>
  <w:style w:type="paragraph" w:styleId="CommentSubject">
    <w:name w:val="annotation subject"/>
    <w:basedOn w:val="CommentText"/>
    <w:next w:val="CommentText"/>
    <w:semiHidden/>
    <w:rsid w:val="00225334"/>
    <w:rPr>
      <w:b/>
      <w:bCs/>
    </w:rPr>
  </w:style>
  <w:style w:type="character" w:customStyle="1" w:styleId="PlainTextChar">
    <w:name w:val="Plain Text Char"/>
    <w:link w:val="PlainText"/>
    <w:semiHidden/>
    <w:locked/>
    <w:rsid w:val="00225334"/>
    <w:rPr>
      <w:rFonts w:ascii="Arial" w:hAnsi="Arial"/>
      <w:sz w:val="28"/>
      <w:szCs w:val="21"/>
      <w:lang w:bidi="ar-SA"/>
    </w:rPr>
  </w:style>
  <w:style w:type="paragraph" w:styleId="PlainText">
    <w:name w:val="Plain Text"/>
    <w:basedOn w:val="Normal"/>
    <w:link w:val="PlainTextChar"/>
    <w:semiHidden/>
    <w:rsid w:val="00225334"/>
    <w:rPr>
      <w:rFonts w:cs="Times New Roman"/>
      <w:bCs w:val="0"/>
      <w:sz w:val="28"/>
      <w:szCs w:val="21"/>
    </w:rPr>
  </w:style>
  <w:style w:type="paragraph" w:customStyle="1" w:styleId="nospacing">
    <w:name w:val="nospacing"/>
    <w:basedOn w:val="Normal"/>
    <w:rsid w:val="00225334"/>
    <w:pPr>
      <w:spacing w:before="79" w:after="240"/>
    </w:pPr>
    <w:rPr>
      <w:rFonts w:ascii="Times New Roman" w:hAnsi="Times New Roman" w:cs="Times New Roman"/>
      <w:bCs w:val="0"/>
      <w:szCs w:val="24"/>
    </w:rPr>
  </w:style>
  <w:style w:type="numbering" w:styleId="1ai">
    <w:name w:val="Outline List 1"/>
    <w:basedOn w:val="NoList"/>
    <w:rsid w:val="00225334"/>
    <w:pPr>
      <w:numPr>
        <w:numId w:val="5"/>
      </w:numPr>
    </w:pPr>
  </w:style>
  <w:style w:type="character" w:customStyle="1" w:styleId="FooterChar">
    <w:name w:val="Footer Char"/>
    <w:link w:val="Footer"/>
    <w:uiPriority w:val="99"/>
    <w:locked/>
    <w:rsid w:val="003774EA"/>
    <w:rPr>
      <w:rFonts w:ascii="Arial" w:hAnsi="Arial" w:cs="Arial"/>
      <w:bCs/>
      <w:sz w:val="24"/>
      <w:lang w:val="en-US" w:eastAsia="en-US" w:bidi="ar-SA"/>
    </w:rPr>
  </w:style>
  <w:style w:type="paragraph" w:styleId="DocumentMap">
    <w:name w:val="Document Map"/>
    <w:basedOn w:val="Normal"/>
    <w:semiHidden/>
    <w:rsid w:val="00F94D22"/>
    <w:pPr>
      <w:shd w:val="clear" w:color="auto" w:fill="000080"/>
    </w:pPr>
    <w:rPr>
      <w:rFonts w:ascii="Tahoma" w:hAnsi="Tahoma" w:cs="Tahoma"/>
      <w:sz w:val="20"/>
    </w:rPr>
  </w:style>
  <w:style w:type="paragraph" w:styleId="Revision">
    <w:name w:val="Revision"/>
    <w:hidden/>
    <w:uiPriority w:val="99"/>
    <w:semiHidden/>
    <w:rsid w:val="007128EC"/>
    <w:rPr>
      <w:rFonts w:ascii="Arial" w:hAnsi="Arial" w:cs="Arial"/>
      <w:bCs/>
      <w:sz w:val="24"/>
    </w:rPr>
  </w:style>
  <w:style w:type="paragraph" w:styleId="ListParagraph">
    <w:name w:val="List Paragraph"/>
    <w:basedOn w:val="Normal"/>
    <w:uiPriority w:val="34"/>
    <w:qFormat/>
    <w:rsid w:val="00F363B2"/>
    <w:pPr>
      <w:ind w:left="720"/>
    </w:pPr>
  </w:style>
  <w:style w:type="character" w:customStyle="1" w:styleId="HeaderChar">
    <w:name w:val="Header Char"/>
    <w:link w:val="Header"/>
    <w:locked/>
    <w:rsid w:val="00317B67"/>
    <w:rPr>
      <w:rFonts w:ascii="Arial" w:hAnsi="Arial" w:cs="Arial"/>
      <w:bCs/>
      <w:sz w:val="24"/>
    </w:rPr>
  </w:style>
  <w:style w:type="numbering" w:customStyle="1" w:styleId="Style2">
    <w:name w:val="Style2"/>
    <w:rsid w:val="00562C98"/>
    <w:pPr>
      <w:numPr>
        <w:numId w:val="6"/>
      </w:numPr>
    </w:pPr>
  </w:style>
  <w:style w:type="character" w:customStyle="1" w:styleId="CommentTextChar">
    <w:name w:val="Comment Text Char"/>
    <w:link w:val="CommentText"/>
    <w:semiHidden/>
    <w:locked/>
    <w:rsid w:val="00DD1A5E"/>
    <w:rPr>
      <w:rFonts w:ascii="Arial" w:hAnsi="Arial" w:cs="Arial"/>
    </w:rPr>
  </w:style>
  <w:style w:type="character" w:customStyle="1" w:styleId="HTMLPreformattedChar">
    <w:name w:val="HTML Preformatted Char"/>
    <w:link w:val="HTMLPreformatted"/>
    <w:locked/>
    <w:rsid w:val="00F736F2"/>
    <w:rPr>
      <w:rFonts w:ascii="Arial Unicode MS" w:eastAsia="Arial Unicode MS" w:hAnsi="Arial Unicode MS" w:cs="Arial Unicode MS"/>
    </w:rPr>
  </w:style>
  <w:style w:type="paragraph" w:customStyle="1" w:styleId="Pa1">
    <w:name w:val="Pa1"/>
    <w:basedOn w:val="Normal"/>
    <w:next w:val="Normal"/>
    <w:uiPriority w:val="99"/>
    <w:rsid w:val="00F736F2"/>
    <w:pPr>
      <w:autoSpaceDE w:val="0"/>
      <w:autoSpaceDN w:val="0"/>
      <w:adjustRightInd w:val="0"/>
      <w:spacing w:line="201" w:lineRule="atLeast"/>
    </w:pPr>
    <w:rPr>
      <w:rFonts w:ascii="Frutiger 45 Light" w:hAnsi="Frutiger 45 Light" w:cs="Times New Roman"/>
      <w:bCs w:val="0"/>
      <w:szCs w:val="24"/>
    </w:rPr>
  </w:style>
  <w:style w:type="paragraph" w:styleId="EndnoteText">
    <w:name w:val="endnote text"/>
    <w:basedOn w:val="Normal"/>
    <w:link w:val="EndnoteTextChar"/>
    <w:rsid w:val="00673C3F"/>
    <w:rPr>
      <w:sz w:val="20"/>
    </w:rPr>
  </w:style>
  <w:style w:type="character" w:customStyle="1" w:styleId="EndnoteTextChar">
    <w:name w:val="Endnote Text Char"/>
    <w:basedOn w:val="DefaultParagraphFont"/>
    <w:link w:val="EndnoteText"/>
    <w:rsid w:val="00673C3F"/>
    <w:rPr>
      <w:rFonts w:ascii="Arial" w:hAnsi="Arial" w:cs="Arial"/>
      <w:bCs/>
    </w:rPr>
  </w:style>
  <w:style w:type="character" w:styleId="EndnoteReference">
    <w:name w:val="endnote reference"/>
    <w:basedOn w:val="DefaultParagraphFont"/>
    <w:rsid w:val="00673C3F"/>
    <w:rPr>
      <w:vertAlign w:val="superscript"/>
    </w:rPr>
  </w:style>
  <w:style w:type="paragraph" w:customStyle="1" w:styleId="Default">
    <w:name w:val="Default"/>
    <w:rsid w:val="00673C3F"/>
    <w:pPr>
      <w:autoSpaceDE w:val="0"/>
      <w:autoSpaceDN w:val="0"/>
      <w:adjustRightInd w:val="0"/>
    </w:pPr>
    <w:rPr>
      <w:rFonts w:ascii="Myriad Pro" w:hAnsi="Myriad Pro" w:cs="Myriad Pro"/>
      <w:color w:val="000000"/>
      <w:sz w:val="24"/>
      <w:szCs w:val="24"/>
    </w:rPr>
  </w:style>
  <w:style w:type="character" w:customStyle="1" w:styleId="A6">
    <w:name w:val="A6"/>
    <w:uiPriority w:val="99"/>
    <w:rsid w:val="00673C3F"/>
    <w:rPr>
      <w:rFonts w:cs="Myriad Pro"/>
      <w:b/>
      <w:bCs/>
      <w:color w:val="000000"/>
      <w:sz w:val="27"/>
      <w:szCs w:val="27"/>
    </w:rPr>
  </w:style>
  <w:style w:type="paragraph" w:customStyle="1" w:styleId="resourceeditors">
    <w:name w:val="resource_editors"/>
    <w:basedOn w:val="Normal"/>
    <w:rsid w:val="0011778D"/>
    <w:pPr>
      <w:spacing w:before="100" w:beforeAutospacing="1" w:after="100" w:afterAutospacing="1"/>
    </w:pPr>
    <w:rPr>
      <w:rFonts w:ascii="Times New Roman" w:hAnsi="Times New Roman" w:cs="Times New Roman"/>
      <w:bCs w:val="0"/>
      <w:sz w:val="21"/>
      <w:szCs w:val="21"/>
    </w:rPr>
  </w:style>
  <w:style w:type="character" w:customStyle="1" w:styleId="BodyTextIndent2Char">
    <w:name w:val="Body Text Indent 2 Char"/>
    <w:basedOn w:val="DefaultParagraphFont"/>
    <w:link w:val="BodyTextIndent2"/>
    <w:rsid w:val="00E41774"/>
    <w:rPr>
      <w:rFonts w:ascii="Arial" w:hAnsi="Arial" w:cs="Arial"/>
      <w:bCs/>
      <w:sz w:val="24"/>
    </w:rPr>
  </w:style>
  <w:style w:type="character" w:customStyle="1" w:styleId="TitleChar">
    <w:name w:val="Title Char"/>
    <w:link w:val="Title"/>
    <w:rsid w:val="00AE6458"/>
    <w:rPr>
      <w:rFonts w:cs="Arial"/>
      <w:b/>
      <w:bCs/>
      <w:snapToGrid w:val="0"/>
      <w:sz w:val="26"/>
    </w:rPr>
  </w:style>
  <w:style w:type="character" w:styleId="SubtleEmphasis">
    <w:name w:val="Subtle Emphasis"/>
    <w:uiPriority w:val="19"/>
    <w:qFormat/>
    <w:rsid w:val="00AE6458"/>
    <w:rPr>
      <w:i/>
      <w:iCs/>
      <w:color w:val="404040"/>
    </w:rPr>
  </w:style>
  <w:style w:type="character" w:styleId="IntenseEmphasis">
    <w:name w:val="Intense Emphasis"/>
    <w:basedOn w:val="DefaultParagraphFont"/>
    <w:uiPriority w:val="21"/>
    <w:qFormat/>
    <w:rsid w:val="003F6C55"/>
    <w:rPr>
      <w:i/>
      <w:iCs/>
      <w:color w:val="5B9BD5" w:themeColor="accent1"/>
    </w:rPr>
  </w:style>
  <w:style w:type="paragraph" w:styleId="NoSpacing0">
    <w:name w:val="No Spacing"/>
    <w:uiPriority w:val="1"/>
    <w:qFormat/>
    <w:rsid w:val="000A7C15"/>
    <w:rPr>
      <w:rFonts w:ascii="Arial" w:hAnsi="Arial" w:cs="Arial"/>
      <w:bCs/>
      <w:sz w:val="24"/>
    </w:rPr>
  </w:style>
  <w:style w:type="paragraph" w:styleId="TOCHeading">
    <w:name w:val="TOC Heading"/>
    <w:basedOn w:val="Heading1"/>
    <w:next w:val="Normal"/>
    <w:uiPriority w:val="39"/>
    <w:unhideWhenUsed/>
    <w:qFormat/>
    <w:rsid w:val="00F4631C"/>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2">
    <w:name w:val="toc 2"/>
    <w:basedOn w:val="Normal"/>
    <w:next w:val="Normal"/>
    <w:autoRedefine/>
    <w:uiPriority w:val="39"/>
    <w:rsid w:val="00F4631C"/>
    <w:pPr>
      <w:spacing w:after="100"/>
      <w:ind w:left="240"/>
    </w:pPr>
  </w:style>
  <w:style w:type="paragraph" w:styleId="TOC3">
    <w:name w:val="toc 3"/>
    <w:basedOn w:val="Normal"/>
    <w:next w:val="Normal"/>
    <w:autoRedefine/>
    <w:uiPriority w:val="39"/>
    <w:rsid w:val="00F41CB2"/>
    <w:pPr>
      <w:tabs>
        <w:tab w:val="left" w:pos="900"/>
        <w:tab w:val="right" w:leader="dot" w:pos="9350"/>
      </w:tabs>
      <w:spacing w:after="100"/>
      <w:ind w:left="230"/>
    </w:pPr>
    <w:rPr>
      <w:noProof/>
    </w:rPr>
  </w:style>
  <w:style w:type="character" w:customStyle="1" w:styleId="BodyTextChar">
    <w:name w:val="Body Text Char"/>
    <w:basedOn w:val="DefaultParagraphFont"/>
    <w:link w:val="BodyText"/>
    <w:rsid w:val="00524613"/>
    <w:rPr>
      <w:rFonts w:cs="Arial"/>
      <w:bCs/>
      <w:sz w:val="24"/>
    </w:rPr>
  </w:style>
  <w:style w:type="character" w:customStyle="1" w:styleId="ListBulletChar">
    <w:name w:val="List Bullet Char"/>
    <w:link w:val="ListBullet"/>
    <w:rsid w:val="00EC00A9"/>
    <w:rPr>
      <w:rFonts w:ascii="Arial" w:hAnsi="Arial"/>
      <w:sz w:val="24"/>
      <w:szCs w:val="24"/>
    </w:rPr>
  </w:style>
  <w:style w:type="paragraph" w:styleId="ListBullet">
    <w:name w:val="List Bullet"/>
    <w:basedOn w:val="BodyText"/>
    <w:link w:val="ListBulletChar"/>
    <w:rsid w:val="00EC00A9"/>
    <w:pPr>
      <w:numPr>
        <w:numId w:val="17"/>
      </w:numPr>
      <w:tabs>
        <w:tab w:val="left" w:pos="720"/>
      </w:tabs>
      <w:spacing w:before="60" w:after="120" w:line="360" w:lineRule="auto"/>
    </w:pPr>
    <w:rPr>
      <w:rFonts w:ascii="Arial" w:hAnsi="Arial" w:cs="Times New Roman"/>
      <w:bCs w:val="0"/>
      <w:szCs w:val="24"/>
    </w:rPr>
  </w:style>
  <w:style w:type="paragraph" w:styleId="ListBullet2">
    <w:name w:val="List Bullet 2"/>
    <w:basedOn w:val="Normal"/>
    <w:link w:val="ListBullet2Char"/>
    <w:rsid w:val="00EC00A9"/>
    <w:pPr>
      <w:numPr>
        <w:numId w:val="18"/>
      </w:numPr>
      <w:spacing w:before="60" w:after="120" w:line="360" w:lineRule="auto"/>
    </w:pPr>
    <w:rPr>
      <w:rFonts w:eastAsia="Calibri" w:cs="Calibri"/>
      <w:bCs w:val="0"/>
      <w:szCs w:val="24"/>
    </w:rPr>
  </w:style>
  <w:style w:type="character" w:customStyle="1" w:styleId="ListBullet2Char">
    <w:name w:val="List Bullet 2 Char"/>
    <w:link w:val="ListBullet2"/>
    <w:rsid w:val="00EC00A9"/>
    <w:rPr>
      <w:rFonts w:ascii="Arial" w:eastAsia="Calibri" w:hAnsi="Arial"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09588">
      <w:bodyDiv w:val="1"/>
      <w:marLeft w:val="0"/>
      <w:marRight w:val="0"/>
      <w:marTop w:val="0"/>
      <w:marBottom w:val="0"/>
      <w:divBdr>
        <w:top w:val="none" w:sz="0" w:space="0" w:color="auto"/>
        <w:left w:val="none" w:sz="0" w:space="0" w:color="auto"/>
        <w:bottom w:val="none" w:sz="0" w:space="0" w:color="auto"/>
        <w:right w:val="none" w:sz="0" w:space="0" w:color="auto"/>
      </w:divBdr>
    </w:div>
    <w:div w:id="448477122">
      <w:bodyDiv w:val="1"/>
      <w:marLeft w:val="0"/>
      <w:marRight w:val="0"/>
      <w:marTop w:val="0"/>
      <w:marBottom w:val="0"/>
      <w:divBdr>
        <w:top w:val="none" w:sz="0" w:space="0" w:color="auto"/>
        <w:left w:val="none" w:sz="0" w:space="0" w:color="auto"/>
        <w:bottom w:val="none" w:sz="0" w:space="0" w:color="auto"/>
        <w:right w:val="none" w:sz="0" w:space="0" w:color="auto"/>
      </w:divBdr>
    </w:div>
    <w:div w:id="615067218">
      <w:bodyDiv w:val="1"/>
      <w:marLeft w:val="0"/>
      <w:marRight w:val="0"/>
      <w:marTop w:val="0"/>
      <w:marBottom w:val="0"/>
      <w:divBdr>
        <w:top w:val="none" w:sz="0" w:space="0" w:color="auto"/>
        <w:left w:val="none" w:sz="0" w:space="0" w:color="auto"/>
        <w:bottom w:val="none" w:sz="0" w:space="0" w:color="auto"/>
        <w:right w:val="none" w:sz="0" w:space="0" w:color="auto"/>
      </w:divBdr>
    </w:div>
    <w:div w:id="637225683">
      <w:bodyDiv w:val="1"/>
      <w:marLeft w:val="0"/>
      <w:marRight w:val="0"/>
      <w:marTop w:val="0"/>
      <w:marBottom w:val="0"/>
      <w:divBdr>
        <w:top w:val="none" w:sz="0" w:space="0" w:color="auto"/>
        <w:left w:val="none" w:sz="0" w:space="0" w:color="auto"/>
        <w:bottom w:val="none" w:sz="0" w:space="0" w:color="auto"/>
        <w:right w:val="none" w:sz="0" w:space="0" w:color="auto"/>
      </w:divBdr>
    </w:div>
    <w:div w:id="738788965">
      <w:bodyDiv w:val="1"/>
      <w:marLeft w:val="0"/>
      <w:marRight w:val="0"/>
      <w:marTop w:val="0"/>
      <w:marBottom w:val="0"/>
      <w:divBdr>
        <w:top w:val="none" w:sz="0" w:space="0" w:color="auto"/>
        <w:left w:val="none" w:sz="0" w:space="0" w:color="auto"/>
        <w:bottom w:val="none" w:sz="0" w:space="0" w:color="auto"/>
        <w:right w:val="none" w:sz="0" w:space="0" w:color="auto"/>
      </w:divBdr>
    </w:div>
    <w:div w:id="1103262437">
      <w:bodyDiv w:val="1"/>
      <w:marLeft w:val="0"/>
      <w:marRight w:val="0"/>
      <w:marTop w:val="0"/>
      <w:marBottom w:val="0"/>
      <w:divBdr>
        <w:top w:val="none" w:sz="0" w:space="0" w:color="auto"/>
        <w:left w:val="none" w:sz="0" w:space="0" w:color="auto"/>
        <w:bottom w:val="none" w:sz="0" w:space="0" w:color="auto"/>
        <w:right w:val="none" w:sz="0" w:space="0" w:color="auto"/>
      </w:divBdr>
    </w:div>
    <w:div w:id="1468737155">
      <w:bodyDiv w:val="1"/>
      <w:marLeft w:val="0"/>
      <w:marRight w:val="0"/>
      <w:marTop w:val="0"/>
      <w:marBottom w:val="0"/>
      <w:divBdr>
        <w:top w:val="none" w:sz="0" w:space="0" w:color="auto"/>
        <w:left w:val="none" w:sz="0" w:space="0" w:color="auto"/>
        <w:bottom w:val="none" w:sz="0" w:space="0" w:color="auto"/>
        <w:right w:val="none" w:sz="0" w:space="0" w:color="auto"/>
      </w:divBdr>
    </w:div>
    <w:div w:id="1524123528">
      <w:bodyDiv w:val="1"/>
      <w:marLeft w:val="0"/>
      <w:marRight w:val="0"/>
      <w:marTop w:val="0"/>
      <w:marBottom w:val="0"/>
      <w:divBdr>
        <w:top w:val="none" w:sz="0" w:space="0" w:color="auto"/>
        <w:left w:val="none" w:sz="0" w:space="0" w:color="auto"/>
        <w:bottom w:val="none" w:sz="0" w:space="0" w:color="auto"/>
        <w:right w:val="none" w:sz="0" w:space="0" w:color="auto"/>
      </w:divBdr>
      <w:divsChild>
        <w:div w:id="1440024185">
          <w:marLeft w:val="0"/>
          <w:marRight w:val="0"/>
          <w:marTop w:val="0"/>
          <w:marBottom w:val="0"/>
          <w:divBdr>
            <w:top w:val="none" w:sz="0" w:space="0" w:color="auto"/>
            <w:left w:val="none" w:sz="0" w:space="0" w:color="auto"/>
            <w:bottom w:val="none" w:sz="0" w:space="0" w:color="auto"/>
            <w:right w:val="none" w:sz="0" w:space="0" w:color="auto"/>
          </w:divBdr>
          <w:divsChild>
            <w:div w:id="1802112126">
              <w:marLeft w:val="0"/>
              <w:marRight w:val="0"/>
              <w:marTop w:val="0"/>
              <w:marBottom w:val="150"/>
              <w:divBdr>
                <w:top w:val="single" w:sz="48" w:space="8" w:color="95ADBB"/>
                <w:left w:val="none" w:sz="0" w:space="0" w:color="auto"/>
                <w:bottom w:val="none" w:sz="0" w:space="0" w:color="auto"/>
                <w:right w:val="none" w:sz="0" w:space="0" w:color="auto"/>
              </w:divBdr>
              <w:divsChild>
                <w:div w:id="1175849364">
                  <w:marLeft w:val="0"/>
                  <w:marRight w:val="0"/>
                  <w:marTop w:val="0"/>
                  <w:marBottom w:val="0"/>
                  <w:divBdr>
                    <w:top w:val="none" w:sz="0" w:space="0" w:color="auto"/>
                    <w:left w:val="none" w:sz="0" w:space="0" w:color="auto"/>
                    <w:bottom w:val="none" w:sz="0" w:space="0" w:color="auto"/>
                    <w:right w:val="none" w:sz="0" w:space="0" w:color="auto"/>
                  </w:divBdr>
                  <w:divsChild>
                    <w:div w:id="1367297545">
                      <w:marLeft w:val="0"/>
                      <w:marRight w:val="0"/>
                      <w:marTop w:val="0"/>
                      <w:marBottom w:val="0"/>
                      <w:divBdr>
                        <w:top w:val="none" w:sz="0" w:space="0" w:color="auto"/>
                        <w:left w:val="none" w:sz="0" w:space="0" w:color="auto"/>
                        <w:bottom w:val="none" w:sz="0" w:space="0" w:color="auto"/>
                        <w:right w:val="none" w:sz="0" w:space="0" w:color="auto"/>
                      </w:divBdr>
                      <w:divsChild>
                        <w:div w:id="412632568">
                          <w:marLeft w:val="0"/>
                          <w:marRight w:val="0"/>
                          <w:marTop w:val="0"/>
                          <w:marBottom w:val="0"/>
                          <w:divBdr>
                            <w:top w:val="none" w:sz="0" w:space="0" w:color="auto"/>
                            <w:left w:val="none" w:sz="0" w:space="0" w:color="auto"/>
                            <w:bottom w:val="none" w:sz="0" w:space="0" w:color="auto"/>
                            <w:right w:val="none" w:sz="0" w:space="0" w:color="auto"/>
                          </w:divBdr>
                          <w:divsChild>
                            <w:div w:id="1525248659">
                              <w:marLeft w:val="0"/>
                              <w:marRight w:val="0"/>
                              <w:marTop w:val="30"/>
                              <w:marBottom w:val="0"/>
                              <w:divBdr>
                                <w:top w:val="none" w:sz="0" w:space="0" w:color="auto"/>
                                <w:left w:val="none" w:sz="0" w:space="0" w:color="auto"/>
                                <w:bottom w:val="none" w:sz="0" w:space="0" w:color="auto"/>
                                <w:right w:val="none" w:sz="0" w:space="0" w:color="auto"/>
                              </w:divBdr>
                              <w:divsChild>
                                <w:div w:id="1424649880">
                                  <w:marLeft w:val="0"/>
                                  <w:marRight w:val="0"/>
                                  <w:marTop w:val="0"/>
                                  <w:marBottom w:val="0"/>
                                  <w:divBdr>
                                    <w:top w:val="none" w:sz="0" w:space="0" w:color="auto"/>
                                    <w:left w:val="none" w:sz="0" w:space="0" w:color="auto"/>
                                    <w:bottom w:val="none" w:sz="0" w:space="0" w:color="auto"/>
                                    <w:right w:val="none" w:sz="0" w:space="0" w:color="auto"/>
                                  </w:divBdr>
                                  <w:divsChild>
                                    <w:div w:id="144854217">
                                      <w:marLeft w:val="0"/>
                                      <w:marRight w:val="0"/>
                                      <w:marTop w:val="0"/>
                                      <w:marBottom w:val="0"/>
                                      <w:divBdr>
                                        <w:top w:val="none" w:sz="0" w:space="0" w:color="auto"/>
                                        <w:left w:val="none" w:sz="0" w:space="0" w:color="auto"/>
                                        <w:bottom w:val="none" w:sz="0" w:space="0" w:color="auto"/>
                                        <w:right w:val="none" w:sz="0" w:space="0" w:color="auto"/>
                                      </w:divBdr>
                                      <w:divsChild>
                                        <w:div w:id="11417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147274">
      <w:bodyDiv w:val="1"/>
      <w:marLeft w:val="0"/>
      <w:marRight w:val="0"/>
      <w:marTop w:val="0"/>
      <w:marBottom w:val="0"/>
      <w:divBdr>
        <w:top w:val="none" w:sz="0" w:space="0" w:color="auto"/>
        <w:left w:val="none" w:sz="0" w:space="0" w:color="auto"/>
        <w:bottom w:val="none" w:sz="0" w:space="0" w:color="auto"/>
        <w:right w:val="none" w:sz="0" w:space="0" w:color="auto"/>
      </w:divBdr>
    </w:div>
    <w:div w:id="1674989688">
      <w:bodyDiv w:val="1"/>
      <w:marLeft w:val="0"/>
      <w:marRight w:val="0"/>
      <w:marTop w:val="0"/>
      <w:marBottom w:val="0"/>
      <w:divBdr>
        <w:top w:val="none" w:sz="0" w:space="0" w:color="auto"/>
        <w:left w:val="none" w:sz="0" w:space="0" w:color="auto"/>
        <w:bottom w:val="none" w:sz="0" w:space="0" w:color="auto"/>
        <w:right w:val="none" w:sz="0" w:space="0" w:color="auto"/>
      </w:divBdr>
      <w:divsChild>
        <w:div w:id="1238982855">
          <w:marLeft w:val="0"/>
          <w:marRight w:val="0"/>
          <w:marTop w:val="0"/>
          <w:marBottom w:val="0"/>
          <w:divBdr>
            <w:top w:val="none" w:sz="0" w:space="0" w:color="auto"/>
            <w:left w:val="none" w:sz="0" w:space="0" w:color="auto"/>
            <w:bottom w:val="none" w:sz="0" w:space="0" w:color="auto"/>
            <w:right w:val="none" w:sz="0" w:space="0" w:color="auto"/>
          </w:divBdr>
          <w:divsChild>
            <w:div w:id="295184585">
              <w:marLeft w:val="0"/>
              <w:marRight w:val="0"/>
              <w:marTop w:val="0"/>
              <w:marBottom w:val="150"/>
              <w:divBdr>
                <w:top w:val="single" w:sz="48" w:space="8" w:color="95ADBB"/>
                <w:left w:val="none" w:sz="0" w:space="0" w:color="auto"/>
                <w:bottom w:val="none" w:sz="0" w:space="0" w:color="auto"/>
                <w:right w:val="none" w:sz="0" w:space="0" w:color="auto"/>
              </w:divBdr>
              <w:divsChild>
                <w:div w:id="1326935592">
                  <w:marLeft w:val="0"/>
                  <w:marRight w:val="0"/>
                  <w:marTop w:val="0"/>
                  <w:marBottom w:val="0"/>
                  <w:divBdr>
                    <w:top w:val="none" w:sz="0" w:space="0" w:color="auto"/>
                    <w:left w:val="none" w:sz="0" w:space="0" w:color="auto"/>
                    <w:bottom w:val="none" w:sz="0" w:space="0" w:color="auto"/>
                    <w:right w:val="none" w:sz="0" w:space="0" w:color="auto"/>
                  </w:divBdr>
                  <w:divsChild>
                    <w:div w:id="1733844377">
                      <w:marLeft w:val="0"/>
                      <w:marRight w:val="0"/>
                      <w:marTop w:val="0"/>
                      <w:marBottom w:val="0"/>
                      <w:divBdr>
                        <w:top w:val="none" w:sz="0" w:space="0" w:color="auto"/>
                        <w:left w:val="none" w:sz="0" w:space="0" w:color="auto"/>
                        <w:bottom w:val="none" w:sz="0" w:space="0" w:color="auto"/>
                        <w:right w:val="none" w:sz="0" w:space="0" w:color="auto"/>
                      </w:divBdr>
                      <w:divsChild>
                        <w:div w:id="200096394">
                          <w:marLeft w:val="0"/>
                          <w:marRight w:val="0"/>
                          <w:marTop w:val="0"/>
                          <w:marBottom w:val="0"/>
                          <w:divBdr>
                            <w:top w:val="none" w:sz="0" w:space="0" w:color="auto"/>
                            <w:left w:val="none" w:sz="0" w:space="0" w:color="auto"/>
                            <w:bottom w:val="none" w:sz="0" w:space="0" w:color="auto"/>
                            <w:right w:val="none" w:sz="0" w:space="0" w:color="auto"/>
                          </w:divBdr>
                          <w:divsChild>
                            <w:div w:id="461926692">
                              <w:marLeft w:val="0"/>
                              <w:marRight w:val="0"/>
                              <w:marTop w:val="30"/>
                              <w:marBottom w:val="0"/>
                              <w:divBdr>
                                <w:top w:val="none" w:sz="0" w:space="0" w:color="auto"/>
                                <w:left w:val="none" w:sz="0" w:space="0" w:color="auto"/>
                                <w:bottom w:val="none" w:sz="0" w:space="0" w:color="auto"/>
                                <w:right w:val="none" w:sz="0" w:space="0" w:color="auto"/>
                              </w:divBdr>
                              <w:divsChild>
                                <w:div w:id="5267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7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e.ca.gov/fg/fo/r8/aiec17rfa.asp" TargetMode="External"/><Relationship Id="rId18" Type="http://schemas.openxmlformats.org/officeDocument/2006/relationships/hyperlink" Target="http://canfit.org/our_work/programs/snackguid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cde.ca.gov/fg/fo/r8/aiec17rfa.asp" TargetMode="External"/><Relationship Id="rId7" Type="http://schemas.openxmlformats.org/officeDocument/2006/relationships/endnotes" Target="endnotes.xml"/><Relationship Id="rId12" Type="http://schemas.openxmlformats.org/officeDocument/2006/relationships/hyperlink" Target="https://www.cde.ca.gov/fg/fo/r8/aiec17rfa.asp" TargetMode="External"/><Relationship Id="rId17" Type="http://schemas.openxmlformats.org/officeDocument/2006/relationships/hyperlink" Target="https://www.cde.ca.gov/fg/fo/r8/aiec17rfa.as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e.ca.gov/fg/fo/r8/aiec17rfa.asp" TargetMode="External"/><Relationship Id="rId20" Type="http://schemas.openxmlformats.org/officeDocument/2006/relationships/hyperlink" Target="https://www.cde.ca.gov/fg/fo/r8/aiec17rfa.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fo/r8/aiec17rfa.asp" TargetMode="External"/><Relationship Id="rId24" Type="http://schemas.openxmlformats.org/officeDocument/2006/relationships/hyperlink" Target="https://www.councilofnonprofits.org/omb-uniform-guidance" TargetMode="External"/><Relationship Id="rId5" Type="http://schemas.openxmlformats.org/officeDocument/2006/relationships/webSettings" Target="webSettings.xml"/><Relationship Id="rId15" Type="http://schemas.openxmlformats.org/officeDocument/2006/relationships/hyperlink" Target="http://www.cde.ca.gov/fg/fo/fm/generalassurances2018.asp" TargetMode="External"/><Relationship Id="rId23" Type="http://schemas.openxmlformats.org/officeDocument/2006/relationships/hyperlink" Target="http://www.ecfr.gov/cgi-bin/text-idx?SID=148e539f1aaea800420b71a9feb79f98&amp;mc=true&amp;node=sp2.1.200.e&amp;rgn=div6" TargetMode="External"/><Relationship Id="rId28" Type="http://schemas.openxmlformats.org/officeDocument/2006/relationships/footer" Target="footer4.xml"/><Relationship Id="rId10" Type="http://schemas.openxmlformats.org/officeDocument/2006/relationships/hyperlink" Target="https://www.cde.ca.gov/fg/fo/r8/aiec17rfa.asp" TargetMode="External"/><Relationship Id="rId19" Type="http://schemas.openxmlformats.org/officeDocument/2006/relationships/hyperlink" Target="http://wested.org/resources/healthy-kids-survey-hk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de.ca.gov/fg/fo/r8/aiec17rfa.asp" TargetMode="External"/><Relationship Id="rId22" Type="http://schemas.openxmlformats.org/officeDocument/2006/relationships/hyperlink" Target="https://www.cde.ca.gov/fg/fo/r8/aiec17rfa.asp"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0F463-616C-4FEE-8690-4A30E5A2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6064</Words>
  <Characters>34568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RFA-18: American Indian Education Center Program (CA Dept of Education)</vt:lpstr>
    </vt:vector>
  </TitlesOfParts>
  <Company> </Company>
  <LinksUpToDate>false</LinksUpToDate>
  <CharactersWithSpaces>40551</CharactersWithSpaces>
  <SharedDoc>false</SharedDoc>
  <HLinks>
    <vt:vector size="72" baseType="variant">
      <vt:variant>
        <vt:i4>4325398</vt:i4>
      </vt:variant>
      <vt:variant>
        <vt:i4>136</vt:i4>
      </vt:variant>
      <vt:variant>
        <vt:i4>0</vt:i4>
      </vt:variant>
      <vt:variant>
        <vt:i4>5</vt:i4>
      </vt:variant>
      <vt:variant>
        <vt:lpwstr>http://www.californiasmokershelpline.org/</vt:lpwstr>
      </vt:variant>
      <vt:variant>
        <vt:lpwstr/>
      </vt:variant>
      <vt:variant>
        <vt:i4>7143456</vt:i4>
      </vt:variant>
      <vt:variant>
        <vt:i4>133</vt:i4>
      </vt:variant>
      <vt:variant>
        <vt:i4>0</vt:i4>
      </vt:variant>
      <vt:variant>
        <vt:i4>5</vt:i4>
      </vt:variant>
      <vt:variant>
        <vt:lpwstr>http://www.cde.ca.gov/ls/he/at/tobaccofreecert.asp</vt:lpwstr>
      </vt:variant>
      <vt:variant>
        <vt:lpwstr/>
      </vt:variant>
      <vt:variant>
        <vt:i4>6225938</vt:i4>
      </vt:variant>
      <vt:variant>
        <vt:i4>130</vt:i4>
      </vt:variant>
      <vt:variant>
        <vt:i4>0</vt:i4>
      </vt:variant>
      <vt:variant>
        <vt:i4>5</vt:i4>
      </vt:variant>
      <vt:variant>
        <vt:lpwstr>http://www.cde.ca.gov/ls/he/at/countycoordinators.asp</vt:lpwstr>
      </vt:variant>
      <vt:variant>
        <vt:lpwstr/>
      </vt:variant>
      <vt:variant>
        <vt:i4>7340079</vt:i4>
      </vt:variant>
      <vt:variant>
        <vt:i4>127</vt:i4>
      </vt:variant>
      <vt:variant>
        <vt:i4>0</vt:i4>
      </vt:variant>
      <vt:variant>
        <vt:i4>5</vt:i4>
      </vt:variant>
      <vt:variant>
        <vt:lpwstr>http://chks.wested.org/</vt:lpwstr>
      </vt:variant>
      <vt:variant>
        <vt:lpwstr/>
      </vt:variant>
      <vt:variant>
        <vt:i4>3080226</vt:i4>
      </vt:variant>
      <vt:variant>
        <vt:i4>124</vt:i4>
      </vt:variant>
      <vt:variant>
        <vt:i4>0</vt:i4>
      </vt:variant>
      <vt:variant>
        <vt:i4>5</vt:i4>
      </vt:variant>
      <vt:variant>
        <vt:lpwstr>http://www.leginfo.legislature.ca.gov/faces/codes.xhtml</vt:lpwstr>
      </vt:variant>
      <vt:variant>
        <vt:lpwstr/>
      </vt:variant>
      <vt:variant>
        <vt:i4>6946857</vt:i4>
      </vt:variant>
      <vt:variant>
        <vt:i4>18</vt:i4>
      </vt:variant>
      <vt:variant>
        <vt:i4>0</vt:i4>
      </vt:variant>
      <vt:variant>
        <vt:i4>5</vt:i4>
      </vt:variant>
      <vt:variant>
        <vt:lpwstr>http://www.cde.ca.gov/fg/ac/ic/</vt:lpwstr>
      </vt:variant>
      <vt:variant>
        <vt:lpwstr/>
      </vt:variant>
      <vt:variant>
        <vt:i4>8126506</vt:i4>
      </vt:variant>
      <vt:variant>
        <vt:i4>15</vt:i4>
      </vt:variant>
      <vt:variant>
        <vt:i4>0</vt:i4>
      </vt:variant>
      <vt:variant>
        <vt:i4>5</vt:i4>
      </vt:variant>
      <vt:variant>
        <vt:lpwstr>http://www.cde.ca.gov/fg/fo/fr/</vt:lpwstr>
      </vt:variant>
      <vt:variant>
        <vt:lpwstr/>
      </vt:variant>
      <vt:variant>
        <vt:i4>8126506</vt:i4>
      </vt:variant>
      <vt:variant>
        <vt:i4>12</vt:i4>
      </vt:variant>
      <vt:variant>
        <vt:i4>0</vt:i4>
      </vt:variant>
      <vt:variant>
        <vt:i4>5</vt:i4>
      </vt:variant>
      <vt:variant>
        <vt:lpwstr>http://www.cde.ca.gov/fg/fo/fr/</vt:lpwstr>
      </vt:variant>
      <vt:variant>
        <vt:lpwstr/>
      </vt:variant>
      <vt:variant>
        <vt:i4>6946857</vt:i4>
      </vt:variant>
      <vt:variant>
        <vt:i4>9</vt:i4>
      </vt:variant>
      <vt:variant>
        <vt:i4>0</vt:i4>
      </vt:variant>
      <vt:variant>
        <vt:i4>5</vt:i4>
      </vt:variant>
      <vt:variant>
        <vt:lpwstr>http://www.cde.ca.gov/fg/ac/ic/</vt:lpwstr>
      </vt:variant>
      <vt:variant>
        <vt:lpwstr/>
      </vt:variant>
      <vt:variant>
        <vt:i4>6422564</vt:i4>
      </vt:variant>
      <vt:variant>
        <vt:i4>6</vt:i4>
      </vt:variant>
      <vt:variant>
        <vt:i4>0</vt:i4>
      </vt:variant>
      <vt:variant>
        <vt:i4>5</vt:i4>
      </vt:variant>
      <vt:variant>
        <vt:lpwstr>http://www.cde.ca.gov/ls/pf/fy/funding.asp</vt:lpwstr>
      </vt:variant>
      <vt:variant>
        <vt:lpwstr/>
      </vt:variant>
      <vt:variant>
        <vt:i4>6422564</vt:i4>
      </vt:variant>
      <vt:variant>
        <vt:i4>3</vt:i4>
      </vt:variant>
      <vt:variant>
        <vt:i4>0</vt:i4>
      </vt:variant>
      <vt:variant>
        <vt:i4>5</vt:i4>
      </vt:variant>
      <vt:variant>
        <vt:lpwstr>http://www.cde.ca.gov/ls/pf/fy/funding.asp</vt:lpwstr>
      </vt:variant>
      <vt:variant>
        <vt:lpwstr/>
      </vt:variant>
      <vt:variant>
        <vt:i4>6422564</vt:i4>
      </vt:variant>
      <vt:variant>
        <vt:i4>0</vt:i4>
      </vt:variant>
      <vt:variant>
        <vt:i4>0</vt:i4>
      </vt:variant>
      <vt:variant>
        <vt:i4>5</vt:i4>
      </vt:variant>
      <vt:variant>
        <vt:lpwstr>http://www.cde.ca.gov/ls/pf/fy/funding.asp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RFA-18: American Indian Education Center Program (CA Dept of Education)</dc:title>
  <dc:subject>Request for applications for the American Indian Education Center Program for fiscal year 2018-21.</dc:subject>
  <dc:creator>Chavela Delp</dc:creator>
  <cp:keywords>RFA-18: Continuing Application</cp:keywords>
  <dc:description/>
  <cp:lastModifiedBy>Ryoko Oshiro</cp:lastModifiedBy>
  <cp:revision>9</cp:revision>
  <cp:lastPrinted>2018-08-16T20:56:00Z</cp:lastPrinted>
  <dcterms:created xsi:type="dcterms:W3CDTF">2018-10-18T21:05:00Z</dcterms:created>
  <dcterms:modified xsi:type="dcterms:W3CDTF">2018-11-28T19:54:00Z</dcterms:modified>
</cp:coreProperties>
</file>