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FC6B" w14:textId="1E573721" w:rsidR="00A61396" w:rsidRDefault="00A61396" w:rsidP="00A61396">
      <w:pPr>
        <w:jc w:val="right"/>
      </w:pPr>
      <w:r>
        <w:t>California Department of Education</w:t>
      </w:r>
      <w:r>
        <w:br/>
        <w:t>May 2022</w:t>
      </w:r>
    </w:p>
    <w:p w14:paraId="401B5B8E" w14:textId="7FA335A5" w:rsidR="00C42557" w:rsidRDefault="00C42557" w:rsidP="00322D1A">
      <w:pPr>
        <w:pStyle w:val="Heading1"/>
        <w:spacing w:before="0" w:after="480"/>
        <w:jc w:val="center"/>
      </w:pPr>
      <w:r>
        <w:t>Recommendation 2</w:t>
      </w:r>
    </w:p>
    <w:p w14:paraId="7494264F" w14:textId="77777777" w:rsidR="00C42557" w:rsidRDefault="00C42557" w:rsidP="00C42557">
      <w:r>
        <w:t xml:space="preserve">The American Indian Education Oversight Committee (AIEOC) recommends that the State Superintendent of Public Instruction (SSPI) appoint three Native American </w:t>
      </w:r>
      <w:r w:rsidR="00607783">
        <w:t>t</w:t>
      </w:r>
      <w:r>
        <w:t>ask</w:t>
      </w:r>
      <w:r w:rsidR="00607783">
        <w:t>f</w:t>
      </w:r>
      <w:r>
        <w:t xml:space="preserve">orces: </w:t>
      </w:r>
      <w:r w:rsidR="00607783">
        <w:t xml:space="preserve">the </w:t>
      </w:r>
      <w:r>
        <w:t>Tribal Consultation Policy Taskforce,</w:t>
      </w:r>
      <w:r w:rsidR="00607783">
        <w:t xml:space="preserve"> the</w:t>
      </w:r>
      <w:r>
        <w:t xml:space="preserve"> Native American Chronic Absenteeism Taskforce, and</w:t>
      </w:r>
      <w:r w:rsidR="00607783">
        <w:t xml:space="preserve"> the</w:t>
      </w:r>
      <w:r>
        <w:t xml:space="preserve"> Native American Data Collection Taskforce</w:t>
      </w:r>
      <w:r w:rsidR="00607783">
        <w:t>.</w:t>
      </w:r>
    </w:p>
    <w:p w14:paraId="728E88BA" w14:textId="77777777" w:rsidR="00C42557" w:rsidRDefault="00C42557" w:rsidP="00C42557">
      <w:r>
        <w:t xml:space="preserve">Each Native American </w:t>
      </w:r>
      <w:r w:rsidR="00607783">
        <w:t>t</w:t>
      </w:r>
      <w:r>
        <w:t xml:space="preserve">askforce should consist of up to 10 members appointed by the SSPI and/or AIEOC. These </w:t>
      </w:r>
      <w:r w:rsidR="00607783">
        <w:t>t</w:t>
      </w:r>
      <w:r>
        <w:t>askforces should be made up of no more than 10 participants and include:</w:t>
      </w:r>
    </w:p>
    <w:p w14:paraId="6120344A" w14:textId="77777777" w:rsidR="00C42557" w:rsidRDefault="00607783" w:rsidP="00C42557">
      <w:pPr>
        <w:pStyle w:val="ListParagraph"/>
        <w:numPr>
          <w:ilvl w:val="0"/>
          <w:numId w:val="15"/>
        </w:numPr>
        <w:ind w:left="720" w:hanging="360"/>
        <w:contextualSpacing w:val="0"/>
      </w:pPr>
      <w:r>
        <w:t>three</w:t>
      </w:r>
      <w:r w:rsidR="00C42557">
        <w:t xml:space="preserve"> Native American Advisors</w:t>
      </w:r>
    </w:p>
    <w:p w14:paraId="2B82EA4E" w14:textId="77777777" w:rsidR="00C42557" w:rsidRDefault="00607783" w:rsidP="00C42557">
      <w:pPr>
        <w:pStyle w:val="ListParagraph"/>
        <w:numPr>
          <w:ilvl w:val="0"/>
          <w:numId w:val="15"/>
        </w:numPr>
        <w:ind w:left="720" w:hanging="360"/>
        <w:contextualSpacing w:val="0"/>
      </w:pPr>
      <w:r>
        <w:t>one</w:t>
      </w:r>
      <w:r w:rsidR="00C42557">
        <w:t xml:space="preserve"> </w:t>
      </w:r>
      <w:r>
        <w:t>California Department of Education (</w:t>
      </w:r>
      <w:r w:rsidR="00C42557">
        <w:t>CDE</w:t>
      </w:r>
      <w:r>
        <w:t>)</w:t>
      </w:r>
      <w:r w:rsidR="00C42557">
        <w:t xml:space="preserve"> </w:t>
      </w:r>
      <w:r>
        <w:t>s</w:t>
      </w:r>
      <w:r w:rsidR="00C42557">
        <w:t>taff to serve on each task force</w:t>
      </w:r>
    </w:p>
    <w:p w14:paraId="586369A2" w14:textId="77777777" w:rsidR="00C42557" w:rsidRDefault="00607783" w:rsidP="00C42557">
      <w:pPr>
        <w:pStyle w:val="ListParagraph"/>
        <w:numPr>
          <w:ilvl w:val="0"/>
          <w:numId w:val="15"/>
        </w:numPr>
        <w:ind w:left="720" w:hanging="360"/>
        <w:contextualSpacing w:val="0"/>
      </w:pPr>
      <w:r>
        <w:t>three</w:t>
      </w:r>
      <w:r w:rsidR="00C42557">
        <w:t xml:space="preserve"> </w:t>
      </w:r>
      <w:r>
        <w:t>local education</w:t>
      </w:r>
      <w:r w:rsidR="00F36B9E">
        <w:t>al</w:t>
      </w:r>
      <w:r>
        <w:t xml:space="preserve"> agencies (LEAs) </w:t>
      </w:r>
      <w:r w:rsidR="00C42557">
        <w:t>to reflect the geographic diversity across the state (each task force)</w:t>
      </w:r>
    </w:p>
    <w:p w14:paraId="78D847A3" w14:textId="77777777" w:rsidR="00C42557" w:rsidRDefault="00C42557" w:rsidP="00C42557">
      <w:pPr>
        <w:pStyle w:val="ListParagraph"/>
        <w:numPr>
          <w:ilvl w:val="0"/>
          <w:numId w:val="15"/>
        </w:numPr>
        <w:ind w:left="720" w:hanging="360"/>
        <w:contextualSpacing w:val="0"/>
      </w:pPr>
      <w:r>
        <w:t>AIEOC members may serve on the task forces</w:t>
      </w:r>
    </w:p>
    <w:p w14:paraId="1C41259D" w14:textId="77777777" w:rsidR="00C42557" w:rsidRDefault="00C42557" w:rsidP="00C42557">
      <w:r>
        <w:t>Each taskforce will provide a report to the AIEOC for approval. After approval, the AIEOC will send to the SSPI.</w:t>
      </w:r>
    </w:p>
    <w:p w14:paraId="0A4CB302" w14:textId="77777777" w:rsidR="00C42557" w:rsidRDefault="00C42557" w:rsidP="00322D1A">
      <w:pPr>
        <w:pStyle w:val="Heading2"/>
        <w:spacing w:before="480"/>
      </w:pPr>
      <w:r>
        <w:t>Tribal Consultation Policy Taskforce</w:t>
      </w:r>
    </w:p>
    <w:p w14:paraId="3B7C0554" w14:textId="77777777" w:rsidR="00C42557" w:rsidRDefault="00C42557" w:rsidP="00C42557">
      <w:r>
        <w:t xml:space="preserve">The belief of the CDE is </w:t>
      </w:r>
      <w:r w:rsidR="00607783">
        <w:t>that all students should receive a</w:t>
      </w:r>
      <w:r>
        <w:t xml:space="preserve"> world-class education from early childhood to adulthood</w:t>
      </w:r>
      <w:r w:rsidR="00607783">
        <w:t>, and its purpose is to provide it</w:t>
      </w:r>
      <w:r>
        <w:t xml:space="preserve">. The CDE serves our state by innovating and collaborating with educators, schools, parents, and community partners. Together, as a team, we prepare students to live, work, and thrive in a multicultural, multilingual, and highly connected world. As part of its mission, CDE is committed to helping to improve the educational outcomes of all American Indian and Alaska Native (AI/AN) students. </w:t>
      </w:r>
      <w:r w:rsidR="003C3CE1">
        <w:t xml:space="preserve">The </w:t>
      </w:r>
      <w:r>
        <w:t xml:space="preserve">CDE administers programs that are directed toward, or have specific impacts on, AI/AN students and other tribal members. </w:t>
      </w:r>
      <w:r w:rsidR="003D3C63">
        <w:t xml:space="preserve">The </w:t>
      </w:r>
      <w:r>
        <w:t xml:space="preserve">CDE should further strengthen its relationship with Indian tribes by implementing a process that ensures meaningful consultation and collaboration with </w:t>
      </w:r>
      <w:r w:rsidR="003D3C63">
        <w:t>them</w:t>
      </w:r>
      <w:r>
        <w:t xml:space="preserve"> when developing policies and </w:t>
      </w:r>
      <w:r w:rsidR="003D3C63">
        <w:t xml:space="preserve">taking </w:t>
      </w:r>
      <w:r>
        <w:t>actions that have tribal implications.</w:t>
      </w:r>
    </w:p>
    <w:p w14:paraId="1FE54ACC" w14:textId="77777777" w:rsidR="00C42557" w:rsidRDefault="00C42557" w:rsidP="00C42557">
      <w:r>
        <w:t>To further this the CDE should:</w:t>
      </w:r>
    </w:p>
    <w:p w14:paraId="3A734170" w14:textId="77777777" w:rsidR="00C42557" w:rsidRDefault="00C42557" w:rsidP="00C42557">
      <w:pPr>
        <w:pStyle w:val="ListParagraph"/>
        <w:numPr>
          <w:ilvl w:val="0"/>
          <w:numId w:val="11"/>
        </w:numPr>
        <w:contextualSpacing w:val="0"/>
      </w:pPr>
      <w:r>
        <w:t>Establish and develop a department-wide Tribal Consultation Policy and amend the existing Consultation Policy to increase inclusion of LEAs</w:t>
      </w:r>
    </w:p>
    <w:p w14:paraId="72A22A8B" w14:textId="77777777" w:rsidR="00C42557" w:rsidRDefault="00C42557" w:rsidP="00C42557">
      <w:pPr>
        <w:pStyle w:val="ListParagraph"/>
        <w:numPr>
          <w:ilvl w:val="1"/>
          <w:numId w:val="11"/>
        </w:numPr>
        <w:contextualSpacing w:val="0"/>
      </w:pPr>
      <w:r>
        <w:t>Consult California Tribes in development of consultation policy</w:t>
      </w:r>
    </w:p>
    <w:p w14:paraId="524713ED" w14:textId="77777777" w:rsidR="00C42557" w:rsidRDefault="00C42557" w:rsidP="00C42557">
      <w:pPr>
        <w:pStyle w:val="ListParagraph"/>
        <w:numPr>
          <w:ilvl w:val="0"/>
          <w:numId w:val="11"/>
        </w:numPr>
        <w:contextualSpacing w:val="0"/>
      </w:pPr>
      <w:r>
        <w:lastRenderedPageBreak/>
        <w:t>Create a CDE Office of Tribal Relations (CDEOTR)</w:t>
      </w:r>
    </w:p>
    <w:p w14:paraId="0BD447A3" w14:textId="77777777" w:rsidR="00C42557" w:rsidRDefault="00C42557" w:rsidP="00C42557">
      <w:pPr>
        <w:pStyle w:val="ListParagraph"/>
        <w:numPr>
          <w:ilvl w:val="1"/>
          <w:numId w:val="11"/>
        </w:numPr>
        <w:contextualSpacing w:val="0"/>
      </w:pPr>
      <w:r>
        <w:t xml:space="preserve">Include California Tribes in development of </w:t>
      </w:r>
      <w:r w:rsidR="003D3C63">
        <w:t xml:space="preserve">a </w:t>
      </w:r>
      <w:r>
        <w:t>CDEOTR</w:t>
      </w:r>
      <w:r w:rsidR="00760C46">
        <w:t xml:space="preserve"> </w:t>
      </w:r>
    </w:p>
    <w:p w14:paraId="69CCF834" w14:textId="77777777" w:rsidR="00C42557" w:rsidRDefault="003D3C63" w:rsidP="00C42557">
      <w:pPr>
        <w:pStyle w:val="ListParagraph"/>
        <w:numPr>
          <w:ilvl w:val="2"/>
          <w:numId w:val="11"/>
        </w:numPr>
        <w:ind w:hanging="360"/>
        <w:contextualSpacing w:val="0"/>
      </w:pPr>
      <w:r>
        <w:t xml:space="preserve">The </w:t>
      </w:r>
      <w:r w:rsidR="00C42557">
        <w:t>CDEOTR should report directly to the Superintendent and AIEOC</w:t>
      </w:r>
    </w:p>
    <w:p w14:paraId="775AC15F" w14:textId="77777777" w:rsidR="00C42557" w:rsidRDefault="00C42557" w:rsidP="00C42557">
      <w:pPr>
        <w:pStyle w:val="ListParagraph"/>
        <w:numPr>
          <w:ilvl w:val="2"/>
          <w:numId w:val="11"/>
        </w:numPr>
        <w:ind w:hanging="360"/>
        <w:contextualSpacing w:val="0"/>
      </w:pPr>
      <w:r>
        <w:t>Appropriately staff and fund</w:t>
      </w:r>
      <w:r w:rsidR="003D3C63">
        <w:t xml:space="preserve"> a CDEOTR</w:t>
      </w:r>
      <w:r>
        <w:t xml:space="preserve"> to reflect the tribal diversity and density of California</w:t>
      </w:r>
    </w:p>
    <w:p w14:paraId="6FB95B96" w14:textId="77777777" w:rsidR="00C42557" w:rsidRDefault="00C42557" w:rsidP="00322D1A">
      <w:pPr>
        <w:pStyle w:val="Heading2"/>
        <w:spacing w:before="480"/>
      </w:pPr>
      <w:r>
        <w:t>Native American Chronic Absenteeism, Educational Outcomes, and Graduation Rate Taskforce</w:t>
      </w:r>
    </w:p>
    <w:p w14:paraId="34FB6FEC" w14:textId="77777777" w:rsidR="00C42557" w:rsidRDefault="00C42557" w:rsidP="00C42557">
      <w:r>
        <w:t>According to 2020</w:t>
      </w:r>
      <w:r w:rsidR="003D3C63">
        <w:t>–</w:t>
      </w:r>
      <w:r>
        <w:t>21 data from CDE</w:t>
      </w:r>
      <w:r w:rsidR="00D53E15">
        <w:t>’s</w:t>
      </w:r>
      <w:r>
        <w:t xml:space="preserve"> DataQuest</w:t>
      </w:r>
      <w:r w:rsidR="00D53E15">
        <w:t xml:space="preserve"> program,</w:t>
      </w:r>
      <w:r>
        <w:t xml:space="preserve"> Native American students had the highest rate of chronic absenteeism with 26.9 percent.</w:t>
      </w:r>
      <w:r w:rsidR="00760C46">
        <w:rPr>
          <w:rStyle w:val="FootnoteReference"/>
        </w:rPr>
        <w:footnoteReference w:id="1"/>
      </w:r>
      <w:r>
        <w:t xml:space="preserve"> Recent research indicates that chronic absenteeism is a better predictor of drop-out</w:t>
      </w:r>
      <w:r w:rsidR="00D53E15">
        <w:t>s</w:t>
      </w:r>
      <w:r>
        <w:t xml:space="preserve"> than low grades or test scores</w:t>
      </w:r>
      <w:r w:rsidR="00D53E15">
        <w:t>.</w:t>
      </w:r>
      <w:r>
        <w:t xml:space="preserve"> Lower rates of attendance are also associated with higher rates of grade retention, disengagement, and alienation in school.</w:t>
      </w:r>
      <w:r w:rsidR="00760C46">
        <w:rPr>
          <w:rStyle w:val="FootnoteReference"/>
        </w:rPr>
        <w:footnoteReference w:id="2"/>
      </w:r>
      <w:r w:rsidR="00760C46">
        <w:t xml:space="preserve"> </w:t>
      </w:r>
      <w:r>
        <w:t>Native American children have the highest dropout rates of any ethnic group in the United States. DataQuest</w:t>
      </w:r>
      <w:r w:rsidR="00D53E15">
        <w:t xml:space="preserve"> data</w:t>
      </w:r>
      <w:r>
        <w:t xml:space="preserve"> from 2016</w:t>
      </w:r>
      <w:r w:rsidR="00D53E15">
        <w:t>–</w:t>
      </w:r>
      <w:r>
        <w:t>17</w:t>
      </w:r>
      <w:r w:rsidR="00D53E15">
        <w:t xml:space="preserve">, which is the </w:t>
      </w:r>
      <w:r>
        <w:t>most recent data available</w:t>
      </w:r>
      <w:r w:rsidR="00D53E15">
        <w:t>,</w:t>
      </w:r>
      <w:r>
        <w:t xml:space="preserve"> shows the </w:t>
      </w:r>
      <w:r w:rsidR="00D53E15">
        <w:t xml:space="preserve">a five percent </w:t>
      </w:r>
      <w:r>
        <w:t>annual adjusted dropout rate for Native American</w:t>
      </w:r>
      <w:r w:rsidR="00D53E15">
        <w:t xml:space="preserve"> students grades nine through twelve</w:t>
      </w:r>
      <w:r>
        <w:t>.</w:t>
      </w:r>
      <w:r w:rsidR="00760C46">
        <w:rPr>
          <w:rStyle w:val="FootnoteReference"/>
        </w:rPr>
        <w:footnoteReference w:id="3"/>
      </w:r>
      <w:r w:rsidR="00D53E15">
        <w:t xml:space="preserve"> </w:t>
      </w:r>
      <w:r>
        <w:t>This is the highest rate for any ethnicity. These numbers are even higher in areas where the parents complain of a major lack of understanding of Native culture within the school</w:t>
      </w:r>
      <w:r w:rsidR="00D53E15">
        <w:t xml:space="preserve"> or </w:t>
      </w:r>
      <w:r>
        <w:t xml:space="preserve">community. In California, the 2019–20 Four-Year Adjusted Cohort Graduation Rate for American Indian students in California </w:t>
      </w:r>
      <w:r w:rsidR="00D53E15">
        <w:t>was</w:t>
      </w:r>
      <w:r>
        <w:t xml:space="preserve"> 75.8 percent as compared to their White counterparts who </w:t>
      </w:r>
      <w:r w:rsidR="00D53E15">
        <w:t>were</w:t>
      </w:r>
      <w:r>
        <w:t xml:space="preserve"> at 87.9 percent.</w:t>
      </w:r>
      <w:r w:rsidR="006311CD">
        <w:rPr>
          <w:rStyle w:val="FootnoteReference"/>
        </w:rPr>
        <w:footnoteReference w:id="4"/>
      </w:r>
    </w:p>
    <w:p w14:paraId="2D016FE7" w14:textId="77777777" w:rsidR="00C42557" w:rsidRDefault="00C42557" w:rsidP="00C42557">
      <w:r>
        <w:t>Native American students have unique educational needs and continue to face a number of overwhelming barriers that can lead to student alienation and disengagement from school, including:</w:t>
      </w:r>
      <w:r w:rsidR="00760C46">
        <w:t xml:space="preserve"> </w:t>
      </w:r>
    </w:p>
    <w:p w14:paraId="2B2EA91E" w14:textId="77777777" w:rsidR="00C42557" w:rsidRDefault="00C42557" w:rsidP="00C42557">
      <w:pPr>
        <w:pStyle w:val="ListParagraph"/>
        <w:numPr>
          <w:ilvl w:val="0"/>
          <w:numId w:val="10"/>
        </w:numPr>
        <w:ind w:left="720" w:hanging="360"/>
        <w:contextualSpacing w:val="0"/>
      </w:pPr>
      <w:r>
        <w:t>Lack of culturally relevant and responsive curriculum that includes Indigenous history, language, governance, culture</w:t>
      </w:r>
      <w:r w:rsidR="00EA64A5">
        <w:t>,</w:t>
      </w:r>
      <w:r>
        <w:t xml:space="preserve"> and worldviews</w:t>
      </w:r>
    </w:p>
    <w:p w14:paraId="381AA037" w14:textId="77777777" w:rsidR="00C42557" w:rsidRDefault="00C42557" w:rsidP="00C42557">
      <w:pPr>
        <w:pStyle w:val="ListParagraph"/>
        <w:numPr>
          <w:ilvl w:val="0"/>
          <w:numId w:val="10"/>
        </w:numPr>
        <w:ind w:left="720" w:hanging="360"/>
        <w:contextualSpacing w:val="0"/>
      </w:pPr>
      <w:r>
        <w:t xml:space="preserve">Invisibility of Native American contributions to society and inaccurate depictions of California and </w:t>
      </w:r>
      <w:r w:rsidR="00EA64A5">
        <w:t>United States</w:t>
      </w:r>
      <w:r>
        <w:t xml:space="preserve"> history</w:t>
      </w:r>
    </w:p>
    <w:p w14:paraId="70814049" w14:textId="77777777" w:rsidR="00C42557" w:rsidRDefault="00C42557" w:rsidP="00C42557">
      <w:pPr>
        <w:pStyle w:val="ListParagraph"/>
        <w:numPr>
          <w:ilvl w:val="0"/>
          <w:numId w:val="10"/>
        </w:numPr>
        <w:ind w:left="720" w:hanging="360"/>
        <w:contextualSpacing w:val="0"/>
      </w:pPr>
      <w:r>
        <w:lastRenderedPageBreak/>
        <w:t>Overuse of disciplinary practices such as suspension, expulsion, referrals to law enforcement, and involuntary transfers to alternative schools that provide an inferior education</w:t>
      </w:r>
    </w:p>
    <w:p w14:paraId="298C1659" w14:textId="77777777" w:rsidR="00C42557" w:rsidRDefault="00C42557" w:rsidP="00C42557">
      <w:pPr>
        <w:pStyle w:val="ListParagraph"/>
        <w:numPr>
          <w:ilvl w:val="0"/>
          <w:numId w:val="10"/>
        </w:numPr>
        <w:ind w:left="720" w:hanging="360"/>
        <w:contextualSpacing w:val="0"/>
      </w:pPr>
      <w:r>
        <w:t>Failure to provide school-based student supports, including culturally relevant school-based mental health professionals and programs designed to promote student well-being that keep students in school, such as culturally relevant trauma-informed practices</w:t>
      </w:r>
    </w:p>
    <w:p w14:paraId="7E422879" w14:textId="77777777" w:rsidR="00C42557" w:rsidRDefault="00C42557" w:rsidP="00C42557">
      <w:pPr>
        <w:pStyle w:val="ListParagraph"/>
        <w:numPr>
          <w:ilvl w:val="0"/>
          <w:numId w:val="10"/>
        </w:numPr>
        <w:ind w:left="720" w:hanging="360"/>
        <w:contextualSpacing w:val="0"/>
      </w:pPr>
      <w:r>
        <w:t>Bullying and racially hostile school environments</w:t>
      </w:r>
    </w:p>
    <w:p w14:paraId="4B17A97C" w14:textId="77777777" w:rsidR="00C42557" w:rsidRDefault="00C42557" w:rsidP="00C42557">
      <w:pPr>
        <w:pStyle w:val="ListParagraph"/>
        <w:numPr>
          <w:ilvl w:val="0"/>
          <w:numId w:val="10"/>
        </w:numPr>
        <w:ind w:left="720" w:hanging="360"/>
        <w:contextualSpacing w:val="0"/>
      </w:pPr>
      <w:r>
        <w:t>Poor transportation and lack of access to health care</w:t>
      </w:r>
    </w:p>
    <w:p w14:paraId="65CDD9E1" w14:textId="77777777" w:rsidR="00C42557" w:rsidRDefault="00C42557" w:rsidP="00C42557">
      <w:r>
        <w:t>Truancy and school discipline are associated with a host of negative consequences, including a decline in academic achievement, a greater likelihood of dropping out of school, poor health and well-being outcomes, and an increased risk of involvement in the juvenile justice system.</w:t>
      </w:r>
    </w:p>
    <w:p w14:paraId="252C72CB" w14:textId="30B33362" w:rsidR="00C42557" w:rsidRDefault="00C42557" w:rsidP="00C42557">
      <w:r>
        <w:t>To address these issues</w:t>
      </w:r>
      <w:r w:rsidR="00F36B9E">
        <w:t>,</w:t>
      </w:r>
      <w:r>
        <w:t xml:space="preserve"> the CDE should appoint a Native American Chronic Absenteeism, Educational Outcomes, and Graduation Rate Task Force that will:</w:t>
      </w:r>
    </w:p>
    <w:p w14:paraId="353C985C" w14:textId="77777777" w:rsidR="00C42557" w:rsidRDefault="00C42557" w:rsidP="00322D1A">
      <w:pPr>
        <w:pStyle w:val="ListParagraph"/>
        <w:numPr>
          <w:ilvl w:val="0"/>
          <w:numId w:val="16"/>
        </w:numPr>
        <w:contextualSpacing w:val="0"/>
      </w:pPr>
      <w:r>
        <w:t>Identify and recommend strategies to reduce Native American achievement gaps, dropout rates, and absenteeism</w:t>
      </w:r>
    </w:p>
    <w:p w14:paraId="70ADC741" w14:textId="77777777" w:rsidR="00C42557" w:rsidRDefault="00C42557" w:rsidP="00C42557">
      <w:pPr>
        <w:pStyle w:val="ListParagraph"/>
        <w:numPr>
          <w:ilvl w:val="1"/>
          <w:numId w:val="4"/>
        </w:numPr>
        <w:contextualSpacing w:val="0"/>
      </w:pPr>
      <w:r>
        <w:t>Work with State School Attendance Review Board in designing culturally responsive practices and implementing intervention strategies</w:t>
      </w:r>
    </w:p>
    <w:p w14:paraId="55C1ED8A" w14:textId="77777777" w:rsidR="00C42557" w:rsidRDefault="00C42557" w:rsidP="00C42557">
      <w:pPr>
        <w:pStyle w:val="ListParagraph"/>
        <w:numPr>
          <w:ilvl w:val="1"/>
          <w:numId w:val="4"/>
        </w:numPr>
        <w:contextualSpacing w:val="0"/>
      </w:pPr>
      <w:r>
        <w:t xml:space="preserve">Research and recommend strategies related to Special Education and </w:t>
      </w:r>
      <w:r w:rsidR="00760C46">
        <w:t>Individualized Education Plans</w:t>
      </w:r>
      <w:r>
        <w:t>/504 to increase attendance and close achievement gaps</w:t>
      </w:r>
    </w:p>
    <w:p w14:paraId="0BC2BAC0" w14:textId="77777777" w:rsidR="00C42557" w:rsidRDefault="00C42557" w:rsidP="00C42557">
      <w:pPr>
        <w:pStyle w:val="ListParagraph"/>
        <w:numPr>
          <w:ilvl w:val="1"/>
          <w:numId w:val="4"/>
        </w:numPr>
        <w:contextualSpacing w:val="0"/>
      </w:pPr>
      <w:r>
        <w:t xml:space="preserve">Increase Tribal </w:t>
      </w:r>
      <w:r w:rsidR="00760C46">
        <w:t>s</w:t>
      </w:r>
      <w:r>
        <w:t>pecific approaches for mental health and counseling to improve attendance rates of Native American students</w:t>
      </w:r>
    </w:p>
    <w:p w14:paraId="488315A4" w14:textId="77777777" w:rsidR="00C42557" w:rsidRDefault="00C42557" w:rsidP="00C42557">
      <w:pPr>
        <w:pStyle w:val="ListParagraph"/>
        <w:numPr>
          <w:ilvl w:val="1"/>
          <w:numId w:val="4"/>
        </w:numPr>
        <w:contextualSpacing w:val="0"/>
      </w:pPr>
      <w:r>
        <w:t xml:space="preserve">Convene an </w:t>
      </w:r>
      <w:r w:rsidR="00760C46">
        <w:t xml:space="preserve">annual summit </w:t>
      </w:r>
      <w:r>
        <w:t>for data review, review promising practices, and create new and revised recommendations</w:t>
      </w:r>
    </w:p>
    <w:p w14:paraId="67E20FC4" w14:textId="77777777" w:rsidR="00C42557" w:rsidRDefault="00C42557" w:rsidP="00322D1A">
      <w:pPr>
        <w:pStyle w:val="Heading2"/>
        <w:spacing w:before="480"/>
      </w:pPr>
      <w:r>
        <w:t>Native American Data Collection Taskforce</w:t>
      </w:r>
    </w:p>
    <w:p w14:paraId="6683AE37" w14:textId="77777777" w:rsidR="00C42557" w:rsidRDefault="00C42557" w:rsidP="00C42557">
      <w:r>
        <w:t xml:space="preserve">Data on </w:t>
      </w:r>
      <w:r w:rsidR="00760C46">
        <w:t>AI/AN</w:t>
      </w:r>
      <w:r>
        <w:t xml:space="preserve"> are often subject to inaccuracies that can result when respondents self-identify their race/ethnicity. The racial/ethnic categories presented to a respondent, and the way in which the question is asked, can influence the response, especially for individuals who consider themselves of mixed race or ethnicity. </w:t>
      </w:r>
    </w:p>
    <w:p w14:paraId="64BF4FEA" w14:textId="77777777" w:rsidR="00C42557" w:rsidRDefault="00C42557" w:rsidP="00C42557">
      <w:r>
        <w:t>To address these issues</w:t>
      </w:r>
      <w:r w:rsidR="00760C46">
        <w:t>,</w:t>
      </w:r>
      <w:r>
        <w:t xml:space="preserve"> the CDE should appoint a Native American Data Collection </w:t>
      </w:r>
      <w:r w:rsidR="00760C46">
        <w:t>t</w:t>
      </w:r>
      <w:r>
        <w:t>ask</w:t>
      </w:r>
      <w:r w:rsidR="00760C46">
        <w:t>f</w:t>
      </w:r>
      <w:r>
        <w:t>orce that will:</w:t>
      </w:r>
    </w:p>
    <w:p w14:paraId="1A69BF58" w14:textId="77777777" w:rsidR="00C42557" w:rsidRDefault="00C42557" w:rsidP="00322D1A">
      <w:pPr>
        <w:pStyle w:val="ListParagraph"/>
        <w:numPr>
          <w:ilvl w:val="0"/>
          <w:numId w:val="17"/>
        </w:numPr>
        <w:contextualSpacing w:val="0"/>
      </w:pPr>
      <w:r>
        <w:lastRenderedPageBreak/>
        <w:t>Develop and adopt an improved data collection system regarding Native American students</w:t>
      </w:r>
      <w:r w:rsidR="00760C46">
        <w:t>,</w:t>
      </w:r>
      <w:r>
        <w:t xml:space="preserve"> and make </w:t>
      </w:r>
      <w:r w:rsidR="00760C46">
        <w:t xml:space="preserve">it </w:t>
      </w:r>
      <w:r>
        <w:t xml:space="preserve">available on DataQuest </w:t>
      </w:r>
      <w:r w:rsidR="00760C46">
        <w:t>or</w:t>
      </w:r>
      <w:r>
        <w:t xml:space="preserve"> the CDE web</w:t>
      </w:r>
      <w:r w:rsidR="00760C46">
        <w:t>site</w:t>
      </w:r>
    </w:p>
    <w:p w14:paraId="65DE45B1" w14:textId="77777777" w:rsidR="00C42557" w:rsidRDefault="00C42557" w:rsidP="00C42557">
      <w:pPr>
        <w:pStyle w:val="ListParagraph"/>
        <w:numPr>
          <w:ilvl w:val="1"/>
          <w:numId w:val="7"/>
        </w:numPr>
        <w:contextualSpacing w:val="0"/>
      </w:pPr>
      <w:r>
        <w:t>Request Annual Allocations Amounts (Disaggregated) on Native American Education Spending</w:t>
      </w:r>
    </w:p>
    <w:p w14:paraId="1B249662" w14:textId="77777777" w:rsidR="000D7F03" w:rsidRDefault="00C42557" w:rsidP="00C42557">
      <w:pPr>
        <w:pStyle w:val="ListParagraph"/>
        <w:numPr>
          <w:ilvl w:val="1"/>
          <w:numId w:val="7"/>
        </w:numPr>
        <w:contextualSpacing w:val="0"/>
      </w:pPr>
      <w:r>
        <w:t>Improve data related to Native American Students in Special Education and/or Accommodations to support their success</w:t>
      </w:r>
    </w:p>
    <w:sectPr w:rsidR="000D7F03" w:rsidSect="00E70F5B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4D62" w14:textId="77777777" w:rsidR="00F74ABD" w:rsidRDefault="00F74ABD" w:rsidP="00760C46">
      <w:pPr>
        <w:spacing w:after="0"/>
      </w:pPr>
      <w:r>
        <w:separator/>
      </w:r>
    </w:p>
  </w:endnote>
  <w:endnote w:type="continuationSeparator" w:id="0">
    <w:p w14:paraId="14FBB952" w14:textId="77777777" w:rsidR="00F74ABD" w:rsidRDefault="00F74ABD" w:rsidP="00760C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1440" w14:textId="77777777" w:rsidR="00F74ABD" w:rsidRDefault="00F74ABD" w:rsidP="00760C46">
      <w:pPr>
        <w:spacing w:after="0"/>
      </w:pPr>
      <w:r>
        <w:separator/>
      </w:r>
    </w:p>
  </w:footnote>
  <w:footnote w:type="continuationSeparator" w:id="0">
    <w:p w14:paraId="3E167B08" w14:textId="77777777" w:rsidR="00F74ABD" w:rsidRDefault="00F74ABD" w:rsidP="00760C46">
      <w:pPr>
        <w:spacing w:after="0"/>
      </w:pPr>
      <w:r>
        <w:continuationSeparator/>
      </w:r>
    </w:p>
  </w:footnote>
  <w:footnote w:id="1">
    <w:p w14:paraId="4B396403" w14:textId="573FBF44" w:rsidR="00760C46" w:rsidRPr="00417B87" w:rsidRDefault="00760C46">
      <w:pPr>
        <w:pStyle w:val="FootnoteText"/>
        <w:rPr>
          <w:sz w:val="22"/>
        </w:rPr>
      </w:pPr>
      <w:r w:rsidRPr="00417B87">
        <w:rPr>
          <w:rStyle w:val="FootnoteReference"/>
        </w:rPr>
        <w:footnoteRef/>
      </w:r>
      <w:r w:rsidRPr="00417B87">
        <w:t xml:space="preserve"> </w:t>
      </w:r>
      <w:hyperlink r:id="rId1" w:tooltip="2020–21 Chronic Absenteeism Rate" w:history="1">
        <w:r w:rsidR="00417B87" w:rsidRPr="00FE2E67">
          <w:rPr>
            <w:rStyle w:val="Hyperlink"/>
            <w:sz w:val="24"/>
            <w:szCs w:val="24"/>
          </w:rPr>
          <w:t>https://bit.ly/3NRTnfP</w:t>
        </w:r>
      </w:hyperlink>
    </w:p>
  </w:footnote>
  <w:footnote w:id="2">
    <w:p w14:paraId="73BE9709" w14:textId="77777777" w:rsidR="00760C46" w:rsidRPr="00417B87" w:rsidRDefault="00760C46">
      <w:pPr>
        <w:pStyle w:val="FootnoteText"/>
        <w:rPr>
          <w:sz w:val="22"/>
        </w:rPr>
      </w:pPr>
      <w:r w:rsidRPr="00417B87">
        <w:rPr>
          <w:rStyle w:val="FootnoteReference"/>
        </w:rPr>
        <w:footnoteRef/>
      </w:r>
      <w:r w:rsidRPr="00417B87">
        <w:t xml:space="preserve"> </w:t>
      </w:r>
      <w:r w:rsidRPr="00FE2E67">
        <w:rPr>
          <w:sz w:val="24"/>
        </w:rPr>
        <w:t>Gottfried, M. A. (2014). Chronic absenteeism and its effects on students’ academic and socioemotional outcomes. Journal of Education for Students Placed at Risk (JESPAR), 19, 53-75.</w:t>
      </w:r>
    </w:p>
  </w:footnote>
  <w:footnote w:id="3">
    <w:p w14:paraId="71B52D33" w14:textId="4BAD0A54" w:rsidR="00760C46" w:rsidRPr="00FE2E67" w:rsidRDefault="00760C46">
      <w:pPr>
        <w:pStyle w:val="FootnoteText"/>
        <w:rPr>
          <w:sz w:val="24"/>
          <w:szCs w:val="24"/>
        </w:rPr>
      </w:pPr>
      <w:r w:rsidRPr="00417B87">
        <w:rPr>
          <w:rStyle w:val="FootnoteReference"/>
        </w:rPr>
        <w:footnoteRef/>
      </w:r>
      <w:r w:rsidRPr="00417B87">
        <w:t xml:space="preserve"> </w:t>
      </w:r>
      <w:hyperlink r:id="rId2" w:tooltip="2016–17 Dropouts by Ethnic Designation by Grade" w:history="1">
        <w:r w:rsidR="00A10725" w:rsidRPr="00FE2E67">
          <w:rPr>
            <w:rStyle w:val="Hyperlink"/>
            <w:sz w:val="24"/>
            <w:szCs w:val="24"/>
          </w:rPr>
          <w:t>https://bit.ly/3xr07uc</w:t>
        </w:r>
      </w:hyperlink>
    </w:p>
  </w:footnote>
  <w:footnote w:id="4">
    <w:p w14:paraId="4E940453" w14:textId="462E77AF" w:rsidR="006311CD" w:rsidRPr="00FE2E67" w:rsidRDefault="006311CD">
      <w:pPr>
        <w:pStyle w:val="FootnoteText"/>
        <w:rPr>
          <w:sz w:val="24"/>
          <w:szCs w:val="24"/>
        </w:rPr>
      </w:pPr>
      <w:r w:rsidRPr="00417B87">
        <w:rPr>
          <w:rStyle w:val="FootnoteReference"/>
        </w:rPr>
        <w:footnoteRef/>
      </w:r>
      <w:r w:rsidRPr="00417B87">
        <w:t xml:space="preserve"> </w:t>
      </w:r>
      <w:hyperlink r:id="rId3" w:tooltip="2019–20 Four-Year Adjusted Cohort Graduation Rate" w:history="1">
        <w:r w:rsidR="00417B87" w:rsidRPr="00FE2E67">
          <w:rPr>
            <w:rStyle w:val="Hyperlink"/>
            <w:sz w:val="24"/>
            <w:szCs w:val="24"/>
          </w:rPr>
          <w:t>https://bit.ly/3zElGdE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A58F" w14:textId="2DBB25BB" w:rsidR="00E70F5B" w:rsidRDefault="00E70F5B" w:rsidP="00E70F5B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CFD"/>
    <w:multiLevelType w:val="hybridMultilevel"/>
    <w:tmpl w:val="C58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BF7"/>
    <w:multiLevelType w:val="hybridMultilevel"/>
    <w:tmpl w:val="2276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61D"/>
    <w:multiLevelType w:val="hybridMultilevel"/>
    <w:tmpl w:val="52E482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9C5"/>
    <w:multiLevelType w:val="hybridMultilevel"/>
    <w:tmpl w:val="E4448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1A41"/>
    <w:multiLevelType w:val="hybridMultilevel"/>
    <w:tmpl w:val="C1A805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57303"/>
    <w:multiLevelType w:val="hybridMultilevel"/>
    <w:tmpl w:val="8FD0852C"/>
    <w:lvl w:ilvl="0" w:tplc="79AC497C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26C32"/>
    <w:multiLevelType w:val="hybridMultilevel"/>
    <w:tmpl w:val="2246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0D46"/>
    <w:multiLevelType w:val="hybridMultilevel"/>
    <w:tmpl w:val="6C78A232"/>
    <w:lvl w:ilvl="0" w:tplc="4D1CA0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78B6"/>
    <w:multiLevelType w:val="hybridMultilevel"/>
    <w:tmpl w:val="18D2B542"/>
    <w:lvl w:ilvl="0" w:tplc="127EDD22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A2DDF"/>
    <w:multiLevelType w:val="hybridMultilevel"/>
    <w:tmpl w:val="2110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1782E"/>
    <w:multiLevelType w:val="hybridMultilevel"/>
    <w:tmpl w:val="906C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5E97"/>
    <w:multiLevelType w:val="hybridMultilevel"/>
    <w:tmpl w:val="CD6A0B48"/>
    <w:lvl w:ilvl="0" w:tplc="91841A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782F"/>
    <w:multiLevelType w:val="hybridMultilevel"/>
    <w:tmpl w:val="25B865B0"/>
    <w:lvl w:ilvl="0" w:tplc="A29A689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41A8"/>
    <w:multiLevelType w:val="hybridMultilevel"/>
    <w:tmpl w:val="F900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85BA0"/>
    <w:multiLevelType w:val="hybridMultilevel"/>
    <w:tmpl w:val="AE58F7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3126C"/>
    <w:multiLevelType w:val="hybridMultilevel"/>
    <w:tmpl w:val="E9D0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16A9E"/>
    <w:multiLevelType w:val="hybridMultilevel"/>
    <w:tmpl w:val="FE10333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15565">
    <w:abstractNumId w:val="14"/>
  </w:num>
  <w:num w:numId="2" w16cid:durableId="1260605815">
    <w:abstractNumId w:val="12"/>
  </w:num>
  <w:num w:numId="3" w16cid:durableId="1143153425">
    <w:abstractNumId w:val="11"/>
  </w:num>
  <w:num w:numId="4" w16cid:durableId="1461802270">
    <w:abstractNumId w:val="3"/>
  </w:num>
  <w:num w:numId="5" w16cid:durableId="2144688744">
    <w:abstractNumId w:val="10"/>
  </w:num>
  <w:num w:numId="6" w16cid:durableId="2084140177">
    <w:abstractNumId w:val="1"/>
  </w:num>
  <w:num w:numId="7" w16cid:durableId="133908836">
    <w:abstractNumId w:val="2"/>
  </w:num>
  <w:num w:numId="8" w16cid:durableId="151869088">
    <w:abstractNumId w:val="0"/>
  </w:num>
  <w:num w:numId="9" w16cid:durableId="1994944703">
    <w:abstractNumId w:val="5"/>
  </w:num>
  <w:num w:numId="10" w16cid:durableId="1016998851">
    <w:abstractNumId w:val="16"/>
  </w:num>
  <w:num w:numId="11" w16cid:durableId="977880293">
    <w:abstractNumId w:val="6"/>
  </w:num>
  <w:num w:numId="12" w16cid:durableId="1410078574">
    <w:abstractNumId w:val="7"/>
  </w:num>
  <w:num w:numId="13" w16cid:durableId="288046864">
    <w:abstractNumId w:val="9"/>
  </w:num>
  <w:num w:numId="14" w16cid:durableId="426197269">
    <w:abstractNumId w:val="8"/>
  </w:num>
  <w:num w:numId="15" w16cid:durableId="1213154010">
    <w:abstractNumId w:val="4"/>
  </w:num>
  <w:num w:numId="16" w16cid:durableId="1966766176">
    <w:abstractNumId w:val="15"/>
  </w:num>
  <w:num w:numId="17" w16cid:durableId="951323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OwNDQyMDIxtbA0MLRQ0lEKTi0uzszPAykwrAUAeNKmFywAAAA="/>
  </w:docVars>
  <w:rsids>
    <w:rsidRoot w:val="00C42557"/>
    <w:rsid w:val="00056871"/>
    <w:rsid w:val="000851A8"/>
    <w:rsid w:val="000D7F03"/>
    <w:rsid w:val="000E6154"/>
    <w:rsid w:val="00322D1A"/>
    <w:rsid w:val="00352CA4"/>
    <w:rsid w:val="00380040"/>
    <w:rsid w:val="003C3CE1"/>
    <w:rsid w:val="003D3C63"/>
    <w:rsid w:val="00417B87"/>
    <w:rsid w:val="004560A0"/>
    <w:rsid w:val="004811CF"/>
    <w:rsid w:val="004D4CCE"/>
    <w:rsid w:val="004F0DC3"/>
    <w:rsid w:val="00580425"/>
    <w:rsid w:val="005B33A6"/>
    <w:rsid w:val="00607783"/>
    <w:rsid w:val="006311CD"/>
    <w:rsid w:val="007339BD"/>
    <w:rsid w:val="00750F30"/>
    <w:rsid w:val="00760C46"/>
    <w:rsid w:val="0084345C"/>
    <w:rsid w:val="008D0188"/>
    <w:rsid w:val="00914682"/>
    <w:rsid w:val="009B05F6"/>
    <w:rsid w:val="00A105B4"/>
    <w:rsid w:val="00A10725"/>
    <w:rsid w:val="00A44FF3"/>
    <w:rsid w:val="00A57266"/>
    <w:rsid w:val="00A61396"/>
    <w:rsid w:val="00BD51CD"/>
    <w:rsid w:val="00C417FC"/>
    <w:rsid w:val="00C42557"/>
    <w:rsid w:val="00D53E15"/>
    <w:rsid w:val="00D65124"/>
    <w:rsid w:val="00DB318D"/>
    <w:rsid w:val="00DD34F7"/>
    <w:rsid w:val="00E57FA1"/>
    <w:rsid w:val="00E70F5B"/>
    <w:rsid w:val="00EA64A5"/>
    <w:rsid w:val="00EA7150"/>
    <w:rsid w:val="00F336F1"/>
    <w:rsid w:val="00F36B9E"/>
    <w:rsid w:val="00F74ABD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4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A4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A4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CA4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6F1"/>
    <w:pPr>
      <w:keepNext/>
      <w:keepLines/>
      <w:spacing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A4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2CA4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CA4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6F1"/>
    <w:rPr>
      <w:rFonts w:eastAsiaTheme="majorEastAsia" w:cstheme="majorBidi"/>
      <w:iCs/>
    </w:rPr>
  </w:style>
  <w:style w:type="paragraph" w:styleId="ListParagraph">
    <w:name w:val="List Paragraph"/>
    <w:basedOn w:val="Normal"/>
    <w:uiPriority w:val="34"/>
    <w:qFormat/>
    <w:rsid w:val="00C425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0C4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C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C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0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C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9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0F5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F5B"/>
  </w:style>
  <w:style w:type="paragraph" w:styleId="Footer">
    <w:name w:val="footer"/>
    <w:basedOn w:val="Normal"/>
    <w:link w:val="FooterChar"/>
    <w:uiPriority w:val="99"/>
    <w:unhideWhenUsed/>
    <w:rsid w:val="00E70F5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3zElGdE" TargetMode="External"/><Relationship Id="rId2" Type="http://schemas.openxmlformats.org/officeDocument/2006/relationships/hyperlink" Target="https://bit.ly/3xr07uc" TargetMode="External"/><Relationship Id="rId1" Type="http://schemas.openxmlformats.org/officeDocument/2006/relationships/hyperlink" Target="https://bit.ly/3NRTn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5469</Characters>
  <Application>Microsoft Office Word</Application>
  <DocSecurity>0</DocSecurity>
  <Lines>99</Lines>
  <Paragraphs>46</Paragraphs>
  <ScaleCrop>false</ScaleCrop>
  <Manager/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Two - Resources (CA Dept of Education)</dc:title>
  <dc:subject>This document details the recommendation for the California Department of Education to create three taskforces that will work to improve educational outcomes for American Indians and Alaska Natives.</dc:subject>
  <dc:creator/>
  <cp:keywords/>
  <dc:description/>
  <cp:lastModifiedBy/>
  <cp:revision>1</cp:revision>
  <dcterms:created xsi:type="dcterms:W3CDTF">2023-12-12T21:47:00Z</dcterms:created>
  <dcterms:modified xsi:type="dcterms:W3CDTF">2023-12-12T21:47:00Z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117930a335941095c8cb5d827b3bf04db84a2cb61ad158274794eb7f027ec6b5</vt:lpwstr>
  </property>
</Properties>
</file>