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95A6" w14:textId="77777777" w:rsidR="007F5F3F" w:rsidRPr="00214FD1" w:rsidRDefault="00214FD1" w:rsidP="00214FD1">
      <w:pPr>
        <w:pStyle w:val="Heading1"/>
        <w:jc w:val="center"/>
        <w:rPr>
          <w:sz w:val="32"/>
          <w:szCs w:val="28"/>
          <w:lang w:val="es-US"/>
        </w:rPr>
      </w:pPr>
      <w:r w:rsidRPr="00214FD1">
        <w:rPr>
          <w:sz w:val="32"/>
          <w:szCs w:val="28"/>
          <w:lang w:val="es-US"/>
        </w:rPr>
        <w:t>Hay Que Platicar</w:t>
      </w:r>
      <w:r w:rsidR="00B07CCA" w:rsidRPr="00214FD1">
        <w:rPr>
          <w:sz w:val="32"/>
          <w:szCs w:val="28"/>
          <w:lang w:val="es-US"/>
        </w:rPr>
        <w:t xml:space="preserve">: </w:t>
      </w:r>
      <w:r w:rsidRPr="00214FD1">
        <w:rPr>
          <w:sz w:val="32"/>
          <w:szCs w:val="28"/>
          <w:lang w:val="es-US"/>
        </w:rPr>
        <w:t>Salud Oral Para Los Niños</w:t>
      </w:r>
    </w:p>
    <w:p w14:paraId="1318C4BE" w14:textId="77777777" w:rsidR="00290C1E" w:rsidRPr="00214FD1" w:rsidRDefault="00214FD1" w:rsidP="00AB40FB">
      <w:pPr>
        <w:jc w:val="center"/>
        <w:rPr>
          <w:lang w:val="es-US"/>
        </w:rPr>
      </w:pPr>
      <w:r w:rsidRPr="00214FD1">
        <w:rPr>
          <w:lang w:val="es-US"/>
        </w:rPr>
        <w:t>Departamento</w:t>
      </w:r>
      <w:r>
        <w:rPr>
          <w:lang w:val="es-US"/>
        </w:rPr>
        <w:t xml:space="preserve"> de</w:t>
      </w:r>
      <w:r w:rsidR="00290C1E" w:rsidRPr="00214FD1">
        <w:rPr>
          <w:lang w:val="es-US"/>
        </w:rPr>
        <w:t xml:space="preserve"> </w:t>
      </w:r>
      <w:r w:rsidRPr="00214FD1">
        <w:rPr>
          <w:lang w:val="es-US"/>
        </w:rPr>
        <w:t>Educación</w:t>
      </w:r>
      <w:r w:rsidR="007A5785">
        <w:rPr>
          <w:lang w:val="es-US"/>
        </w:rPr>
        <w:t xml:space="preserve"> de California</w:t>
      </w:r>
      <w:r w:rsidR="00290C1E" w:rsidRPr="00214FD1">
        <w:rPr>
          <w:lang w:val="es-US"/>
        </w:rPr>
        <w:t xml:space="preserve"> | </w:t>
      </w:r>
      <w:proofErr w:type="spellStart"/>
      <w:r w:rsidR="00AB40FB" w:rsidRPr="00214FD1">
        <w:rPr>
          <w:lang w:val="es-US"/>
        </w:rPr>
        <w:t>The</w:t>
      </w:r>
      <w:proofErr w:type="spellEnd"/>
      <w:r w:rsidR="00AB40FB" w:rsidRPr="00214FD1">
        <w:rPr>
          <w:lang w:val="es-US"/>
        </w:rPr>
        <w:t xml:space="preserve"> </w:t>
      </w:r>
      <w:proofErr w:type="spellStart"/>
      <w:r w:rsidR="00AB40FB" w:rsidRPr="00214FD1">
        <w:rPr>
          <w:lang w:val="es-US"/>
        </w:rPr>
        <w:t>Children’s</w:t>
      </w:r>
      <w:proofErr w:type="spellEnd"/>
      <w:r w:rsidR="00AB40FB" w:rsidRPr="00214FD1">
        <w:rPr>
          <w:lang w:val="es-US"/>
        </w:rPr>
        <w:t xml:space="preserve"> </w:t>
      </w:r>
      <w:proofErr w:type="spellStart"/>
      <w:r w:rsidR="00AB40FB" w:rsidRPr="00214FD1">
        <w:rPr>
          <w:lang w:val="es-US"/>
        </w:rPr>
        <w:t>Partnership</w:t>
      </w:r>
      <w:proofErr w:type="spellEnd"/>
    </w:p>
    <w:p w14:paraId="384072C8" w14:textId="77777777" w:rsidR="00AB40FB" w:rsidRPr="00214FD1" w:rsidRDefault="003D240C" w:rsidP="00AB40FB">
      <w:pPr>
        <w:jc w:val="center"/>
        <w:rPr>
          <w:i/>
          <w:iCs/>
          <w:lang w:val="es-US"/>
        </w:rPr>
      </w:pPr>
      <w:r>
        <w:rPr>
          <w:i/>
          <w:iCs/>
          <w:lang w:val="es-US"/>
        </w:rPr>
        <w:t>s</w:t>
      </w:r>
      <w:r w:rsidR="00214FD1" w:rsidRPr="00214FD1">
        <w:rPr>
          <w:i/>
          <w:iCs/>
          <w:lang w:val="es-US"/>
        </w:rPr>
        <w:t>eptiembre</w:t>
      </w:r>
      <w:r w:rsidR="00AB40FB" w:rsidRPr="00214FD1">
        <w:rPr>
          <w:i/>
          <w:iCs/>
          <w:lang w:val="es-US"/>
        </w:rPr>
        <w:t xml:space="preserve"> 2018</w:t>
      </w:r>
    </w:p>
    <w:p w14:paraId="1B80409E" w14:textId="77777777" w:rsidR="0060374E" w:rsidRPr="00214FD1" w:rsidRDefault="00E51774" w:rsidP="0060374E">
      <w:pPr>
        <w:jc w:val="center"/>
        <w:rPr>
          <w:lang w:val="es-US"/>
        </w:rPr>
      </w:pPr>
      <w:r w:rsidRPr="00214FD1">
        <w:rPr>
          <w:noProof/>
        </w:rPr>
        <w:drawing>
          <wp:inline distT="0" distB="0" distL="0" distR="0" wp14:anchorId="4D90C167" wp14:editId="455866DB">
            <wp:extent cx="2509005" cy="939800"/>
            <wp:effectExtent l="0" t="0" r="5715" b="0"/>
            <wp:docPr id="1" name="Picture 1" descr="Imagen de un cepillo de dient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1092" cy="100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BBEB3" w14:textId="77777777" w:rsidR="00F262FD" w:rsidRPr="00214FD1" w:rsidRDefault="00214FD1" w:rsidP="0060374E">
      <w:pPr>
        <w:pStyle w:val="Heading2"/>
        <w:jc w:val="center"/>
        <w:rPr>
          <w:sz w:val="28"/>
          <w:szCs w:val="24"/>
          <w:lang w:val="es-US"/>
        </w:rPr>
      </w:pPr>
      <w:r w:rsidRPr="00214FD1">
        <w:rPr>
          <w:sz w:val="28"/>
          <w:szCs w:val="24"/>
          <w:lang w:val="es-US"/>
        </w:rPr>
        <w:t>¿</w:t>
      </w:r>
      <w:r>
        <w:rPr>
          <w:sz w:val="28"/>
          <w:szCs w:val="24"/>
          <w:lang w:val="es-US"/>
        </w:rPr>
        <w:t>Por Qué Es Importante La Salud Oral?</w:t>
      </w:r>
    </w:p>
    <w:p w14:paraId="690F8F93" w14:textId="77777777" w:rsidR="00E70216" w:rsidRPr="00214FD1" w:rsidRDefault="00E70216" w:rsidP="0060374E">
      <w:pPr>
        <w:pStyle w:val="ListParagraph"/>
        <w:numPr>
          <w:ilvl w:val="0"/>
          <w:numId w:val="11"/>
        </w:numPr>
        <w:jc w:val="center"/>
        <w:rPr>
          <w:lang w:val="es-US"/>
        </w:rPr>
        <w:sectPr w:rsidR="00E70216" w:rsidRPr="00214FD1" w:rsidSect="00BB41A4">
          <w:footerReference w:type="default" r:id="rId8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</w:p>
    <w:p w14:paraId="1503DD3C" w14:textId="77777777" w:rsidR="00E70216" w:rsidRDefault="00214FD1" w:rsidP="00214FD1">
      <w:pPr>
        <w:pStyle w:val="ListParagraph"/>
        <w:numPr>
          <w:ilvl w:val="0"/>
          <w:numId w:val="11"/>
        </w:numPr>
        <w:contextualSpacing w:val="0"/>
        <w:rPr>
          <w:lang w:val="es-US"/>
        </w:rPr>
      </w:pPr>
      <w:r w:rsidRPr="00214FD1">
        <w:rPr>
          <w:lang w:val="es-US"/>
        </w:rPr>
        <w:t>Los problemas de salud oral</w:t>
      </w:r>
      <w:r>
        <w:rPr>
          <w:lang w:val="es-US"/>
        </w:rPr>
        <w:t xml:space="preserve"> </w:t>
      </w:r>
      <w:r w:rsidRPr="00214FD1">
        <w:rPr>
          <w:lang w:val="es-US"/>
        </w:rPr>
        <w:t>pueden dificultar que los niños</w:t>
      </w:r>
      <w:r>
        <w:rPr>
          <w:lang w:val="es-US"/>
        </w:rPr>
        <w:t xml:space="preserve"> </w:t>
      </w:r>
      <w:r w:rsidRPr="00214FD1">
        <w:rPr>
          <w:lang w:val="es-US"/>
        </w:rPr>
        <w:t>se concentren en la escuela,</w:t>
      </w:r>
      <w:r>
        <w:rPr>
          <w:lang w:val="es-US"/>
        </w:rPr>
        <w:t xml:space="preserve"> </w:t>
      </w:r>
      <w:r w:rsidRPr="00214FD1">
        <w:rPr>
          <w:lang w:val="es-US"/>
        </w:rPr>
        <w:t>que tengan bajas calificaciones</w:t>
      </w:r>
      <w:r>
        <w:rPr>
          <w:lang w:val="es-US"/>
        </w:rPr>
        <w:t xml:space="preserve"> o que incluso pierdan </w:t>
      </w:r>
      <w:r w:rsidRPr="00214FD1">
        <w:rPr>
          <w:lang w:val="es-US"/>
        </w:rPr>
        <w:t>días de</w:t>
      </w:r>
      <w:r>
        <w:rPr>
          <w:lang w:val="es-US"/>
        </w:rPr>
        <w:t xml:space="preserve"> </w:t>
      </w:r>
      <w:r w:rsidRPr="00214FD1">
        <w:rPr>
          <w:lang w:val="es-US"/>
        </w:rPr>
        <w:t>clases.</w:t>
      </w:r>
    </w:p>
    <w:p w14:paraId="504B10AD" w14:textId="77777777" w:rsidR="00E70216" w:rsidRPr="00214FD1" w:rsidRDefault="00214FD1" w:rsidP="00214FD1">
      <w:pPr>
        <w:pStyle w:val="ListParagraph"/>
        <w:numPr>
          <w:ilvl w:val="0"/>
          <w:numId w:val="11"/>
        </w:numPr>
        <w:contextualSpacing w:val="0"/>
        <w:rPr>
          <w:lang w:val="es-ES"/>
        </w:rPr>
      </w:pPr>
      <w:r w:rsidRPr="00214FD1">
        <w:rPr>
          <w:lang w:val="es-ES"/>
        </w:rPr>
        <w:t>Cuidar la boca y los dientes</w:t>
      </w:r>
      <w:r>
        <w:rPr>
          <w:lang w:val="es-ES"/>
        </w:rPr>
        <w:t xml:space="preserve"> </w:t>
      </w:r>
      <w:r w:rsidRPr="00214FD1">
        <w:rPr>
          <w:lang w:val="es-ES"/>
        </w:rPr>
        <w:t>de su hijo los ayudará a</w:t>
      </w:r>
      <w:r>
        <w:rPr>
          <w:lang w:val="es-ES"/>
        </w:rPr>
        <w:t xml:space="preserve"> </w:t>
      </w:r>
      <w:r w:rsidRPr="00214FD1">
        <w:rPr>
          <w:lang w:val="es-ES"/>
        </w:rPr>
        <w:t>convertirse en adultos</w:t>
      </w:r>
      <w:r>
        <w:rPr>
          <w:lang w:val="es-ES"/>
        </w:rPr>
        <w:t xml:space="preserve"> </w:t>
      </w:r>
      <w:r w:rsidRPr="00214FD1">
        <w:rPr>
          <w:lang w:val="es-ES"/>
        </w:rPr>
        <w:t>saludables.</w:t>
      </w:r>
    </w:p>
    <w:p w14:paraId="6ACB9A6E" w14:textId="77777777" w:rsidR="00E70216" w:rsidRDefault="00214FD1" w:rsidP="00214FD1">
      <w:pPr>
        <w:pStyle w:val="ListParagraph"/>
        <w:numPr>
          <w:ilvl w:val="0"/>
          <w:numId w:val="11"/>
        </w:numPr>
        <w:contextualSpacing w:val="0"/>
        <w:rPr>
          <w:lang w:val="es-US"/>
        </w:rPr>
      </w:pPr>
      <w:r w:rsidRPr="00214FD1">
        <w:rPr>
          <w:lang w:val="es-US"/>
        </w:rPr>
        <w:t>La mala salud oral provoca</w:t>
      </w:r>
      <w:r>
        <w:rPr>
          <w:lang w:val="es-US"/>
        </w:rPr>
        <w:t xml:space="preserve"> </w:t>
      </w:r>
      <w:r w:rsidRPr="00214FD1">
        <w:rPr>
          <w:lang w:val="es-US"/>
        </w:rPr>
        <w:t>caries en los dientes,</w:t>
      </w:r>
      <w:r>
        <w:rPr>
          <w:lang w:val="es-US"/>
        </w:rPr>
        <w:t xml:space="preserve"> </w:t>
      </w:r>
      <w:r w:rsidRPr="00214FD1">
        <w:rPr>
          <w:lang w:val="es-US"/>
        </w:rPr>
        <w:t>causando dolor, infección y</w:t>
      </w:r>
      <w:r>
        <w:rPr>
          <w:lang w:val="es-US"/>
        </w:rPr>
        <w:t xml:space="preserve"> </w:t>
      </w:r>
      <w:r w:rsidRPr="00214FD1">
        <w:rPr>
          <w:lang w:val="es-US"/>
        </w:rPr>
        <w:t>pérdida de dientes.</w:t>
      </w:r>
    </w:p>
    <w:p w14:paraId="1FF06925" w14:textId="77777777" w:rsidR="00290C1E" w:rsidRDefault="00214FD1" w:rsidP="00214FD1">
      <w:pPr>
        <w:pStyle w:val="ListParagraph"/>
        <w:numPr>
          <w:ilvl w:val="0"/>
          <w:numId w:val="11"/>
        </w:numPr>
        <w:contextualSpacing w:val="0"/>
        <w:rPr>
          <w:lang w:val="es-ES"/>
        </w:rPr>
      </w:pPr>
      <w:r w:rsidRPr="00214FD1">
        <w:rPr>
          <w:lang w:val="es-ES"/>
        </w:rPr>
        <w:t>El dolor y la incomodidad</w:t>
      </w:r>
      <w:r>
        <w:rPr>
          <w:lang w:val="es-ES"/>
        </w:rPr>
        <w:t xml:space="preserve"> </w:t>
      </w:r>
      <w:r w:rsidRPr="00214FD1">
        <w:rPr>
          <w:lang w:val="es-ES"/>
        </w:rPr>
        <w:t>causada por la caries dental</w:t>
      </w:r>
      <w:r>
        <w:rPr>
          <w:lang w:val="es-ES"/>
        </w:rPr>
        <w:t xml:space="preserve"> </w:t>
      </w:r>
      <w:r w:rsidRPr="00214FD1">
        <w:rPr>
          <w:lang w:val="es-ES"/>
        </w:rPr>
        <w:t>dificultan que los niños</w:t>
      </w:r>
      <w:r>
        <w:rPr>
          <w:lang w:val="es-ES"/>
        </w:rPr>
        <w:t xml:space="preserve"> </w:t>
      </w:r>
      <w:r w:rsidRPr="00214FD1">
        <w:rPr>
          <w:lang w:val="es-ES"/>
        </w:rPr>
        <w:t>coman y duerman bien.</w:t>
      </w:r>
    </w:p>
    <w:p w14:paraId="64FE7B98" w14:textId="77777777" w:rsidR="00214FD1" w:rsidRPr="009102B5" w:rsidRDefault="00214FD1" w:rsidP="009102B5">
      <w:pPr>
        <w:pStyle w:val="ListParagraph"/>
        <w:numPr>
          <w:ilvl w:val="0"/>
          <w:numId w:val="11"/>
        </w:numPr>
        <w:contextualSpacing w:val="0"/>
        <w:rPr>
          <w:b/>
          <w:lang w:val="es-ES"/>
        </w:rPr>
      </w:pPr>
      <w:r w:rsidRPr="009102B5">
        <w:rPr>
          <w:lang w:val="es-ES"/>
        </w:rPr>
        <w:t xml:space="preserve">Las enfermedades en las encías, conocido como gingivitis, afectan el nivel de azúcar en la sangre de los niños y contribuye a la diabetes. </w:t>
      </w:r>
    </w:p>
    <w:p w14:paraId="11D8572E" w14:textId="77777777" w:rsidR="00214FD1" w:rsidRPr="007A5785" w:rsidRDefault="00214FD1" w:rsidP="00214FD1">
      <w:pPr>
        <w:pStyle w:val="Heading2"/>
        <w:rPr>
          <w:sz w:val="28"/>
          <w:szCs w:val="24"/>
          <w:lang w:val="es-ES"/>
        </w:rPr>
        <w:sectPr w:rsidR="00214FD1" w:rsidRPr="007A5785" w:rsidSect="00214FD1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2" w:space="720"/>
          <w:docGrid w:linePitch="360"/>
        </w:sectPr>
      </w:pPr>
    </w:p>
    <w:p w14:paraId="339534D6" w14:textId="77777777" w:rsidR="00B07CCA" w:rsidRPr="00214FD1" w:rsidRDefault="00214FD1" w:rsidP="009100BD">
      <w:pPr>
        <w:pStyle w:val="Heading2"/>
        <w:jc w:val="center"/>
        <w:rPr>
          <w:rFonts w:eastAsiaTheme="minorEastAsia" w:cstheme="minorBidi"/>
          <w:b w:val="0"/>
          <w:sz w:val="24"/>
          <w:szCs w:val="22"/>
          <w:lang w:val="es-ES"/>
        </w:rPr>
      </w:pPr>
      <w:r w:rsidRPr="00214FD1">
        <w:rPr>
          <w:sz w:val="28"/>
          <w:szCs w:val="24"/>
          <w:lang w:val="es-ES"/>
        </w:rPr>
        <w:t>Asegúrese Que Su Hijo(a)</w:t>
      </w:r>
      <w:r w:rsidR="00B07CCA" w:rsidRPr="00214FD1">
        <w:rPr>
          <w:sz w:val="28"/>
          <w:szCs w:val="24"/>
          <w:lang w:val="es-ES"/>
        </w:rPr>
        <w:t>:</w:t>
      </w:r>
    </w:p>
    <w:p w14:paraId="7E18C743" w14:textId="77777777" w:rsidR="00BA40D9" w:rsidRPr="00214FD1" w:rsidRDefault="00BA40D9" w:rsidP="009100BD">
      <w:pPr>
        <w:jc w:val="center"/>
        <w:rPr>
          <w:lang w:val="es-ES"/>
        </w:rPr>
        <w:sectPr w:rsidR="00BA40D9" w:rsidRPr="00214FD1" w:rsidSect="00BB41A4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</w:p>
    <w:p w14:paraId="17A14729" w14:textId="77777777" w:rsidR="00BA40D9" w:rsidRPr="00214FD1" w:rsidRDefault="00214FD1" w:rsidP="00214FD1">
      <w:pPr>
        <w:pStyle w:val="ListParagraph"/>
        <w:numPr>
          <w:ilvl w:val="0"/>
          <w:numId w:val="12"/>
        </w:numPr>
        <w:ind w:right="-720"/>
        <w:rPr>
          <w:lang w:val="es-US"/>
        </w:rPr>
      </w:pPr>
      <w:r>
        <w:rPr>
          <w:lang w:val="es-US"/>
        </w:rPr>
        <w:t>Se cepille sus dientes por 2 minutos, 2 veces al día.</w:t>
      </w:r>
    </w:p>
    <w:p w14:paraId="2133A013" w14:textId="77777777" w:rsidR="00E861BB" w:rsidRPr="00214FD1" w:rsidRDefault="00AB40FB" w:rsidP="00AB40FB">
      <w:pPr>
        <w:spacing w:after="120"/>
        <w:ind w:left="720"/>
        <w:rPr>
          <w:lang w:val="es-US"/>
        </w:rPr>
      </w:pPr>
      <w:r w:rsidRPr="00214FD1">
        <w:rPr>
          <w:noProof/>
        </w:rPr>
        <w:drawing>
          <wp:inline distT="0" distB="0" distL="0" distR="0" wp14:anchorId="6B6EC29D" wp14:editId="132CDFD3">
            <wp:extent cx="450864" cy="500654"/>
            <wp:effectExtent l="0" t="0" r="6350" b="0"/>
            <wp:docPr id="2" name="Picture 2" descr="Imagen de un dentista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739" cy="54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1BB" w:rsidRPr="00214FD1">
        <w:rPr>
          <w:noProof/>
        </w:rPr>
        <w:drawing>
          <wp:inline distT="0" distB="0" distL="0" distR="0" wp14:anchorId="3B934C96" wp14:editId="1CEDF368">
            <wp:extent cx="487587" cy="527050"/>
            <wp:effectExtent l="0" t="0" r="8255" b="6350"/>
            <wp:docPr id="9" name="Picture 9" descr="Imagen de a un reloj con el numero dos en el centr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3" cy="56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90CADF" w14:textId="77777777" w:rsidR="00BA40D9" w:rsidRPr="00214FD1" w:rsidRDefault="00214FD1" w:rsidP="0048594D">
      <w:pPr>
        <w:pStyle w:val="ListParagraph"/>
        <w:numPr>
          <w:ilvl w:val="0"/>
          <w:numId w:val="12"/>
        </w:numPr>
        <w:ind w:left="-90" w:hanging="270"/>
        <w:rPr>
          <w:lang w:val="es-US"/>
        </w:rPr>
      </w:pPr>
      <w:r>
        <w:rPr>
          <w:lang w:val="es-US"/>
        </w:rPr>
        <w:t>Visite al dentista 2 veces al año.</w:t>
      </w:r>
    </w:p>
    <w:p w14:paraId="51C3C246" w14:textId="77777777" w:rsidR="00E861BB" w:rsidRPr="00214FD1" w:rsidRDefault="00E861BB" w:rsidP="00BA40D9">
      <w:pPr>
        <w:rPr>
          <w:lang w:val="es-US"/>
        </w:rPr>
        <w:sectPr w:rsidR="00E861BB" w:rsidRPr="00214FD1" w:rsidSect="00E861BB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3" w:space="720"/>
          <w:docGrid w:linePitch="360"/>
        </w:sectPr>
      </w:pPr>
    </w:p>
    <w:p w14:paraId="5E00DB88" w14:textId="77777777" w:rsidR="00E861BB" w:rsidRPr="00214FD1" w:rsidRDefault="00214FD1" w:rsidP="00E861BB">
      <w:pPr>
        <w:jc w:val="center"/>
        <w:rPr>
          <w:rStyle w:val="Emphasis"/>
          <w:sz w:val="28"/>
          <w:szCs w:val="24"/>
          <w:lang w:val="es-US"/>
        </w:rPr>
      </w:pPr>
      <w:r w:rsidRPr="00214FD1">
        <w:rPr>
          <w:rStyle w:val="Emphasis"/>
          <w:sz w:val="28"/>
          <w:szCs w:val="24"/>
          <w:lang w:val="es-US"/>
        </w:rPr>
        <w:t>¡</w:t>
      </w:r>
      <w:r>
        <w:rPr>
          <w:rStyle w:val="Emphasis"/>
          <w:sz w:val="28"/>
          <w:szCs w:val="24"/>
          <w:lang w:val="es-US"/>
        </w:rPr>
        <w:t>Usted puede ayudar a prevenir la caries dental</w:t>
      </w:r>
      <w:r w:rsidR="00BA40D9" w:rsidRPr="00214FD1">
        <w:rPr>
          <w:rStyle w:val="Emphasis"/>
          <w:sz w:val="28"/>
          <w:szCs w:val="24"/>
          <w:lang w:val="es-US"/>
        </w:rPr>
        <w:t>!</w:t>
      </w:r>
    </w:p>
    <w:p w14:paraId="61F2E405" w14:textId="77777777" w:rsidR="00E861BB" w:rsidRPr="00214FD1" w:rsidRDefault="00E861BB" w:rsidP="00E861BB">
      <w:pPr>
        <w:jc w:val="center"/>
        <w:rPr>
          <w:i/>
          <w:iCs/>
          <w:lang w:val="es-US"/>
        </w:rPr>
      </w:pPr>
      <w:r w:rsidRPr="00214FD1">
        <w:rPr>
          <w:i/>
          <w:iCs/>
          <w:noProof/>
        </w:rPr>
        <w:drawing>
          <wp:inline distT="0" distB="0" distL="0" distR="0" wp14:anchorId="6F9F993F" wp14:editId="58C6F621">
            <wp:extent cx="428542" cy="450850"/>
            <wp:effectExtent l="0" t="0" r="0" b="6350"/>
            <wp:docPr id="8" name="Picture 8" descr="Imagen de un nino con dolor de diente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68" cy="475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27812" w14:textId="77777777" w:rsidR="00E861BB" w:rsidRPr="00214FD1" w:rsidRDefault="00214FD1" w:rsidP="00E861BB">
      <w:pPr>
        <w:pStyle w:val="Heading2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¿Sabia</w:t>
      </w:r>
      <w:r w:rsidR="00E70216" w:rsidRPr="00214FD1">
        <w:rPr>
          <w:sz w:val="28"/>
          <w:szCs w:val="24"/>
          <w:lang w:val="es-US"/>
        </w:rPr>
        <w:t>?</w:t>
      </w:r>
    </w:p>
    <w:p w14:paraId="4B6525BA" w14:textId="77777777" w:rsidR="00214FD1" w:rsidRDefault="00214FD1" w:rsidP="00214FD1">
      <w:pPr>
        <w:pStyle w:val="ListParagraph"/>
        <w:numPr>
          <w:ilvl w:val="0"/>
          <w:numId w:val="12"/>
        </w:numPr>
        <w:rPr>
          <w:lang w:val="es-US"/>
        </w:rPr>
        <w:sectPr w:rsidR="00214FD1" w:rsidSect="00D55816">
          <w:type w:val="continuous"/>
          <w:pgSz w:w="12240" w:h="15840"/>
          <w:pgMar w:top="1440" w:right="1440" w:bottom="1440" w:left="1440" w:header="288" w:footer="864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</w:p>
    <w:p w14:paraId="02652C96" w14:textId="77777777" w:rsidR="00BA40D9" w:rsidRDefault="00214FD1" w:rsidP="00BC38B0">
      <w:pPr>
        <w:pStyle w:val="ListParagraph"/>
        <w:numPr>
          <w:ilvl w:val="0"/>
          <w:numId w:val="12"/>
        </w:numPr>
        <w:contextualSpacing w:val="0"/>
        <w:rPr>
          <w:lang w:val="es-US"/>
        </w:rPr>
      </w:pPr>
      <w:r w:rsidRPr="00214FD1">
        <w:rPr>
          <w:lang w:val="es-US"/>
        </w:rPr>
        <w:t>La caries dental es la enfermedad</w:t>
      </w:r>
      <w:r>
        <w:rPr>
          <w:lang w:val="es-US"/>
        </w:rPr>
        <w:t xml:space="preserve"> </w:t>
      </w:r>
      <w:r w:rsidRPr="00214FD1">
        <w:rPr>
          <w:lang w:val="es-US"/>
        </w:rPr>
        <w:t>crónica infantil más común en los</w:t>
      </w:r>
      <w:r>
        <w:rPr>
          <w:lang w:val="es-US"/>
        </w:rPr>
        <w:t xml:space="preserve"> </w:t>
      </w:r>
      <w:r w:rsidRPr="00214FD1">
        <w:rPr>
          <w:lang w:val="es-US"/>
        </w:rPr>
        <w:t>Estados Unidos.</w:t>
      </w:r>
    </w:p>
    <w:p w14:paraId="7E6C2C10" w14:textId="77777777" w:rsidR="00214FD1" w:rsidRPr="0048594D" w:rsidRDefault="00214FD1" w:rsidP="00214FD1">
      <w:pPr>
        <w:pStyle w:val="ListParagraph"/>
        <w:numPr>
          <w:ilvl w:val="0"/>
          <w:numId w:val="12"/>
        </w:numPr>
        <w:contextualSpacing w:val="0"/>
        <w:rPr>
          <w:sz w:val="28"/>
          <w:szCs w:val="24"/>
          <w:lang w:val="es-US"/>
        </w:rPr>
        <w:sectPr w:rsidR="00214FD1" w:rsidRPr="0048594D" w:rsidSect="00BC38B0">
          <w:type w:val="continuous"/>
          <w:pgSz w:w="12240" w:h="15840"/>
          <w:pgMar w:top="1440" w:right="1440" w:bottom="1440" w:left="1440" w:header="288" w:footer="864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2" w:space="720"/>
          <w:docGrid w:linePitch="360"/>
        </w:sectPr>
      </w:pPr>
      <w:r w:rsidRPr="0048594D">
        <w:rPr>
          <w:lang w:val="es-US"/>
        </w:rPr>
        <w:t xml:space="preserve">Los niños </w:t>
      </w:r>
      <w:proofErr w:type="gramStart"/>
      <w:r w:rsidRPr="0048594D">
        <w:rPr>
          <w:lang w:val="es-US"/>
        </w:rPr>
        <w:t>Afro-Americanos</w:t>
      </w:r>
      <w:proofErr w:type="gramEnd"/>
      <w:r w:rsidRPr="0048594D">
        <w:rPr>
          <w:lang w:val="es-US"/>
        </w:rPr>
        <w:t>, Latinos y</w:t>
      </w:r>
      <w:r w:rsidRPr="0048594D">
        <w:rPr>
          <w:b/>
          <w:lang w:val="es-US"/>
        </w:rPr>
        <w:t xml:space="preserve"> </w:t>
      </w:r>
      <w:r w:rsidRPr="0048594D">
        <w:rPr>
          <w:lang w:val="es-US"/>
        </w:rPr>
        <w:t>nativo Americanos / nativos de Alaska</w:t>
      </w:r>
      <w:r w:rsidRPr="0048594D">
        <w:rPr>
          <w:b/>
          <w:lang w:val="es-US"/>
        </w:rPr>
        <w:t xml:space="preserve"> </w:t>
      </w:r>
      <w:r w:rsidRPr="009102B5">
        <w:rPr>
          <w:bCs/>
          <w:lang w:val="es-US"/>
        </w:rPr>
        <w:t>t</w:t>
      </w:r>
      <w:r w:rsidRPr="0048594D">
        <w:rPr>
          <w:lang w:val="es-US"/>
        </w:rPr>
        <w:t>ienen más probabilidades de sufrir caries</w:t>
      </w:r>
      <w:r w:rsidRPr="0048594D">
        <w:rPr>
          <w:b/>
          <w:lang w:val="es-US"/>
        </w:rPr>
        <w:t xml:space="preserve"> </w:t>
      </w:r>
      <w:r w:rsidRPr="0048594D">
        <w:rPr>
          <w:lang w:val="es-US"/>
        </w:rPr>
        <w:t>dentales y gingivitis que los niños</w:t>
      </w:r>
      <w:r w:rsidRPr="0048594D">
        <w:rPr>
          <w:b/>
          <w:lang w:val="es-US"/>
        </w:rPr>
        <w:t xml:space="preserve"> </w:t>
      </w:r>
      <w:r w:rsidRPr="0048594D">
        <w:rPr>
          <w:lang w:val="es-US"/>
        </w:rPr>
        <w:t xml:space="preserve">de raza blanca. </w:t>
      </w:r>
    </w:p>
    <w:p w14:paraId="16E35D26" w14:textId="77777777" w:rsidR="00B07CCA" w:rsidRPr="00214FD1" w:rsidRDefault="00762A63" w:rsidP="00762A63">
      <w:pPr>
        <w:pStyle w:val="Heading2"/>
        <w:jc w:val="center"/>
        <w:rPr>
          <w:rFonts w:eastAsiaTheme="minorEastAsia" w:cstheme="minorBidi"/>
          <w:b w:val="0"/>
          <w:sz w:val="24"/>
          <w:szCs w:val="22"/>
          <w:lang w:val="es-US"/>
        </w:rPr>
      </w:pPr>
      <w:r>
        <w:rPr>
          <w:sz w:val="28"/>
          <w:szCs w:val="24"/>
          <w:lang w:val="es-US"/>
        </w:rPr>
        <w:lastRenderedPageBreak/>
        <w:t>Comience Temprano</w:t>
      </w:r>
    </w:p>
    <w:p w14:paraId="2B79449C" w14:textId="77777777" w:rsidR="00BA40D9" w:rsidRPr="00214FD1" w:rsidRDefault="00BA40D9" w:rsidP="00290C1E">
      <w:pPr>
        <w:pStyle w:val="ListParagraph"/>
        <w:numPr>
          <w:ilvl w:val="0"/>
          <w:numId w:val="14"/>
        </w:numPr>
        <w:jc w:val="center"/>
        <w:rPr>
          <w:lang w:val="es-US"/>
        </w:rPr>
        <w:sectPr w:rsidR="00BA40D9" w:rsidRPr="00214FD1" w:rsidSect="00D55816">
          <w:type w:val="continuous"/>
          <w:pgSz w:w="12240" w:h="15840"/>
          <w:pgMar w:top="1440" w:right="1440" w:bottom="1440" w:left="1440" w:header="288" w:footer="864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</w:p>
    <w:p w14:paraId="6649EB49" w14:textId="77777777" w:rsidR="00BA40D9" w:rsidRDefault="00762A63" w:rsidP="00762A63">
      <w:pPr>
        <w:pStyle w:val="ListParagraph"/>
        <w:numPr>
          <w:ilvl w:val="0"/>
          <w:numId w:val="14"/>
        </w:numPr>
        <w:ind w:left="-144"/>
        <w:contextualSpacing w:val="0"/>
        <w:rPr>
          <w:lang w:val="es-US"/>
        </w:rPr>
      </w:pPr>
      <w:r w:rsidRPr="00762A63">
        <w:rPr>
          <w:lang w:val="es-US"/>
        </w:rPr>
        <w:t>Limpie las encías de su bebé</w:t>
      </w:r>
      <w:r>
        <w:rPr>
          <w:lang w:val="es-US"/>
        </w:rPr>
        <w:t xml:space="preserve"> </w:t>
      </w:r>
      <w:r w:rsidRPr="00762A63">
        <w:rPr>
          <w:lang w:val="es-US"/>
        </w:rPr>
        <w:t>delicadamente con una toallita</w:t>
      </w:r>
      <w:r>
        <w:rPr>
          <w:lang w:val="es-US"/>
        </w:rPr>
        <w:t xml:space="preserve"> </w:t>
      </w:r>
      <w:r w:rsidRPr="00762A63">
        <w:rPr>
          <w:lang w:val="es-US"/>
        </w:rPr>
        <w:t>suave, y limpia.</w:t>
      </w:r>
    </w:p>
    <w:p w14:paraId="3CD44ED3" w14:textId="77777777" w:rsidR="00762A63" w:rsidRPr="00762A63" w:rsidRDefault="00762A63" w:rsidP="00762A63">
      <w:pPr>
        <w:pStyle w:val="ListParagraph"/>
        <w:numPr>
          <w:ilvl w:val="0"/>
          <w:numId w:val="14"/>
        </w:numPr>
        <w:ind w:left="-144"/>
        <w:contextualSpacing w:val="0"/>
        <w:rPr>
          <w:lang w:val="es-US"/>
        </w:rPr>
      </w:pPr>
      <w:r w:rsidRPr="00762A63">
        <w:rPr>
          <w:lang w:val="es-US"/>
        </w:rPr>
        <w:t>Visite al dentista una vez que</w:t>
      </w:r>
      <w:r>
        <w:rPr>
          <w:lang w:val="es-US"/>
        </w:rPr>
        <w:t xml:space="preserve"> </w:t>
      </w:r>
      <w:r w:rsidRPr="00762A63">
        <w:rPr>
          <w:lang w:val="es-US"/>
        </w:rPr>
        <w:t>aparezca su primer diente o antes</w:t>
      </w:r>
      <w:r>
        <w:rPr>
          <w:lang w:val="es-US"/>
        </w:rPr>
        <w:t xml:space="preserve"> </w:t>
      </w:r>
      <w:r w:rsidRPr="00762A63">
        <w:rPr>
          <w:lang w:val="es-US"/>
        </w:rPr>
        <w:t>de su primer cumpleaños, lo que</w:t>
      </w:r>
      <w:r>
        <w:rPr>
          <w:lang w:val="es-US"/>
        </w:rPr>
        <w:t xml:space="preserve"> ocurra primero.</w:t>
      </w:r>
    </w:p>
    <w:p w14:paraId="37E0BF6E" w14:textId="77777777" w:rsidR="00762A63" w:rsidRPr="00762A63" w:rsidRDefault="00762A63" w:rsidP="00762A63">
      <w:pPr>
        <w:pStyle w:val="ListParagraph"/>
        <w:numPr>
          <w:ilvl w:val="0"/>
          <w:numId w:val="14"/>
        </w:numPr>
        <w:ind w:left="-144"/>
        <w:contextualSpacing w:val="0"/>
        <w:rPr>
          <w:lang w:val="es-US"/>
        </w:rPr>
      </w:pPr>
      <w:r w:rsidRPr="00762A63">
        <w:rPr>
          <w:lang w:val="es-US"/>
        </w:rPr>
        <w:t>Una vez que su hijo tenga al menos dos dientes</w:t>
      </w:r>
      <w:r>
        <w:rPr>
          <w:lang w:val="es-US"/>
        </w:rPr>
        <w:t xml:space="preserve"> uno junto al otro, </w:t>
      </w:r>
      <w:r w:rsidRPr="00762A63">
        <w:rPr>
          <w:lang w:val="es-US"/>
        </w:rPr>
        <w:t>enséñele los conceptos</w:t>
      </w:r>
      <w:r>
        <w:rPr>
          <w:lang w:val="es-US"/>
        </w:rPr>
        <w:t xml:space="preserve"> </w:t>
      </w:r>
      <w:r w:rsidRPr="00762A63">
        <w:rPr>
          <w:lang w:val="es-US"/>
        </w:rPr>
        <w:t xml:space="preserve">básicos del uso del hilo dental. </w:t>
      </w:r>
    </w:p>
    <w:p w14:paraId="441CC371" w14:textId="77777777" w:rsidR="00762A63" w:rsidRPr="00762A63" w:rsidRDefault="00762A63" w:rsidP="00762A63">
      <w:pPr>
        <w:pStyle w:val="ListParagraph"/>
        <w:numPr>
          <w:ilvl w:val="0"/>
          <w:numId w:val="14"/>
        </w:numPr>
        <w:ind w:right="-432"/>
        <w:contextualSpacing w:val="0"/>
        <w:rPr>
          <w:lang w:val="es-ES"/>
        </w:rPr>
      </w:pPr>
      <w:r w:rsidRPr="00762A63">
        <w:rPr>
          <w:lang w:val="es-ES"/>
        </w:rPr>
        <w:t>Generalmente los niños necesitan ayuda para usar el hilo dental hasta que tengan entre 8 y 10 años.</w:t>
      </w:r>
    </w:p>
    <w:p w14:paraId="1E828FC8" w14:textId="77777777" w:rsidR="00762A63" w:rsidRPr="00762A63" w:rsidRDefault="00762A63" w:rsidP="00762A63">
      <w:pPr>
        <w:pStyle w:val="ListParagraph"/>
        <w:numPr>
          <w:ilvl w:val="0"/>
          <w:numId w:val="14"/>
        </w:numPr>
        <w:ind w:right="-432"/>
        <w:contextualSpacing w:val="0"/>
        <w:rPr>
          <w:lang w:val="es-ES"/>
        </w:rPr>
        <w:sectPr w:rsidR="00762A63" w:rsidRPr="00762A63" w:rsidSect="00762A63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2" w:space="720"/>
          <w:docGrid w:linePitch="360"/>
        </w:sectPr>
      </w:pPr>
      <w:r w:rsidRPr="00762A63">
        <w:rPr>
          <w:lang w:val="es-ES"/>
        </w:rPr>
        <w:t>Elija una pasta dental para su hijo que contenga flúor, un mineral natural que ayuda a pr</w:t>
      </w:r>
      <w:r>
        <w:rPr>
          <w:lang w:val="es-ES"/>
        </w:rPr>
        <w:t>oteger y fortalecer los dientes</w:t>
      </w:r>
    </w:p>
    <w:p w14:paraId="11D2BB4F" w14:textId="77777777" w:rsidR="00A63EDC" w:rsidRPr="00214FD1" w:rsidRDefault="00762A63" w:rsidP="009100BD">
      <w:pPr>
        <w:pStyle w:val="Heading2"/>
        <w:spacing w:before="360"/>
        <w:jc w:val="center"/>
        <w:rPr>
          <w:sz w:val="28"/>
          <w:szCs w:val="24"/>
          <w:lang w:val="es-US"/>
        </w:rPr>
        <w:sectPr w:rsidR="00A63EDC" w:rsidRPr="00214FD1" w:rsidSect="00BB41A4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  <w:r>
        <w:rPr>
          <w:sz w:val="28"/>
          <w:szCs w:val="24"/>
          <w:lang w:val="es-US"/>
        </w:rPr>
        <w:t>Tome Decisiones Saludables</w:t>
      </w:r>
    </w:p>
    <w:p w14:paraId="5C687C65" w14:textId="77777777" w:rsidR="00A63EDC" w:rsidRDefault="00762A63" w:rsidP="009100BD">
      <w:pPr>
        <w:pStyle w:val="ListParagraph"/>
        <w:numPr>
          <w:ilvl w:val="0"/>
          <w:numId w:val="18"/>
        </w:numPr>
        <w:ind w:left="-172" w:hanging="274"/>
        <w:contextualSpacing w:val="0"/>
        <w:rPr>
          <w:lang w:val="es-US"/>
        </w:rPr>
      </w:pPr>
      <w:r w:rsidRPr="00762A63">
        <w:rPr>
          <w:lang w:val="es-US"/>
        </w:rPr>
        <w:t>La comida que su hijo(a) come afecta su salud</w:t>
      </w:r>
      <w:r>
        <w:rPr>
          <w:lang w:val="es-US"/>
        </w:rPr>
        <w:t xml:space="preserve"> </w:t>
      </w:r>
      <w:r w:rsidRPr="00762A63">
        <w:rPr>
          <w:lang w:val="es-US"/>
        </w:rPr>
        <w:t>oral.</w:t>
      </w:r>
    </w:p>
    <w:p w14:paraId="2F791F76" w14:textId="77777777" w:rsidR="00BC38B0" w:rsidRPr="00BC38B0" w:rsidRDefault="00762A63" w:rsidP="009100BD">
      <w:pPr>
        <w:pStyle w:val="ListParagraph"/>
        <w:numPr>
          <w:ilvl w:val="0"/>
          <w:numId w:val="18"/>
        </w:numPr>
        <w:ind w:left="-172" w:hanging="274"/>
        <w:contextualSpacing w:val="0"/>
        <w:rPr>
          <w:lang w:val="es-US"/>
        </w:rPr>
      </w:pPr>
      <w:r w:rsidRPr="00762A63">
        <w:rPr>
          <w:lang w:val="es-US"/>
        </w:rPr>
        <w:t>El azúcar contribuye a la formación de</w:t>
      </w:r>
      <w:r>
        <w:rPr>
          <w:lang w:val="es-US"/>
        </w:rPr>
        <w:t xml:space="preserve"> </w:t>
      </w:r>
      <w:r w:rsidRPr="00762A63">
        <w:rPr>
          <w:lang w:val="es-US"/>
        </w:rPr>
        <w:t>la caries dental, aproximadamente la mitad del</w:t>
      </w:r>
      <w:r>
        <w:rPr>
          <w:lang w:val="es-US"/>
        </w:rPr>
        <w:t xml:space="preserve"> </w:t>
      </w:r>
      <w:r w:rsidRPr="00762A63">
        <w:rPr>
          <w:lang w:val="es-US"/>
        </w:rPr>
        <w:t>consumo de azúcar de los niños proviene de</w:t>
      </w:r>
      <w:r>
        <w:rPr>
          <w:lang w:val="es-US"/>
        </w:rPr>
        <w:t xml:space="preserve"> </w:t>
      </w:r>
      <w:r w:rsidRPr="00762A63">
        <w:rPr>
          <w:lang w:val="es-US"/>
        </w:rPr>
        <w:t>jugos y refrescos.</w:t>
      </w:r>
    </w:p>
    <w:p w14:paraId="54B8B381" w14:textId="77777777" w:rsidR="00A63EDC" w:rsidRPr="00762A63" w:rsidRDefault="00762A63" w:rsidP="00762A63">
      <w:pPr>
        <w:pStyle w:val="ListParagraph"/>
        <w:numPr>
          <w:ilvl w:val="0"/>
          <w:numId w:val="18"/>
        </w:numPr>
        <w:rPr>
          <w:lang w:val="es-US"/>
        </w:rPr>
        <w:sectPr w:rsidR="00A63EDC" w:rsidRPr="00762A63" w:rsidSect="00BB41A4">
          <w:type w:val="continuous"/>
          <w:pgSz w:w="12240" w:h="15840"/>
          <w:pgMar w:top="1440" w:right="1440" w:bottom="1440" w:left="1440" w:header="720" w:footer="720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2" w:space="720"/>
          <w:docGrid w:linePitch="360"/>
        </w:sectPr>
      </w:pPr>
      <w:r w:rsidRPr="00762A63">
        <w:rPr>
          <w:lang w:val="es-US"/>
        </w:rPr>
        <w:t>Elija agua o leche en lugar de jugo o refresco y su hijo(a) tendrá una boca más saludable. Si le da jugo a su hijo(a), intente mezclarlo con agua para que sea mitad jugo y mitad agua.</w:t>
      </w:r>
    </w:p>
    <w:p w14:paraId="4CCB3A33" w14:textId="77777777" w:rsidR="00BC38B0" w:rsidRDefault="00BC38B0" w:rsidP="009100BD">
      <w:pPr>
        <w:pStyle w:val="Heading2"/>
        <w:spacing w:before="360"/>
        <w:jc w:val="center"/>
        <w:rPr>
          <w:sz w:val="28"/>
          <w:szCs w:val="24"/>
          <w:lang w:val="es-US"/>
        </w:rPr>
      </w:pPr>
      <w:r>
        <w:rPr>
          <w:sz w:val="28"/>
          <w:szCs w:val="24"/>
          <w:lang w:val="es-US"/>
        </w:rPr>
        <w:t>Obteniendo Cobertura</w:t>
      </w:r>
    </w:p>
    <w:p w14:paraId="2B84844E" w14:textId="77777777" w:rsidR="0048594D" w:rsidRPr="0048594D" w:rsidRDefault="0048594D" w:rsidP="0048594D">
      <w:pPr>
        <w:jc w:val="center"/>
        <w:rPr>
          <w:lang w:val="es-US"/>
        </w:rPr>
        <w:sectPr w:rsidR="0048594D" w:rsidRPr="0048594D" w:rsidSect="00BB41A4">
          <w:type w:val="continuous"/>
          <w:pgSz w:w="12240" w:h="15840"/>
          <w:pgMar w:top="1440" w:right="1440" w:bottom="1440" w:left="1440" w:header="288" w:footer="432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  <w:r>
        <w:rPr>
          <w:noProof/>
        </w:rPr>
        <w:drawing>
          <wp:inline distT="0" distB="0" distL="0" distR="0" wp14:anchorId="63DD2DB9" wp14:editId="372FF4F7">
            <wp:extent cx="336550" cy="340699"/>
            <wp:effectExtent l="0" t="0" r="6350" b="2540"/>
            <wp:docPr id="3" name="Picture 3" descr="Imagen de un cru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73" cy="349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46CA5" w14:textId="77777777" w:rsidR="00A63EDC" w:rsidRPr="00BC38B0" w:rsidRDefault="00BC38B0" w:rsidP="00BC38B0">
      <w:pPr>
        <w:pStyle w:val="ListParagraph"/>
        <w:numPr>
          <w:ilvl w:val="0"/>
          <w:numId w:val="19"/>
        </w:numPr>
        <w:ind w:left="-90"/>
        <w:contextualSpacing w:val="0"/>
        <w:rPr>
          <w:lang w:val="es-US"/>
        </w:rPr>
      </w:pPr>
      <w:r>
        <w:rPr>
          <w:lang w:val="es-US"/>
        </w:rPr>
        <w:t xml:space="preserve">Todos los niños, </w:t>
      </w:r>
      <w:r w:rsidRPr="00BC38B0">
        <w:rPr>
          <w:lang w:val="es-US"/>
        </w:rPr>
        <w:t xml:space="preserve">independientemente de su estado migratorio, pueden inscribirse en la cobertura de </w:t>
      </w:r>
      <w:proofErr w:type="spellStart"/>
      <w:r w:rsidRPr="00BC38B0">
        <w:rPr>
          <w:lang w:val="es-US"/>
        </w:rPr>
        <w:t>Medi</w:t>
      </w:r>
      <w:proofErr w:type="spellEnd"/>
      <w:r w:rsidRPr="00BC38B0">
        <w:rPr>
          <w:lang w:val="es-US"/>
        </w:rPr>
        <w:t>-Cal si su familia cumple con los requisitos de ingresos.</w:t>
      </w:r>
    </w:p>
    <w:p w14:paraId="1158B449" w14:textId="77777777" w:rsidR="00A63EDC" w:rsidRPr="00BC38B0" w:rsidRDefault="00BC38B0" w:rsidP="00BC38B0">
      <w:pPr>
        <w:pStyle w:val="ListParagraph"/>
        <w:numPr>
          <w:ilvl w:val="0"/>
          <w:numId w:val="19"/>
        </w:numPr>
        <w:ind w:left="-90"/>
        <w:contextualSpacing w:val="0"/>
        <w:rPr>
          <w:lang w:val="es-ES"/>
        </w:rPr>
      </w:pPr>
      <w:r w:rsidRPr="00BC38B0">
        <w:rPr>
          <w:lang w:val="es-ES"/>
        </w:rPr>
        <w:t>La atención dental de su hijo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esta</w:t>
      </w:r>
      <w:proofErr w:type="spellEnd"/>
      <w:r>
        <w:rPr>
          <w:lang w:val="es-ES"/>
        </w:rPr>
        <w:t xml:space="preserve"> </w:t>
      </w:r>
      <w:r w:rsidRPr="00BC38B0">
        <w:rPr>
          <w:lang w:val="es-ES"/>
        </w:rPr>
        <w:t xml:space="preserve">incluido con </w:t>
      </w:r>
      <w:proofErr w:type="spellStart"/>
      <w:r w:rsidRPr="00BC38B0">
        <w:rPr>
          <w:lang w:val="es-ES"/>
        </w:rPr>
        <w:t>Medi</w:t>
      </w:r>
      <w:proofErr w:type="spellEnd"/>
      <w:r w:rsidRPr="00BC38B0">
        <w:rPr>
          <w:lang w:val="es-ES"/>
        </w:rPr>
        <w:t>-Cal o</w:t>
      </w:r>
      <w:r>
        <w:rPr>
          <w:lang w:val="es-ES"/>
        </w:rPr>
        <w:t xml:space="preserve"> </w:t>
      </w:r>
      <w:r w:rsidRPr="00BC38B0">
        <w:rPr>
          <w:lang w:val="es-ES"/>
        </w:rPr>
        <w:t xml:space="preserve">con </w:t>
      </w:r>
      <w:proofErr w:type="spellStart"/>
      <w:r w:rsidRPr="00BC38B0">
        <w:rPr>
          <w:lang w:val="es-ES"/>
        </w:rPr>
        <w:t>Covered</w:t>
      </w:r>
      <w:proofErr w:type="spellEnd"/>
      <w:r w:rsidRPr="00BC38B0">
        <w:rPr>
          <w:lang w:val="es-ES"/>
        </w:rPr>
        <w:t xml:space="preserve"> California.</w:t>
      </w:r>
    </w:p>
    <w:p w14:paraId="13090CCB" w14:textId="77777777" w:rsidR="00BC38B0" w:rsidRPr="00BC38B0" w:rsidRDefault="00BC38B0" w:rsidP="00BC38B0">
      <w:pPr>
        <w:pStyle w:val="ListParagraph"/>
        <w:numPr>
          <w:ilvl w:val="0"/>
          <w:numId w:val="19"/>
        </w:numPr>
        <w:ind w:left="0"/>
        <w:contextualSpacing w:val="0"/>
        <w:rPr>
          <w:lang w:val="es-US"/>
        </w:rPr>
      </w:pPr>
      <w:r w:rsidRPr="00BC38B0">
        <w:rPr>
          <w:lang w:val="es-US"/>
        </w:rPr>
        <w:t>Se cubren muchos más servicios, incluso</w:t>
      </w:r>
      <w:r>
        <w:rPr>
          <w:lang w:val="es-US"/>
        </w:rPr>
        <w:t xml:space="preserve"> </w:t>
      </w:r>
      <w:r w:rsidRPr="00BC38B0">
        <w:rPr>
          <w:lang w:val="es-US"/>
        </w:rPr>
        <w:t>chequeos regulares, selladores dentales,</w:t>
      </w:r>
      <w:r>
        <w:rPr>
          <w:lang w:val="es-US"/>
        </w:rPr>
        <w:t xml:space="preserve"> </w:t>
      </w:r>
      <w:r w:rsidRPr="00BC38B0">
        <w:rPr>
          <w:lang w:val="es-US"/>
        </w:rPr>
        <w:t>empastes dentales y servicios de</w:t>
      </w:r>
      <w:r>
        <w:rPr>
          <w:lang w:val="es-US"/>
        </w:rPr>
        <w:t xml:space="preserve"> </w:t>
      </w:r>
      <w:r w:rsidRPr="00BC38B0">
        <w:rPr>
          <w:lang w:val="es-US"/>
        </w:rPr>
        <w:t>emergencia.</w:t>
      </w:r>
    </w:p>
    <w:p w14:paraId="5D3C8B08" w14:textId="77777777" w:rsidR="00BC38B0" w:rsidRPr="00BC38B0" w:rsidRDefault="00BC38B0" w:rsidP="00BC38B0">
      <w:pPr>
        <w:pStyle w:val="ListParagraph"/>
        <w:numPr>
          <w:ilvl w:val="0"/>
          <w:numId w:val="19"/>
        </w:numPr>
        <w:ind w:left="0"/>
        <w:contextualSpacing w:val="0"/>
        <w:rPr>
          <w:lang w:val="es-US"/>
        </w:rPr>
      </w:pPr>
      <w:r w:rsidRPr="00BC38B0">
        <w:rPr>
          <w:lang w:val="es-ES"/>
        </w:rPr>
        <w:t xml:space="preserve">Padres, adultos solteros, y las mujeres embarazadas también pueden ser elegibles para los beneficios dentales a través de </w:t>
      </w:r>
      <w:proofErr w:type="spellStart"/>
      <w:r w:rsidRPr="00BC38B0">
        <w:rPr>
          <w:lang w:val="es-ES"/>
        </w:rPr>
        <w:t>Medi</w:t>
      </w:r>
      <w:proofErr w:type="spellEnd"/>
      <w:r w:rsidRPr="00BC38B0">
        <w:rPr>
          <w:lang w:val="es-ES"/>
        </w:rPr>
        <w:t xml:space="preserve">-Cal o </w:t>
      </w:r>
      <w:proofErr w:type="spellStart"/>
      <w:r w:rsidRPr="00BC38B0">
        <w:rPr>
          <w:lang w:val="es-ES"/>
        </w:rPr>
        <w:t>Covered</w:t>
      </w:r>
      <w:proofErr w:type="spellEnd"/>
      <w:r w:rsidRPr="00BC38B0">
        <w:rPr>
          <w:lang w:val="es-ES"/>
        </w:rPr>
        <w:t xml:space="preserve"> California.</w:t>
      </w:r>
      <w:r w:rsidRPr="00BC38B0">
        <w:rPr>
          <w:lang w:val="es-US"/>
        </w:rPr>
        <w:t xml:space="preserve"> </w:t>
      </w:r>
    </w:p>
    <w:p w14:paraId="76AE9017" w14:textId="77777777" w:rsidR="00BC38B0" w:rsidRDefault="00BC38B0" w:rsidP="00BC38B0">
      <w:pPr>
        <w:pStyle w:val="Heading2"/>
        <w:rPr>
          <w:lang w:val="es-US"/>
        </w:rPr>
        <w:sectPr w:rsidR="00BC38B0" w:rsidSect="00BC38B0">
          <w:type w:val="continuous"/>
          <w:pgSz w:w="12240" w:h="15840"/>
          <w:pgMar w:top="1440" w:right="1440" w:bottom="1440" w:left="1440" w:header="288" w:footer="432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num="2" w:space="720"/>
          <w:docGrid w:linePitch="360"/>
        </w:sectPr>
      </w:pPr>
    </w:p>
    <w:p w14:paraId="21DAA88F" w14:textId="77777777" w:rsidR="00B07CCA" w:rsidRPr="00BC38B0" w:rsidRDefault="00BC38B0" w:rsidP="009100BD">
      <w:pPr>
        <w:pStyle w:val="Heading2"/>
        <w:spacing w:before="360"/>
        <w:jc w:val="center"/>
        <w:rPr>
          <w:sz w:val="22"/>
          <w:szCs w:val="21"/>
          <w:lang w:val="es-ES"/>
        </w:rPr>
      </w:pPr>
      <w:r w:rsidRPr="00BC38B0">
        <w:rPr>
          <w:sz w:val="28"/>
          <w:szCs w:val="24"/>
          <w:lang w:val="es-US"/>
        </w:rPr>
        <w:t>Aprenda Más</w:t>
      </w:r>
      <w:r w:rsidR="00B07CCA" w:rsidRPr="00BC38B0">
        <w:rPr>
          <w:sz w:val="28"/>
          <w:szCs w:val="24"/>
          <w:lang w:val="es-US"/>
        </w:rPr>
        <w:t>:</w:t>
      </w:r>
    </w:p>
    <w:p w14:paraId="5C81467F" w14:textId="77777777" w:rsidR="00BC38B0" w:rsidRDefault="00BC38B0" w:rsidP="009100BD">
      <w:pPr>
        <w:pStyle w:val="ListParagraph"/>
        <w:spacing w:before="360"/>
        <w:ind w:left="360"/>
        <w:rPr>
          <w:b/>
          <w:bCs/>
          <w:lang w:val="es-US"/>
        </w:rPr>
        <w:sectPr w:rsidR="00BC38B0" w:rsidSect="00BB41A4">
          <w:type w:val="continuous"/>
          <w:pgSz w:w="12240" w:h="15840"/>
          <w:pgMar w:top="1440" w:right="1440" w:bottom="1440" w:left="1440" w:header="288" w:footer="432" w:gutter="0"/>
          <w:pgBorders w:offsetFrom="page">
            <w:top w:val="classicalWave" w:sz="8" w:space="24" w:color="auto"/>
            <w:left w:val="classicalWave" w:sz="8" w:space="24" w:color="auto"/>
            <w:bottom w:val="classicalWave" w:sz="8" w:space="24" w:color="auto"/>
            <w:right w:val="classicalWave" w:sz="8" w:space="24" w:color="auto"/>
          </w:pgBorders>
          <w:cols w:space="720"/>
          <w:docGrid w:linePitch="360"/>
        </w:sectPr>
      </w:pPr>
    </w:p>
    <w:p w14:paraId="667A5A17" w14:textId="77777777" w:rsidR="00B07CCA" w:rsidRPr="00BC38B0" w:rsidRDefault="00B07CCA" w:rsidP="000454D8">
      <w:pPr>
        <w:ind w:left="720"/>
        <w:rPr>
          <w:lang w:val="es-US"/>
        </w:rPr>
      </w:pPr>
      <w:proofErr w:type="spellStart"/>
      <w:r w:rsidRPr="00BC38B0">
        <w:rPr>
          <w:b/>
          <w:bCs/>
          <w:lang w:val="es-US"/>
        </w:rPr>
        <w:t>Medi</w:t>
      </w:r>
      <w:proofErr w:type="spellEnd"/>
      <w:r w:rsidR="00BC38B0" w:rsidRPr="00BC38B0">
        <w:rPr>
          <w:b/>
          <w:bCs/>
          <w:lang w:val="es-US"/>
        </w:rPr>
        <w:t>-Cal o</w:t>
      </w:r>
      <w:r w:rsidRPr="00BC38B0">
        <w:rPr>
          <w:b/>
          <w:bCs/>
          <w:lang w:val="es-US"/>
        </w:rPr>
        <w:t xml:space="preserve"> </w:t>
      </w:r>
      <w:proofErr w:type="spellStart"/>
      <w:r w:rsidRPr="00BC38B0">
        <w:rPr>
          <w:b/>
          <w:bCs/>
          <w:lang w:val="es-US"/>
        </w:rPr>
        <w:t>Covered</w:t>
      </w:r>
      <w:proofErr w:type="spellEnd"/>
      <w:r w:rsidRPr="00BC38B0">
        <w:rPr>
          <w:b/>
          <w:bCs/>
          <w:lang w:val="es-US"/>
        </w:rPr>
        <w:t xml:space="preserve"> California</w:t>
      </w:r>
      <w:r w:rsidR="00E70216" w:rsidRPr="00BC38B0">
        <w:rPr>
          <w:b/>
          <w:bCs/>
          <w:lang w:val="es-US"/>
        </w:rPr>
        <w:t>:</w:t>
      </w:r>
      <w:r w:rsidRPr="00BC38B0">
        <w:rPr>
          <w:lang w:val="es-US"/>
        </w:rPr>
        <w:t xml:space="preserve"> 1-800-300-1506</w:t>
      </w:r>
    </w:p>
    <w:p w14:paraId="7EDF0A08" w14:textId="77777777" w:rsidR="00A63EDC" w:rsidRPr="00214FD1" w:rsidRDefault="00BC38B0" w:rsidP="009100BD">
      <w:pPr>
        <w:pStyle w:val="ListParagraph"/>
        <w:ind w:left="72"/>
        <w:rPr>
          <w:lang w:val="es-US"/>
        </w:rPr>
      </w:pPr>
      <w:r w:rsidRPr="00BC38B0">
        <w:rPr>
          <w:b/>
          <w:bCs/>
          <w:lang w:val="es-US"/>
        </w:rPr>
        <w:t>Cobertura dental de</w:t>
      </w:r>
      <w:r>
        <w:rPr>
          <w:b/>
          <w:bCs/>
          <w:lang w:val="es-US"/>
        </w:rPr>
        <w:t xml:space="preserve"> </w:t>
      </w:r>
      <w:proofErr w:type="spellStart"/>
      <w:r w:rsidRPr="00BC38B0">
        <w:rPr>
          <w:b/>
          <w:bCs/>
          <w:lang w:val="es-US"/>
        </w:rPr>
        <w:t>Medi</w:t>
      </w:r>
      <w:proofErr w:type="spellEnd"/>
      <w:r w:rsidRPr="00BC38B0">
        <w:rPr>
          <w:b/>
          <w:bCs/>
          <w:lang w:val="es-US"/>
        </w:rPr>
        <w:t>-Cal</w:t>
      </w:r>
      <w:r>
        <w:rPr>
          <w:b/>
          <w:bCs/>
          <w:lang w:val="es-US"/>
        </w:rPr>
        <w:t xml:space="preserve"> </w:t>
      </w:r>
      <w:r w:rsidRPr="00BC38B0">
        <w:rPr>
          <w:b/>
          <w:bCs/>
          <w:lang w:val="es-US"/>
        </w:rPr>
        <w:t>(también conocida</w:t>
      </w:r>
      <w:r>
        <w:rPr>
          <w:b/>
          <w:bCs/>
          <w:lang w:val="es-US"/>
        </w:rPr>
        <w:t xml:space="preserve"> </w:t>
      </w:r>
      <w:r w:rsidRPr="00BC38B0">
        <w:rPr>
          <w:b/>
          <w:bCs/>
          <w:lang w:val="es-US"/>
        </w:rPr>
        <w:t xml:space="preserve">como </w:t>
      </w:r>
      <w:proofErr w:type="spellStart"/>
      <w:r w:rsidRPr="00BC38B0">
        <w:rPr>
          <w:b/>
          <w:bCs/>
          <w:lang w:val="es-US"/>
        </w:rPr>
        <w:t>Denti</w:t>
      </w:r>
      <w:proofErr w:type="spellEnd"/>
      <w:r w:rsidRPr="00BC38B0">
        <w:rPr>
          <w:b/>
          <w:bCs/>
          <w:lang w:val="es-US"/>
        </w:rPr>
        <w:t>-Cal)</w:t>
      </w:r>
      <w:r w:rsidR="00E70216" w:rsidRPr="00BC38B0">
        <w:rPr>
          <w:b/>
          <w:bCs/>
          <w:lang w:val="es-US"/>
        </w:rPr>
        <w:t>:</w:t>
      </w:r>
      <w:r w:rsidR="00E70216" w:rsidRPr="00BC38B0">
        <w:rPr>
          <w:lang w:val="es-US"/>
        </w:rPr>
        <w:t xml:space="preserve"> </w:t>
      </w:r>
      <w:r w:rsidR="00B07CCA" w:rsidRPr="00BC38B0">
        <w:rPr>
          <w:lang w:val="es-US"/>
        </w:rPr>
        <w:t>1-800-322-638</w:t>
      </w:r>
      <w:r w:rsidR="009100BD">
        <w:rPr>
          <w:lang w:val="es-US"/>
        </w:rPr>
        <w:t>4</w:t>
      </w:r>
    </w:p>
    <w:sectPr w:rsidR="00A63EDC" w:rsidRPr="00214FD1" w:rsidSect="00BB41A4">
      <w:type w:val="continuous"/>
      <w:pgSz w:w="12240" w:h="15840"/>
      <w:pgMar w:top="1440" w:right="1440" w:bottom="1440" w:left="1440" w:header="720" w:footer="720" w:gutter="0"/>
      <w:pgBorders w:offsetFrom="page">
        <w:top w:val="classicalWave" w:sz="8" w:space="24" w:color="auto"/>
        <w:left w:val="classicalWave" w:sz="8" w:space="24" w:color="auto"/>
        <w:bottom w:val="classicalWave" w:sz="8" w:space="24" w:color="auto"/>
        <w:right w:val="classicalWav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186EC" w14:textId="77777777" w:rsidR="0077265D" w:rsidRDefault="0077265D" w:rsidP="00A63EDC">
      <w:pPr>
        <w:spacing w:after="0"/>
      </w:pPr>
      <w:r>
        <w:separator/>
      </w:r>
    </w:p>
  </w:endnote>
  <w:endnote w:type="continuationSeparator" w:id="0">
    <w:p w14:paraId="532F73D4" w14:textId="77777777" w:rsidR="0077265D" w:rsidRDefault="0077265D" w:rsidP="00A63E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3F186" w14:textId="77777777" w:rsidR="00A63EDC" w:rsidRDefault="00000000" w:rsidP="00D55816">
    <w:pPr>
      <w:pStyle w:val="Footer"/>
      <w:jc w:val="right"/>
    </w:pPr>
    <w:sdt>
      <w:sdtPr>
        <w:id w:val="-6610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63EDC">
          <w:fldChar w:fldCharType="begin"/>
        </w:r>
        <w:r w:rsidR="00A63EDC">
          <w:instrText xml:space="preserve"> PAGE   \* MERGEFORMAT </w:instrText>
        </w:r>
        <w:r w:rsidR="00A63EDC">
          <w:fldChar w:fldCharType="separate"/>
        </w:r>
        <w:r w:rsidR="007B34E8">
          <w:rPr>
            <w:noProof/>
          </w:rPr>
          <w:t>2</w:t>
        </w:r>
        <w:r w:rsidR="00A63ED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E0E8F" w14:textId="77777777" w:rsidR="0077265D" w:rsidRDefault="0077265D" w:rsidP="00A63EDC">
      <w:pPr>
        <w:spacing w:after="0"/>
      </w:pPr>
      <w:r>
        <w:separator/>
      </w:r>
    </w:p>
  </w:footnote>
  <w:footnote w:type="continuationSeparator" w:id="0">
    <w:p w14:paraId="1776F1B4" w14:textId="77777777" w:rsidR="0077265D" w:rsidRDefault="0077265D" w:rsidP="00A63E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13C60"/>
    <w:multiLevelType w:val="hybridMultilevel"/>
    <w:tmpl w:val="B75AB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E33497"/>
    <w:multiLevelType w:val="hybridMultilevel"/>
    <w:tmpl w:val="74A42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16185"/>
    <w:multiLevelType w:val="hybridMultilevel"/>
    <w:tmpl w:val="CD4A0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6650FB"/>
    <w:multiLevelType w:val="hybridMultilevel"/>
    <w:tmpl w:val="D20ED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3046"/>
    <w:multiLevelType w:val="hybridMultilevel"/>
    <w:tmpl w:val="4210C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D74E82"/>
    <w:multiLevelType w:val="hybridMultilevel"/>
    <w:tmpl w:val="78A4AF18"/>
    <w:lvl w:ilvl="0" w:tplc="35AC566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04359"/>
    <w:multiLevelType w:val="hybridMultilevel"/>
    <w:tmpl w:val="DF147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C1E4B"/>
    <w:multiLevelType w:val="hybridMultilevel"/>
    <w:tmpl w:val="B3D44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784E0C"/>
    <w:multiLevelType w:val="hybridMultilevel"/>
    <w:tmpl w:val="EEE21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4825277">
    <w:abstractNumId w:val="9"/>
  </w:num>
  <w:num w:numId="2" w16cid:durableId="1960794432">
    <w:abstractNumId w:val="7"/>
  </w:num>
  <w:num w:numId="3" w16cid:durableId="381440031">
    <w:abstractNumId w:val="6"/>
  </w:num>
  <w:num w:numId="4" w16cid:durableId="623999273">
    <w:abstractNumId w:val="5"/>
  </w:num>
  <w:num w:numId="5" w16cid:durableId="1786584756">
    <w:abstractNumId w:val="4"/>
  </w:num>
  <w:num w:numId="6" w16cid:durableId="1616596118">
    <w:abstractNumId w:val="8"/>
  </w:num>
  <w:num w:numId="7" w16cid:durableId="2067222328">
    <w:abstractNumId w:val="3"/>
  </w:num>
  <w:num w:numId="8" w16cid:durableId="673537176">
    <w:abstractNumId w:val="2"/>
  </w:num>
  <w:num w:numId="9" w16cid:durableId="1360551611">
    <w:abstractNumId w:val="1"/>
  </w:num>
  <w:num w:numId="10" w16cid:durableId="1977372789">
    <w:abstractNumId w:val="0"/>
  </w:num>
  <w:num w:numId="11" w16cid:durableId="1814715523">
    <w:abstractNumId w:val="18"/>
  </w:num>
  <w:num w:numId="12" w16cid:durableId="873228232">
    <w:abstractNumId w:val="15"/>
  </w:num>
  <w:num w:numId="13" w16cid:durableId="1870951089">
    <w:abstractNumId w:val="14"/>
  </w:num>
  <w:num w:numId="14" w16cid:durableId="859508688">
    <w:abstractNumId w:val="10"/>
  </w:num>
  <w:num w:numId="15" w16cid:durableId="494608972">
    <w:abstractNumId w:val="17"/>
  </w:num>
  <w:num w:numId="16" w16cid:durableId="1014455446">
    <w:abstractNumId w:val="11"/>
  </w:num>
  <w:num w:numId="17" w16cid:durableId="2093968790">
    <w:abstractNumId w:val="13"/>
  </w:num>
  <w:num w:numId="18" w16cid:durableId="1529103915">
    <w:abstractNumId w:val="12"/>
  </w:num>
  <w:num w:numId="19" w16cid:durableId="636572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2FD"/>
    <w:rsid w:val="000454D8"/>
    <w:rsid w:val="000D30BD"/>
    <w:rsid w:val="000F7AF5"/>
    <w:rsid w:val="00161238"/>
    <w:rsid w:val="001954D7"/>
    <w:rsid w:val="001A0CA5"/>
    <w:rsid w:val="00210884"/>
    <w:rsid w:val="00214FD1"/>
    <w:rsid w:val="00223F78"/>
    <w:rsid w:val="00254AD1"/>
    <w:rsid w:val="00290C1E"/>
    <w:rsid w:val="002979F4"/>
    <w:rsid w:val="002E4CB5"/>
    <w:rsid w:val="00346F11"/>
    <w:rsid w:val="00381517"/>
    <w:rsid w:val="003D240C"/>
    <w:rsid w:val="00430734"/>
    <w:rsid w:val="00441AAD"/>
    <w:rsid w:val="0048594D"/>
    <w:rsid w:val="004D58E8"/>
    <w:rsid w:val="004E7AC1"/>
    <w:rsid w:val="0054111A"/>
    <w:rsid w:val="00565358"/>
    <w:rsid w:val="00581E8C"/>
    <w:rsid w:val="005846CF"/>
    <w:rsid w:val="005C5B70"/>
    <w:rsid w:val="0060374E"/>
    <w:rsid w:val="00604684"/>
    <w:rsid w:val="0067103A"/>
    <w:rsid w:val="006B0881"/>
    <w:rsid w:val="007428B8"/>
    <w:rsid w:val="00762A63"/>
    <w:rsid w:val="0077265D"/>
    <w:rsid w:val="007A5785"/>
    <w:rsid w:val="007B34E8"/>
    <w:rsid w:val="007E5BF1"/>
    <w:rsid w:val="007E64ED"/>
    <w:rsid w:val="007F5F3F"/>
    <w:rsid w:val="0081256C"/>
    <w:rsid w:val="008E4D20"/>
    <w:rsid w:val="009100BD"/>
    <w:rsid w:val="009102B5"/>
    <w:rsid w:val="00985C28"/>
    <w:rsid w:val="009A5086"/>
    <w:rsid w:val="009B3E8C"/>
    <w:rsid w:val="009C70F5"/>
    <w:rsid w:val="00A63EDC"/>
    <w:rsid w:val="00AB40FB"/>
    <w:rsid w:val="00AE0C8E"/>
    <w:rsid w:val="00AF0211"/>
    <w:rsid w:val="00B07CCA"/>
    <w:rsid w:val="00B379B3"/>
    <w:rsid w:val="00B67CB7"/>
    <w:rsid w:val="00BA40D9"/>
    <w:rsid w:val="00BB1847"/>
    <w:rsid w:val="00BB41A4"/>
    <w:rsid w:val="00BC38B0"/>
    <w:rsid w:val="00BC76C9"/>
    <w:rsid w:val="00C11A19"/>
    <w:rsid w:val="00C21731"/>
    <w:rsid w:val="00C34EE7"/>
    <w:rsid w:val="00C82975"/>
    <w:rsid w:val="00CA6E47"/>
    <w:rsid w:val="00CB6664"/>
    <w:rsid w:val="00CC4F46"/>
    <w:rsid w:val="00D15074"/>
    <w:rsid w:val="00D34B1B"/>
    <w:rsid w:val="00D41632"/>
    <w:rsid w:val="00D47DAB"/>
    <w:rsid w:val="00D55816"/>
    <w:rsid w:val="00D8069A"/>
    <w:rsid w:val="00DA52B3"/>
    <w:rsid w:val="00DC52B0"/>
    <w:rsid w:val="00DC6AE6"/>
    <w:rsid w:val="00DC774C"/>
    <w:rsid w:val="00DD030F"/>
    <w:rsid w:val="00DF1FD3"/>
    <w:rsid w:val="00E51774"/>
    <w:rsid w:val="00E634EC"/>
    <w:rsid w:val="00E70216"/>
    <w:rsid w:val="00E861BB"/>
    <w:rsid w:val="00E90B6F"/>
    <w:rsid w:val="00E917F7"/>
    <w:rsid w:val="00EA58D4"/>
    <w:rsid w:val="00F175C1"/>
    <w:rsid w:val="00F262FD"/>
    <w:rsid w:val="00F773F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7F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C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07CC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63ED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ED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63ED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3E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Salud Oral Para Los Niños - Migrant (CA Dept of Education)</dc:title>
  <dc:subject>Este volantes proporciona a las familias información sobre la salud oral.</dc:subject>
  <dc:creator/>
  <cp:keywords/>
  <dc:description/>
  <cp:lastModifiedBy/>
  <cp:revision>1</cp:revision>
  <dcterms:created xsi:type="dcterms:W3CDTF">2024-11-04T20:09:00Z</dcterms:created>
  <dcterms:modified xsi:type="dcterms:W3CDTF">2024-11-04T20:09:00Z</dcterms:modified>
</cp:coreProperties>
</file>