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5CB9" w14:textId="77777777" w:rsidR="002A0E4D" w:rsidRDefault="002A0E4D" w:rsidP="002A0E4D">
      <w:pPr>
        <w:pStyle w:val="Header"/>
        <w:pBdr>
          <w:bottom w:val="none" w:sz="0" w:space="0" w:color="auto"/>
        </w:pBdr>
        <w:tabs>
          <w:tab w:val="clear" w:pos="4680"/>
        </w:tabs>
        <w:spacing w:after="0"/>
        <w:jc w:val="left"/>
      </w:pPr>
      <w:r>
        <w:rPr>
          <w:noProof/>
          <w:lang w:eastAsia="en-US"/>
        </w:rPr>
        <w:drawing>
          <wp:inline distT="0" distB="0" distL="0" distR="0" wp14:anchorId="1BD5A38D" wp14:editId="168D651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B5E8F2" w14:textId="77777777" w:rsidR="002A0E4D" w:rsidRPr="00B63D23" w:rsidRDefault="002A0E4D" w:rsidP="002A0E4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HS-ESS2-3 Earth’s Systems</w:t>
      </w:r>
      <w:r>
        <w:rPr>
          <w:noProof/>
        </w:rPr>
        <w:fldChar w:fldCharType="end"/>
      </w:r>
    </w:p>
    <w:p w14:paraId="598BFC06" w14:textId="34E22FEC" w:rsidR="002A0E4D" w:rsidRDefault="002A0E4D" w:rsidP="00782107">
      <w:pPr>
        <w:jc w:val="right"/>
      </w:pPr>
      <w:r>
        <w:tab/>
      </w:r>
      <w:r w:rsidRPr="00B63D23">
        <w:t>California Science Test—Item</w:t>
      </w:r>
      <w:r>
        <w:t xml:space="preserve"> Content</w:t>
      </w:r>
      <w:r w:rsidRPr="00B63D23">
        <w:t xml:space="preserve"> Specifications</w:t>
      </w:r>
    </w:p>
    <w:p w14:paraId="6934BD79" w14:textId="1B85D1E1" w:rsidR="007A7155" w:rsidRPr="002A0E4D" w:rsidRDefault="00A947D7" w:rsidP="00782107">
      <w:pPr>
        <w:pStyle w:val="Heading1"/>
        <w:pageBreakBefore w:val="0"/>
      </w:pPr>
      <w:r w:rsidRPr="002A0E4D">
        <w:t>HS-ESS2-3</w:t>
      </w:r>
      <w:r w:rsidR="002E59BF" w:rsidRPr="002A0E4D">
        <w:t xml:space="preserve"> Earth’s Systems</w:t>
      </w:r>
    </w:p>
    <w:p w14:paraId="2755C55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07F7FA8" w14:textId="62A16CEF" w:rsidR="008B0F0A" w:rsidRDefault="00A947D7" w:rsidP="008B75B8">
      <w:pPr>
        <w:pStyle w:val="PerformanceExpectation"/>
      </w:pPr>
      <w:r w:rsidRPr="00A947D7">
        <w:t>Develop a model based on evidence of Earth’s interior to describe the cycling of matter by thermal convection.</w:t>
      </w:r>
    </w:p>
    <w:p w14:paraId="56511198" w14:textId="0BDEED08" w:rsidR="00EB18EF" w:rsidRPr="00426389" w:rsidRDefault="00A947D7" w:rsidP="00EB18EF">
      <w:pPr>
        <w:pStyle w:val="PEClarification"/>
        <w:rPr>
          <w:color w:val="auto"/>
        </w:rPr>
      </w:pPr>
      <w:r w:rsidRPr="00426389">
        <w:rPr>
          <w:color w:val="auto"/>
        </w:rPr>
        <w:t>[Clarification Statement: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14:paraId="5B234535" w14:textId="77777777" w:rsidR="00EA5357" w:rsidRDefault="00F26EFD" w:rsidP="00F26EFD">
      <w:pPr>
        <w:spacing w:before="480"/>
      </w:pPr>
      <w:r w:rsidRPr="005C7F1F">
        <w:t>Continue to the next page for the Science and Engineering Practices, Disciplinary Core Ideas, and Crosscutting Concept</w:t>
      </w:r>
      <w:r w:rsidR="00EA5357">
        <w: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3"/>
      </w:tblPr>
      <w:tblGrid>
        <w:gridCol w:w="3505"/>
        <w:gridCol w:w="3510"/>
        <w:gridCol w:w="3065"/>
      </w:tblGrid>
      <w:tr w:rsidR="00A758CE" w:rsidRPr="00510C04" w14:paraId="70428312" w14:textId="77777777" w:rsidTr="00415CF9">
        <w:trPr>
          <w:cantSplit/>
          <w:tblHeader/>
        </w:trPr>
        <w:tc>
          <w:tcPr>
            <w:tcW w:w="3505" w:type="dxa"/>
            <w:tcBorders>
              <w:bottom w:val="single" w:sz="4" w:space="0" w:color="auto"/>
            </w:tcBorders>
            <w:shd w:val="clear" w:color="auto" w:fill="2F3995"/>
            <w:vAlign w:val="center"/>
          </w:tcPr>
          <w:p w14:paraId="7F1CCB9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0EBB0B6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B0C35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761E3A6" w14:textId="77777777" w:rsidTr="00415CF9">
        <w:trPr>
          <w:cantSplit/>
        </w:trPr>
        <w:tc>
          <w:tcPr>
            <w:tcW w:w="3505" w:type="dxa"/>
            <w:shd w:val="clear" w:color="auto" w:fill="auto"/>
          </w:tcPr>
          <w:p w14:paraId="42AB38A8" w14:textId="32165F94" w:rsidR="00A758CE" w:rsidRDefault="00A947D7" w:rsidP="001F170D">
            <w:pPr>
              <w:pStyle w:val="TableHeader"/>
            </w:pPr>
            <w:r w:rsidRPr="00A947D7">
              <w:t>Developing and Using Models</w:t>
            </w:r>
          </w:p>
          <w:p w14:paraId="3DA96D42" w14:textId="7A3458BE" w:rsidR="002035F3" w:rsidRPr="005A09DA" w:rsidRDefault="00A947D7" w:rsidP="002035F3">
            <w:pPr>
              <w:pStyle w:val="Paragraph"/>
            </w:pPr>
            <w:r w:rsidRPr="00A947D7">
              <w:t>Modeling in 9–12 builds on K–8 experiences and progresses to using, synthesizing, and developing models to predict and show relationships among variables between systems and their components in the natural and designed world(s).</w:t>
            </w:r>
          </w:p>
          <w:p w14:paraId="27D149DB" w14:textId="754B39DA" w:rsidR="00A758CE" w:rsidRDefault="00A947D7" w:rsidP="002635C3">
            <w:pPr>
              <w:pStyle w:val="TableBullets"/>
            </w:pPr>
            <w:r w:rsidRPr="00A947D7">
              <w:t>Develop a model based on evidence to illustrate the relationships between systems or between components of a system.</w:t>
            </w:r>
          </w:p>
          <w:p w14:paraId="5C748F20" w14:textId="77777777" w:rsidR="00216BBD" w:rsidRDefault="00216BBD" w:rsidP="00216BBD">
            <w:pPr>
              <w:pStyle w:val="TableConnections"/>
              <w:spacing w:before="120" w:after="120"/>
            </w:pPr>
            <w:r>
              <w:t>Connections to Nature of Science</w:t>
            </w:r>
          </w:p>
          <w:p w14:paraId="7BA374E2" w14:textId="0A40F95A" w:rsidR="009F069F" w:rsidRPr="005A09DA" w:rsidRDefault="00A947D7" w:rsidP="009F069F">
            <w:pPr>
              <w:pStyle w:val="TableHeader"/>
            </w:pPr>
            <w:r w:rsidRPr="00A947D7">
              <w:t>Scientific Knowledge is Based on Empirical Evidence</w:t>
            </w:r>
          </w:p>
          <w:p w14:paraId="708CAD01" w14:textId="77777777" w:rsidR="00A947D7" w:rsidRDefault="00A947D7" w:rsidP="009F069F">
            <w:pPr>
              <w:pStyle w:val="TableBullets"/>
            </w:pPr>
            <w:r w:rsidRPr="00A947D7">
              <w:t>Science knowledge is based on empirical evidence.</w:t>
            </w:r>
          </w:p>
          <w:p w14:paraId="6B596FE4" w14:textId="77777777" w:rsidR="00A947D7" w:rsidRDefault="00A947D7" w:rsidP="009F069F">
            <w:pPr>
              <w:pStyle w:val="TableBullets"/>
            </w:pPr>
            <w:r w:rsidRPr="00A947D7">
              <w:t>Science disciplines share common rules of evidence used to evaluate explanations about natural systems.</w:t>
            </w:r>
          </w:p>
          <w:p w14:paraId="48C8029A" w14:textId="6E9F2B9F" w:rsidR="009F069F" w:rsidRPr="009F069F" w:rsidRDefault="00A947D7" w:rsidP="009F069F">
            <w:pPr>
              <w:pStyle w:val="TableBullets"/>
            </w:pPr>
            <w:r w:rsidRPr="00A947D7">
              <w:t>Science includes the process of coordinating patterns of evidence with current theory.</w:t>
            </w:r>
          </w:p>
        </w:tc>
        <w:tc>
          <w:tcPr>
            <w:tcW w:w="3510" w:type="dxa"/>
            <w:shd w:val="clear" w:color="auto" w:fill="auto"/>
          </w:tcPr>
          <w:p w14:paraId="3C18BB91" w14:textId="722325BE" w:rsidR="00A758CE" w:rsidRPr="005A09DA" w:rsidRDefault="00A947D7" w:rsidP="00A947D7">
            <w:pPr>
              <w:pStyle w:val="TableHeader"/>
            </w:pPr>
            <w:r w:rsidRPr="00A947D7">
              <w:t>ESS2.A: Earth Materials and Systems</w:t>
            </w:r>
          </w:p>
          <w:p w14:paraId="1BE0798D" w14:textId="61B609CB" w:rsidR="00A758CE" w:rsidRDefault="00A947D7" w:rsidP="003E5B4E">
            <w:pPr>
              <w:pStyle w:val="TableNumbers"/>
              <w:numPr>
                <w:ilvl w:val="0"/>
                <w:numId w:val="9"/>
              </w:numPr>
              <w:ind w:left="336"/>
              <w:rPr>
                <w:rFonts w:cs="Arial"/>
                <w:szCs w:val="24"/>
              </w:rPr>
            </w:pPr>
            <w:r w:rsidRPr="00A947D7">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w:t>
            </w:r>
          </w:p>
          <w:p w14:paraId="0DA3E1D4" w14:textId="521E9E14" w:rsidR="00A758CE" w:rsidRPr="005A09DA" w:rsidRDefault="00A947D7" w:rsidP="00A947D7">
            <w:pPr>
              <w:pStyle w:val="TableHeader"/>
            </w:pPr>
            <w:r w:rsidRPr="00A947D7">
              <w:t>ESS2.B: Plate Tectonics and Large-Scale System Interactions</w:t>
            </w:r>
          </w:p>
          <w:p w14:paraId="631B400E" w14:textId="6E2048DF" w:rsidR="00A758CE" w:rsidRPr="00510C04" w:rsidRDefault="00A947D7" w:rsidP="002035F3">
            <w:pPr>
              <w:pStyle w:val="TableNumbers2"/>
            </w:pPr>
            <w:r w:rsidRPr="00A947D7">
              <w:t>The radioactive decay of unstable isotopes continually generates new energy within Earth’s crust and mantle, providing the primary source of the heat that drives mantle convection. Plate tectonics can be viewed as the surface expression of mantle convection.</w:t>
            </w:r>
          </w:p>
        </w:tc>
        <w:tc>
          <w:tcPr>
            <w:tcW w:w="3065" w:type="dxa"/>
            <w:shd w:val="clear" w:color="auto" w:fill="auto"/>
          </w:tcPr>
          <w:p w14:paraId="27754236" w14:textId="43D7D2BB" w:rsidR="00A758CE" w:rsidRPr="00AF1646" w:rsidRDefault="00A947D7" w:rsidP="00A947D7">
            <w:pPr>
              <w:pStyle w:val="TableHeader"/>
            </w:pPr>
            <w:r w:rsidRPr="00A947D7">
              <w:t>Energy and Matter</w:t>
            </w:r>
          </w:p>
          <w:p w14:paraId="58CF3286" w14:textId="00AAC8F7" w:rsidR="00A758CE" w:rsidRDefault="00A947D7" w:rsidP="002635C3">
            <w:pPr>
              <w:pStyle w:val="TableBullets"/>
            </w:pPr>
            <w:r w:rsidRPr="00A947D7">
              <w:t>Energy drives the cycling of matter within and between systems.</w:t>
            </w:r>
          </w:p>
          <w:p w14:paraId="0D1E7B1D" w14:textId="50FDE948" w:rsidR="00A947D7" w:rsidRPr="00C72BF1" w:rsidRDefault="00216BBD" w:rsidP="00216BBD">
            <w:pPr>
              <w:pStyle w:val="TableConnections"/>
              <w:spacing w:before="120" w:after="120"/>
            </w:pPr>
            <w:r>
              <w:t xml:space="preserve">Connections to </w:t>
            </w:r>
            <w:r w:rsidR="00A947D7" w:rsidRPr="00A947D7">
              <w:t>Engineering, Technology, and Applications of Science</w:t>
            </w:r>
          </w:p>
          <w:p w14:paraId="6565AEB8" w14:textId="03CC12AB" w:rsidR="00A947D7" w:rsidRPr="005A09DA" w:rsidRDefault="00A947D7" w:rsidP="00A947D7">
            <w:pPr>
              <w:pStyle w:val="TableHeader"/>
            </w:pPr>
            <w:r w:rsidRPr="00A947D7">
              <w:t>Interdependence of Science, Engineering, and Technology</w:t>
            </w:r>
          </w:p>
          <w:p w14:paraId="5879E563" w14:textId="4D8733E8" w:rsidR="00A947D7" w:rsidRPr="009F069F" w:rsidRDefault="00A947D7" w:rsidP="00A947D7">
            <w:pPr>
              <w:pStyle w:val="TableBullets"/>
              <w:numPr>
                <w:ilvl w:val="0"/>
                <w:numId w:val="0"/>
              </w:numPr>
            </w:pPr>
            <w:r w:rsidRPr="00A947D7">
              <w:t>Science and engineering complement each other in the cycle known as research and development (R&amp;D). Many R&amp;D projects may involve scientists, engineers, and others with wide ranges of expertise.</w:t>
            </w:r>
          </w:p>
        </w:tc>
      </w:tr>
    </w:tbl>
    <w:p w14:paraId="61674B97" w14:textId="77777777" w:rsidR="00283757" w:rsidRPr="0097285D" w:rsidRDefault="00283757" w:rsidP="0097285D">
      <w:pPr>
        <w:pStyle w:val="Heading2"/>
      </w:pPr>
      <w:r w:rsidRPr="0097285D">
        <w:lastRenderedPageBreak/>
        <w:t>Assessment Targets</w:t>
      </w:r>
    </w:p>
    <w:p w14:paraId="52CBDC76" w14:textId="0C9827B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1D57753"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254FB0E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D424A3B" w14:textId="5AFC94DF" w:rsidR="00283757" w:rsidRPr="00C10941" w:rsidRDefault="00A947D7" w:rsidP="00C10941">
      <w:pPr>
        <w:pStyle w:val="Subpractice-2"/>
      </w:pPr>
      <w:r w:rsidRPr="00A947D7">
        <w:t>2.1</w:t>
      </w:r>
      <w:r>
        <w:tab/>
      </w:r>
      <w:r w:rsidRPr="00A947D7">
        <w:t>Ability to develop models</w:t>
      </w:r>
    </w:p>
    <w:p w14:paraId="7326C21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0F1454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A0FF2F1" w14:textId="77777777" w:rsidR="006C5128" w:rsidRDefault="006C5128" w:rsidP="006C5128">
      <w:pPr>
        <w:pStyle w:val="Subpractice-3"/>
      </w:pPr>
      <w:r>
        <w:t>2.1.1</w:t>
      </w:r>
      <w:r>
        <w:tab/>
        <w:t>Ability to determine components of a scientific event, system, or design solution</w:t>
      </w:r>
    </w:p>
    <w:p w14:paraId="00E8012A" w14:textId="77777777" w:rsidR="006C5128" w:rsidRPr="00B804B3" w:rsidRDefault="006C5128" w:rsidP="006C5128">
      <w:pPr>
        <w:pStyle w:val="Subpractice-3"/>
        <w:rPr>
          <w:u w:val="single"/>
        </w:rPr>
      </w:pPr>
      <w:r>
        <w:t>2.1.2</w:t>
      </w:r>
      <w:r>
        <w:tab/>
        <w:t>Ability to determine the relationships among multiple components of a scientific event, system, or design solution</w:t>
      </w:r>
    </w:p>
    <w:p w14:paraId="5F81542A" w14:textId="77777777" w:rsidR="006C5128" w:rsidRDefault="006C5128" w:rsidP="006C5128">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7F86BA07" w14:textId="77777777" w:rsidR="006C5128" w:rsidRDefault="006C5128" w:rsidP="006C5128">
      <w:pPr>
        <w:pStyle w:val="Subpractice-3"/>
      </w:pPr>
      <w:r>
        <w:t>2.1.4</w:t>
      </w:r>
      <w:r>
        <w:tab/>
        <w:t>Ability to represent mechanisms, relationships, and connections to illustrate, explain, or predict a scientific event</w:t>
      </w:r>
    </w:p>
    <w:p w14:paraId="71017A9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14359B7" w14:textId="27EDFD17" w:rsidR="006D3600" w:rsidRPr="00611860" w:rsidRDefault="00A947D7" w:rsidP="00611860">
      <w:pPr>
        <w:pStyle w:val="Heading4"/>
        <w:ind w:left="389"/>
        <w:rPr>
          <w:b w:val="0"/>
        </w:rPr>
      </w:pPr>
      <w:r w:rsidRPr="00611860">
        <w:rPr>
          <w:b w:val="0"/>
        </w:rPr>
        <w:t>ESS2.A.7</w:t>
      </w:r>
    </w:p>
    <w:p w14:paraId="355DBE97" w14:textId="70132B74" w:rsidR="00A947D7" w:rsidRDefault="00A947D7" w:rsidP="00F3093C">
      <w:pPr>
        <w:pStyle w:val="DashedBullets"/>
        <w:ind w:left="1800"/>
      </w:pPr>
      <w:r>
        <w:t>Identify and describe the layers of Earth (e.g., solid inner core, a liquid outer core, mantle, and crust)</w:t>
      </w:r>
    </w:p>
    <w:p w14:paraId="6865692A" w14:textId="2A76E1A6" w:rsidR="00A947D7" w:rsidRDefault="00A947D7" w:rsidP="00F3093C">
      <w:pPr>
        <w:pStyle w:val="DashedBullets"/>
        <w:ind w:left="1800"/>
      </w:pPr>
      <w:r>
        <w:t>Describe how the evidence from deep probes and seismic waves, reconstructions of historical changes of Earth’s surface and its magnetic field, and an understanding of physical and chemical processes have been used to develop the model of Earth’s internal structure</w:t>
      </w:r>
    </w:p>
    <w:p w14:paraId="158066F2" w14:textId="2DBB7559" w:rsidR="00A947D7" w:rsidRDefault="00A947D7" w:rsidP="00F3093C">
      <w:pPr>
        <w:pStyle w:val="DashedBullets"/>
        <w:ind w:left="1800"/>
      </w:pPr>
      <w:r>
        <w:t xml:space="preserve">Describe how convection in Earth’s liquid outer core generates a magnetic field that has reversed polarity throughout Earth’s history as evidenced in the geological record of the seafloor </w:t>
      </w:r>
    </w:p>
    <w:p w14:paraId="79FA20F6" w14:textId="19BA6E55" w:rsidR="00A947D7" w:rsidRDefault="00A947D7" w:rsidP="00F3093C">
      <w:pPr>
        <w:pStyle w:val="DashedBullets"/>
        <w:keepNext/>
        <w:ind w:left="1800"/>
      </w:pPr>
      <w:r>
        <w:lastRenderedPageBreak/>
        <w:t>Describe thermal convection in terms of the density and temperature of matter</w:t>
      </w:r>
    </w:p>
    <w:p w14:paraId="0BCF6F69" w14:textId="20276CE0" w:rsidR="00A947D7" w:rsidRDefault="00A947D7" w:rsidP="00F3093C">
      <w:pPr>
        <w:pStyle w:val="DashedBullets"/>
        <w:keepNext/>
        <w:ind w:left="1800"/>
      </w:pPr>
      <w:r>
        <w:t>Describe the role of thermal convection in the mantle in the movement of plates, the cycling of matter at plate boundaries, and the outward flow of energy from Earth’s interior</w:t>
      </w:r>
    </w:p>
    <w:p w14:paraId="566EBE23" w14:textId="77777777" w:rsidR="006D3600" w:rsidRPr="00611860" w:rsidRDefault="00A947D7" w:rsidP="00611860">
      <w:pPr>
        <w:pStyle w:val="Heading4"/>
        <w:ind w:left="389"/>
        <w:rPr>
          <w:b w:val="0"/>
        </w:rPr>
      </w:pPr>
      <w:r w:rsidRPr="00611860">
        <w:rPr>
          <w:b w:val="0"/>
        </w:rPr>
        <w:t>ESS2.B.6</w:t>
      </w:r>
    </w:p>
    <w:p w14:paraId="60C7EC5C" w14:textId="4A2815CF" w:rsidR="00283757" w:rsidRPr="00C10941" w:rsidRDefault="00A947D7" w:rsidP="00F3093C">
      <w:pPr>
        <w:pStyle w:val="DashedBullets"/>
        <w:ind w:left="1800"/>
      </w:pPr>
      <w:r>
        <w:t>Describe how the radioactive decay of unstable isotopes is a primary source of heat that drives thermal convection in the mantle and the resulting plate tectonics</w:t>
      </w:r>
    </w:p>
    <w:p w14:paraId="70C35D9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1EB21DC" w14:textId="70074FAE" w:rsidR="000A196B" w:rsidRDefault="00A947D7" w:rsidP="00C10941">
      <w:pPr>
        <w:pStyle w:val="CrossCuttingTargets"/>
        <w:rPr>
          <w:lang w:eastAsia="ko-KR"/>
        </w:rPr>
      </w:pPr>
      <w:r w:rsidRPr="00A947D7">
        <w:t>CCC5</w:t>
      </w:r>
      <w:r>
        <w:tab/>
      </w:r>
      <w:r w:rsidRPr="00A947D7">
        <w:t>Describe how energy drives the cycling of matter within and between systems</w:t>
      </w:r>
    </w:p>
    <w:p w14:paraId="047EB5E3" w14:textId="77777777" w:rsidR="000A196B" w:rsidRDefault="000A196B" w:rsidP="0097285D">
      <w:pPr>
        <w:pStyle w:val="Heading2"/>
        <w:rPr>
          <w:i/>
          <w:szCs w:val="24"/>
        </w:rPr>
      </w:pPr>
      <w:r w:rsidRPr="00935CE2">
        <w:rPr>
          <w:lang w:eastAsia="ko-KR"/>
        </w:rPr>
        <w:t>Examples of Integration of Assessment Targets and Evidence</w:t>
      </w:r>
    </w:p>
    <w:p w14:paraId="0C148B74" w14:textId="77777777" w:rsidR="00CE5AB8" w:rsidRPr="00B63D23" w:rsidRDefault="00CE5AB8" w:rsidP="00AB7B8F">
      <w:pPr>
        <w:pStyle w:val="ParagraphItalic"/>
      </w:pPr>
      <w:r>
        <w:t>Note that the list in this section is not exhaustive.</w:t>
      </w:r>
    </w:p>
    <w:p w14:paraId="67FACBF1" w14:textId="77777777" w:rsidR="00A947D7" w:rsidRDefault="00A947D7" w:rsidP="00A947D7">
      <w:pPr>
        <w:pStyle w:val="Paragraph"/>
      </w:pPr>
      <w:r>
        <w:t>Task provides seismic or magnetic evidence and a list of relevant and irrelevant components of a model:</w:t>
      </w:r>
    </w:p>
    <w:p w14:paraId="1B6EC6CD" w14:textId="77777777" w:rsidR="00A947D7" w:rsidRDefault="00A947D7" w:rsidP="00A947D7">
      <w:pPr>
        <w:pStyle w:val="DashedBullets"/>
      </w:pPr>
      <w:r>
        <w:t>Identifies the relevant components to describe the cycling of matter due to thermal convection in Earth’s interior based on the evidence (2.1.1, ESS2.B.6, and CCC5)</w:t>
      </w:r>
    </w:p>
    <w:p w14:paraId="03CD6FAE" w14:textId="77777777" w:rsidR="00A947D7" w:rsidRDefault="00A947D7" w:rsidP="00A947D7">
      <w:pPr>
        <w:pStyle w:val="Paragraph"/>
      </w:pPr>
      <w:r>
        <w:t>Task provides evidence, an incomplete model of Earth’s interior or Earth’s surface plates describing the cycling of matter due to thermal convection, and a list of relevant and irrelevant components:</w:t>
      </w:r>
    </w:p>
    <w:p w14:paraId="7B422B71" w14:textId="77777777" w:rsidR="00A947D7" w:rsidRDefault="00A947D7" w:rsidP="00A947D7">
      <w:pPr>
        <w:pStyle w:val="DashedBullets"/>
      </w:pPr>
      <w:r>
        <w:t>Completes the model based on the evidence (2.1.1, ESS2.A.7, and CCC5)</w:t>
      </w:r>
    </w:p>
    <w:p w14:paraId="348987F6" w14:textId="77777777" w:rsidR="00A947D7" w:rsidRDefault="00A947D7" w:rsidP="00A947D7">
      <w:pPr>
        <w:pStyle w:val="Paragraph"/>
      </w:pPr>
      <w:r>
        <w:t>Task provides evidence about the structure of Earth’s interior or Earth’s surface plates and the cycling of matter due to thermal convection and a list of models:</w:t>
      </w:r>
    </w:p>
    <w:p w14:paraId="1B31B03A" w14:textId="77777777" w:rsidR="00A947D7" w:rsidRDefault="00A947D7" w:rsidP="00A947D7">
      <w:pPr>
        <w:pStyle w:val="DashedBullets"/>
      </w:pPr>
      <w:r>
        <w:t>Identifies the appropriate model based on the evidence (2.1.2, ESS2.A.7, and CCC5)</w:t>
      </w:r>
    </w:p>
    <w:p w14:paraId="5C425BF6" w14:textId="77777777" w:rsidR="00A947D7" w:rsidRDefault="00A947D7" w:rsidP="00A947D7">
      <w:pPr>
        <w:pStyle w:val="Paragraph"/>
      </w:pPr>
      <w:r>
        <w:t>Task provides a model of and/or evidence about Earth’s interior or Earth’s surface plates and a list of relevant and irrelevant representations or descriptions:</w:t>
      </w:r>
    </w:p>
    <w:p w14:paraId="0B368748" w14:textId="78CEE3BA" w:rsidR="00FE4E50" w:rsidRPr="009246C4" w:rsidRDefault="00A947D7" w:rsidP="00A947D7">
      <w:pPr>
        <w:pStyle w:val="DashedBullets"/>
      </w:pPr>
      <w:r>
        <w:t>Identifies the appropriate representations to describe the mechanisms underlying the cycling of matter based on the model and/or evidence (2.1.3, ESS2.A.7, and CCC5)</w:t>
      </w:r>
    </w:p>
    <w:p w14:paraId="4D83CE98" w14:textId="77777777" w:rsidR="00CE5AB8" w:rsidRPr="00B63D23" w:rsidRDefault="00FE4E50" w:rsidP="0097285D">
      <w:pPr>
        <w:pStyle w:val="Heading2"/>
      </w:pPr>
      <w:r w:rsidRPr="00510C04">
        <w:lastRenderedPageBreak/>
        <w:t>Possible Phenomena or Contexts</w:t>
      </w:r>
    </w:p>
    <w:p w14:paraId="54997602" w14:textId="77777777" w:rsidR="00FE4E50" w:rsidRPr="00B63D23" w:rsidRDefault="00CE5AB8" w:rsidP="00AB7B8F">
      <w:pPr>
        <w:pStyle w:val="ParagraphItalic"/>
      </w:pPr>
      <w:r>
        <w:t>Note that the list in this section is not exhaustive.</w:t>
      </w:r>
    </w:p>
    <w:p w14:paraId="20CC3333" w14:textId="64680405" w:rsidR="00A947D7" w:rsidRDefault="00730BCC" w:rsidP="00A947D7">
      <w:pPr>
        <w:pStyle w:val="DashedBullets"/>
      </w:pPr>
      <w:r>
        <w:t>D</w:t>
      </w:r>
      <w:r w:rsidR="00A947D7">
        <w:t>irection of convection currents in the mantle and the relative direction of plate movements</w:t>
      </w:r>
    </w:p>
    <w:p w14:paraId="54D4E36C" w14:textId="056F0FFB" w:rsidR="00A947D7" w:rsidRDefault="00696CDA" w:rsidP="00A947D7">
      <w:pPr>
        <w:pStyle w:val="DashedBullets"/>
      </w:pPr>
      <w:r>
        <w:t>Relationship between radioactive decay</w:t>
      </w:r>
      <w:r w:rsidR="00957E84">
        <w:t xml:space="preserve"> and t</w:t>
      </w:r>
      <w:r w:rsidR="00A947D7">
        <w:t xml:space="preserve">hermal convection </w:t>
      </w:r>
      <w:r w:rsidR="00957E84">
        <w:t>in Earth’s interior</w:t>
      </w:r>
    </w:p>
    <w:p w14:paraId="68F7DA95" w14:textId="429377C7" w:rsidR="00A947D7" w:rsidRDefault="00A947D7" w:rsidP="00A947D7">
      <w:pPr>
        <w:pStyle w:val="DashedBullets"/>
      </w:pPr>
      <w:r>
        <w:t xml:space="preserve">Empirical evidence </w:t>
      </w:r>
      <w:r w:rsidR="007773F5">
        <w:t xml:space="preserve">of thermal convection affecting </w:t>
      </w:r>
      <w:r>
        <w:t xml:space="preserve">plate </w:t>
      </w:r>
      <w:r w:rsidR="007773F5">
        <w:t>tectonics</w:t>
      </w:r>
      <w:r w:rsidR="00AD49A8">
        <w:t xml:space="preserve"> (e.g., </w:t>
      </w:r>
      <w:r w:rsidR="00F05149">
        <w:t xml:space="preserve">gradual </w:t>
      </w:r>
      <w:r w:rsidR="002B11A6">
        <w:t xml:space="preserve">widening of Atlantic Ocean due to </w:t>
      </w:r>
      <w:r w:rsidR="008E30A4">
        <w:t>seafloor spreading</w:t>
      </w:r>
      <w:r w:rsidR="00F05149">
        <w:t xml:space="preserve"> between divergent plates</w:t>
      </w:r>
      <w:r w:rsidR="008E30A4">
        <w:t>)</w:t>
      </w:r>
    </w:p>
    <w:p w14:paraId="0789684A" w14:textId="4CB102D3" w:rsidR="00A947D7" w:rsidRDefault="005879EC" w:rsidP="00A947D7">
      <w:pPr>
        <w:pStyle w:val="DashedBullets"/>
      </w:pPr>
      <w:r>
        <w:t xml:space="preserve">Use of </w:t>
      </w:r>
      <w:r w:rsidR="00A947D7">
        <w:t>seismic wave</w:t>
      </w:r>
      <w:r>
        <w:t xml:space="preserve"> evidence</w:t>
      </w:r>
      <w:r w:rsidR="00A947D7">
        <w:t xml:space="preserve"> </w:t>
      </w:r>
      <w:r w:rsidR="00AD72A2">
        <w:t xml:space="preserve">to deduce the composition and structure of </w:t>
      </w:r>
      <w:r w:rsidR="00A947D7">
        <w:t>the Earth’s interior</w:t>
      </w:r>
    </w:p>
    <w:p w14:paraId="7654A1F3" w14:textId="3DC63F88" w:rsidR="00A947D7" w:rsidRDefault="001148BB" w:rsidP="00A947D7">
      <w:pPr>
        <w:pStyle w:val="DashedBullets"/>
      </w:pPr>
      <w:r>
        <w:t xml:space="preserve">Interpretation of seafloor </w:t>
      </w:r>
      <w:r w:rsidR="00B236E1">
        <w:t>magnetic data (e.g., m</w:t>
      </w:r>
      <w:r w:rsidR="00A947D7">
        <w:t xml:space="preserve">agnetic reversals in the </w:t>
      </w:r>
      <w:r>
        <w:t xml:space="preserve">Earth’s </w:t>
      </w:r>
      <w:r w:rsidR="00A947D7">
        <w:t>crust on either side of a mid-ocean ridge</w:t>
      </w:r>
      <w:r w:rsidR="00B236E1">
        <w:t>)</w:t>
      </w:r>
    </w:p>
    <w:p w14:paraId="2690502F" w14:textId="77777777" w:rsidR="00CE5AB8" w:rsidRPr="00B63D23" w:rsidRDefault="00FE4E50" w:rsidP="0097285D">
      <w:pPr>
        <w:pStyle w:val="Heading2"/>
      </w:pPr>
      <w:r w:rsidRPr="00510C04">
        <w:t>Common Misconceptions</w:t>
      </w:r>
    </w:p>
    <w:p w14:paraId="0960E40F" w14:textId="77777777" w:rsidR="00FE4E50" w:rsidRPr="00B63D23" w:rsidRDefault="00CE5AB8" w:rsidP="00110730">
      <w:pPr>
        <w:pStyle w:val="ParagraphItalic"/>
      </w:pPr>
      <w:r>
        <w:t>Note that the list in this section is not exhaustive.</w:t>
      </w:r>
    </w:p>
    <w:p w14:paraId="08F90E0C" w14:textId="77777777" w:rsidR="00A947D7" w:rsidRDefault="00A947D7" w:rsidP="00A947D7">
      <w:pPr>
        <w:pStyle w:val="DashedBullets"/>
      </w:pPr>
      <w:r>
        <w:t>Tectonic plates float and move above a sea of magma.</w:t>
      </w:r>
    </w:p>
    <w:p w14:paraId="559CA50B" w14:textId="77777777" w:rsidR="00A947D7" w:rsidRDefault="00A947D7" w:rsidP="00A947D7">
      <w:pPr>
        <w:pStyle w:val="DashedBullets"/>
      </w:pPr>
      <w:r>
        <w:t>Plates are deep beneath Earth’s surface.</w:t>
      </w:r>
    </w:p>
    <w:p w14:paraId="75748A28" w14:textId="77777777" w:rsidR="00A947D7" w:rsidRDefault="00A947D7" w:rsidP="00A947D7">
      <w:pPr>
        <w:pStyle w:val="DashedBullets"/>
      </w:pPr>
      <w:r>
        <w:t>Magma originates from the core.</w:t>
      </w:r>
    </w:p>
    <w:p w14:paraId="12E527B4" w14:textId="77777777" w:rsidR="00A947D7" w:rsidRDefault="00A947D7" w:rsidP="00A947D7">
      <w:pPr>
        <w:pStyle w:val="DashedBullets"/>
      </w:pPr>
      <w:r>
        <w:t>Convection only occurs in liquids.</w:t>
      </w:r>
    </w:p>
    <w:p w14:paraId="6519C3C7" w14:textId="7C30F1F0" w:rsidR="00FE4E50" w:rsidRPr="00B05F41" w:rsidRDefault="00A947D7" w:rsidP="00A947D7">
      <w:pPr>
        <w:pStyle w:val="DashedBullets"/>
      </w:pPr>
      <w:r>
        <w:t>Radioactivity is manmade.</w:t>
      </w:r>
    </w:p>
    <w:p w14:paraId="28788934" w14:textId="77777777" w:rsidR="00FE4E50" w:rsidRPr="00510C04" w:rsidRDefault="00FE4E50" w:rsidP="0097285D">
      <w:pPr>
        <w:pStyle w:val="Heading2"/>
      </w:pPr>
      <w:r w:rsidRPr="00510C04">
        <w:t>Additional Assessment Boundaries</w:t>
      </w:r>
    </w:p>
    <w:p w14:paraId="3334568D" w14:textId="77777777" w:rsidR="00FE4E50" w:rsidRDefault="009F069F" w:rsidP="00F26EFD">
      <w:pPr>
        <w:pStyle w:val="Paragraph"/>
        <w:keepNext w:val="0"/>
        <w:keepLines w:val="0"/>
        <w:rPr>
          <w:lang w:eastAsia="ko-KR"/>
        </w:rPr>
      </w:pPr>
      <w:r w:rsidRPr="009F069F">
        <w:rPr>
          <w:lang w:eastAsia="ko-KR"/>
        </w:rPr>
        <w:t>None listed at this time.</w:t>
      </w:r>
    </w:p>
    <w:p w14:paraId="79E91DB6" w14:textId="77777777" w:rsidR="00FE4E50" w:rsidRDefault="00FE4E50" w:rsidP="00F3093C">
      <w:pPr>
        <w:pStyle w:val="Heading2"/>
      </w:pPr>
      <w:r>
        <w:lastRenderedPageBreak/>
        <w:t>Additional References</w:t>
      </w:r>
    </w:p>
    <w:p w14:paraId="659E306B" w14:textId="7BC9EAC1" w:rsidR="00286AB9" w:rsidRPr="0092682A" w:rsidRDefault="00A947D7" w:rsidP="00F3093C">
      <w:pPr>
        <w:pStyle w:val="Paragraph"/>
        <w:keepLines w:val="0"/>
        <w:rPr>
          <w:rStyle w:val="Hyperlink"/>
          <w:rFonts w:eastAsiaTheme="majorEastAsia"/>
          <w:b/>
          <w:sz w:val="32"/>
          <w:szCs w:val="28"/>
        </w:rPr>
      </w:pPr>
      <w:r w:rsidRPr="00F26EFD">
        <w:t>HS-ESS2-3 Evidence Statement</w:t>
      </w:r>
      <w:r w:rsidR="0092682A" w:rsidRPr="0092682A">
        <w:t xml:space="preserve"> </w:t>
      </w:r>
      <w:hyperlink r:id="rId9" w:tooltip="HS-ESS2-3 Evidence Statement web document" w:history="1">
        <w:r w:rsidR="00F26EFD" w:rsidRPr="00F26EFD">
          <w:rPr>
            <w:rStyle w:val="Hyperlink"/>
            <w:bCs/>
          </w:rPr>
          <w:t>https://www.nextgenscience.org/sites/default/files/evidence_statement/black_white/HS-ESS2-3 Evidence Statements June 2015 asterisks.pdf</w:t>
        </w:r>
      </w:hyperlink>
    </w:p>
    <w:p w14:paraId="00B45EDA" w14:textId="77777777" w:rsidR="00286AB9" w:rsidRDefault="00286AB9" w:rsidP="00F26EF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2CDAF07" w14:textId="77777777" w:rsidR="00F26EFD" w:rsidRPr="00DE6E87" w:rsidRDefault="00F26EFD" w:rsidP="0078210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30D3FD" w14:textId="2F0B7EE0" w:rsidR="00CA7D24" w:rsidRDefault="00CA7D24" w:rsidP="00CA7D24">
      <w:pPr>
        <w:pStyle w:val="ScienceFrameworkLinks"/>
        <w:spacing w:before="600"/>
        <w:ind w:left="446" w:hanging="446"/>
        <w:rPr>
          <w:color w:val="000000"/>
        </w:rPr>
      </w:pPr>
      <w:r>
        <w:rPr>
          <w:lang w:eastAsia="ko-KR"/>
        </w:rPr>
        <w:t>Posted by the California Department of Education, March 2021</w:t>
      </w:r>
      <w:r w:rsidR="00710600">
        <w:rPr>
          <w:lang w:eastAsia="ko-KR"/>
        </w:rPr>
        <w:t xml:space="preserve"> </w:t>
      </w:r>
      <w:r w:rsidR="00710600" w:rsidRPr="00710600">
        <w:rPr>
          <w:lang w:eastAsia="ko-KR"/>
        </w:rPr>
        <w:t>(updated February 2024)</w:t>
      </w:r>
    </w:p>
    <w:p w14:paraId="22A78CD7" w14:textId="59165111" w:rsidR="00AB7B8F" w:rsidRDefault="00AB7B8F" w:rsidP="00CA7D24">
      <w:pPr>
        <w:pStyle w:val="ScienceFrameworkLinks"/>
        <w:spacing w:before="600"/>
        <w:ind w:left="446" w:hanging="446"/>
        <w:rPr>
          <w:color w:val="000000"/>
        </w:rPr>
      </w:pPr>
    </w:p>
    <w:sectPr w:rsidR="00AB7B8F" w:rsidSect="003E37B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FB0F" w14:textId="77777777" w:rsidR="003E37BE" w:rsidRDefault="003E37BE" w:rsidP="007525D5">
      <w:r>
        <w:separator/>
      </w:r>
    </w:p>
  </w:endnote>
  <w:endnote w:type="continuationSeparator" w:id="0">
    <w:p w14:paraId="5C36D28D" w14:textId="77777777" w:rsidR="003E37BE" w:rsidRDefault="003E37BE" w:rsidP="007525D5">
      <w:r>
        <w:continuationSeparator/>
      </w:r>
    </w:p>
  </w:endnote>
  <w:endnote w:type="continuationNotice" w:id="1">
    <w:p w14:paraId="133C4044" w14:textId="77777777" w:rsidR="003E37BE" w:rsidRDefault="003E3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131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67214">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F39A" w14:textId="77777777" w:rsidR="003E37BE" w:rsidRDefault="003E37BE" w:rsidP="007525D5">
      <w:r>
        <w:separator/>
      </w:r>
    </w:p>
  </w:footnote>
  <w:footnote w:type="continuationSeparator" w:id="0">
    <w:p w14:paraId="1D36E53F" w14:textId="77777777" w:rsidR="003E37BE" w:rsidRDefault="003E37BE" w:rsidP="007525D5">
      <w:r>
        <w:continuationSeparator/>
      </w:r>
    </w:p>
  </w:footnote>
  <w:footnote w:type="continuationNotice" w:id="1">
    <w:p w14:paraId="11E73193" w14:textId="77777777" w:rsidR="003E37BE" w:rsidRDefault="003E3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C032" w14:textId="35CA0A9B" w:rsidR="006F6C47" w:rsidRDefault="006F6C47" w:rsidP="00F3093C">
    <w:pPr>
      <w:pStyle w:val="Header"/>
      <w:tabs>
        <w:tab w:val="clear" w:pos="4680"/>
        <w:tab w:val="clear" w:pos="9360"/>
        <w:tab w:val="left" w:pos="9060"/>
      </w:tabs>
      <w:spacing w:after="0"/>
      <w:jc w:val="left"/>
    </w:pPr>
    <w:r>
      <w:rPr>
        <w:noProof/>
        <w:lang w:eastAsia="en-US"/>
      </w:rPr>
      <w:drawing>
        <wp:inline distT="0" distB="0" distL="0" distR="0" wp14:anchorId="357B309A" wp14:editId="52044E46">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175E1EE6" w14:textId="3096B056" w:rsidR="006F6C47" w:rsidRPr="007F67E5" w:rsidRDefault="002A0E4D" w:rsidP="006F6C4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596FCF">
      <w:rPr>
        <w:b/>
        <w:noProof/>
      </w:rPr>
      <w:t>HS-ESS2-3 Earth’s Systems</w:t>
    </w:r>
    <w:r>
      <w:rPr>
        <w:b/>
        <w:noProof/>
      </w:rPr>
      <w:fldChar w:fldCharType="end"/>
    </w:r>
  </w:p>
  <w:p w14:paraId="4216BF5E" w14:textId="0A9F9209" w:rsidR="006F6C47" w:rsidRDefault="006F6C47" w:rsidP="006F6C4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AB6"/>
    <w:multiLevelType w:val="hybridMultilevel"/>
    <w:tmpl w:val="93CC93C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A03D35"/>
    <w:multiLevelType w:val="hybridMultilevel"/>
    <w:tmpl w:val="CB3A1C5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03CF4"/>
    <w:multiLevelType w:val="hybridMultilevel"/>
    <w:tmpl w:val="15B64D5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41C7318D"/>
    <w:multiLevelType w:val="hybridMultilevel"/>
    <w:tmpl w:val="4B3254F6"/>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D2EFD"/>
    <w:multiLevelType w:val="hybridMultilevel"/>
    <w:tmpl w:val="B7C8227A"/>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D5E71"/>
    <w:multiLevelType w:val="hybridMultilevel"/>
    <w:tmpl w:val="AA3A09C4"/>
    <w:lvl w:ilvl="0" w:tplc="0090FC5A">
      <w:start w:val="7"/>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E2C57"/>
    <w:multiLevelType w:val="hybridMultilevel"/>
    <w:tmpl w:val="8502191E"/>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E77F51"/>
    <w:multiLevelType w:val="hybridMultilevel"/>
    <w:tmpl w:val="156C3158"/>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793637">
    <w:abstractNumId w:val="2"/>
  </w:num>
  <w:num w:numId="2" w16cid:durableId="1460369050">
    <w:abstractNumId w:val="3"/>
  </w:num>
  <w:num w:numId="3" w16cid:durableId="265845611">
    <w:abstractNumId w:val="5"/>
  </w:num>
  <w:num w:numId="4" w16cid:durableId="31729092">
    <w:abstractNumId w:val="1"/>
  </w:num>
  <w:num w:numId="5" w16cid:durableId="1230455465">
    <w:abstractNumId w:val="8"/>
  </w:num>
  <w:num w:numId="6" w16cid:durableId="34889841">
    <w:abstractNumId w:val="9"/>
  </w:num>
  <w:num w:numId="7" w16cid:durableId="1155993729">
    <w:abstractNumId w:val="15"/>
  </w:num>
  <w:num w:numId="8" w16cid:durableId="2054574734">
    <w:abstractNumId w:val="12"/>
  </w:num>
  <w:num w:numId="9" w16cid:durableId="1685475842">
    <w:abstractNumId w:val="11"/>
  </w:num>
  <w:num w:numId="10" w16cid:durableId="1283266003">
    <w:abstractNumId w:val="10"/>
  </w:num>
  <w:num w:numId="11" w16cid:durableId="543830084">
    <w:abstractNumId w:val="0"/>
  </w:num>
  <w:num w:numId="12" w16cid:durableId="1814059858">
    <w:abstractNumId w:val="12"/>
  </w:num>
  <w:num w:numId="13" w16cid:durableId="1914848633">
    <w:abstractNumId w:val="12"/>
  </w:num>
  <w:num w:numId="14" w16cid:durableId="535891308">
    <w:abstractNumId w:val="6"/>
  </w:num>
  <w:num w:numId="15" w16cid:durableId="970327317">
    <w:abstractNumId w:val="4"/>
  </w:num>
  <w:num w:numId="16" w16cid:durableId="403843426">
    <w:abstractNumId w:val="13"/>
  </w:num>
  <w:num w:numId="17" w16cid:durableId="778068958">
    <w:abstractNumId w:val="14"/>
  </w:num>
  <w:num w:numId="18" w16cid:durableId="11592270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06"/>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8BB"/>
    <w:rsid w:val="00115BFB"/>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6BBD"/>
    <w:rsid w:val="00221A7E"/>
    <w:rsid w:val="002243CE"/>
    <w:rsid w:val="00234451"/>
    <w:rsid w:val="00235F69"/>
    <w:rsid w:val="00246550"/>
    <w:rsid w:val="00255C3E"/>
    <w:rsid w:val="00260E17"/>
    <w:rsid w:val="002635C3"/>
    <w:rsid w:val="00264CFD"/>
    <w:rsid w:val="002651D5"/>
    <w:rsid w:val="00282630"/>
    <w:rsid w:val="00283757"/>
    <w:rsid w:val="00286AB9"/>
    <w:rsid w:val="00292E83"/>
    <w:rsid w:val="00293C52"/>
    <w:rsid w:val="002A0E4D"/>
    <w:rsid w:val="002A321E"/>
    <w:rsid w:val="002B0079"/>
    <w:rsid w:val="002B050B"/>
    <w:rsid w:val="002B11A6"/>
    <w:rsid w:val="002B2E0D"/>
    <w:rsid w:val="002B2E9E"/>
    <w:rsid w:val="002B4464"/>
    <w:rsid w:val="002B790C"/>
    <w:rsid w:val="002C0AD7"/>
    <w:rsid w:val="002E59BF"/>
    <w:rsid w:val="002E5A96"/>
    <w:rsid w:val="002F3BF0"/>
    <w:rsid w:val="002F3C11"/>
    <w:rsid w:val="002F4F34"/>
    <w:rsid w:val="002F7649"/>
    <w:rsid w:val="00332884"/>
    <w:rsid w:val="0033671D"/>
    <w:rsid w:val="0033700D"/>
    <w:rsid w:val="00345B33"/>
    <w:rsid w:val="003470DC"/>
    <w:rsid w:val="003619DC"/>
    <w:rsid w:val="0036567B"/>
    <w:rsid w:val="0037623A"/>
    <w:rsid w:val="003813A7"/>
    <w:rsid w:val="00381B4E"/>
    <w:rsid w:val="00386C80"/>
    <w:rsid w:val="003902B4"/>
    <w:rsid w:val="003B5FD4"/>
    <w:rsid w:val="003B6084"/>
    <w:rsid w:val="003C112A"/>
    <w:rsid w:val="003C6678"/>
    <w:rsid w:val="003D2F97"/>
    <w:rsid w:val="003D74A5"/>
    <w:rsid w:val="003E247E"/>
    <w:rsid w:val="003E2ED9"/>
    <w:rsid w:val="003E37BE"/>
    <w:rsid w:val="003E5B4E"/>
    <w:rsid w:val="0041407C"/>
    <w:rsid w:val="00415CF9"/>
    <w:rsid w:val="0042638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12E1"/>
    <w:rsid w:val="004D2544"/>
    <w:rsid w:val="004E5C17"/>
    <w:rsid w:val="004F51E9"/>
    <w:rsid w:val="005105BA"/>
    <w:rsid w:val="00510611"/>
    <w:rsid w:val="005112CF"/>
    <w:rsid w:val="00530C7C"/>
    <w:rsid w:val="00543833"/>
    <w:rsid w:val="00543F29"/>
    <w:rsid w:val="00546CA1"/>
    <w:rsid w:val="005563AE"/>
    <w:rsid w:val="005606EA"/>
    <w:rsid w:val="00561DAB"/>
    <w:rsid w:val="00562081"/>
    <w:rsid w:val="00563123"/>
    <w:rsid w:val="005744A7"/>
    <w:rsid w:val="00583B72"/>
    <w:rsid w:val="00586A0D"/>
    <w:rsid w:val="005879EC"/>
    <w:rsid w:val="00596FCF"/>
    <w:rsid w:val="005A09DA"/>
    <w:rsid w:val="005C5274"/>
    <w:rsid w:val="005D7B3B"/>
    <w:rsid w:val="005E21E5"/>
    <w:rsid w:val="005E546B"/>
    <w:rsid w:val="005F46A7"/>
    <w:rsid w:val="00600F38"/>
    <w:rsid w:val="006028C8"/>
    <w:rsid w:val="00602B92"/>
    <w:rsid w:val="00603FE2"/>
    <w:rsid w:val="00604B1F"/>
    <w:rsid w:val="00611860"/>
    <w:rsid w:val="0061242E"/>
    <w:rsid w:val="00614922"/>
    <w:rsid w:val="006207C5"/>
    <w:rsid w:val="00622380"/>
    <w:rsid w:val="0062344C"/>
    <w:rsid w:val="00623A89"/>
    <w:rsid w:val="00630A6E"/>
    <w:rsid w:val="00630D1E"/>
    <w:rsid w:val="00631DF1"/>
    <w:rsid w:val="00636674"/>
    <w:rsid w:val="00642630"/>
    <w:rsid w:val="00660EE2"/>
    <w:rsid w:val="006661DA"/>
    <w:rsid w:val="00682EED"/>
    <w:rsid w:val="00682FA3"/>
    <w:rsid w:val="00684CCB"/>
    <w:rsid w:val="00686355"/>
    <w:rsid w:val="00696CDA"/>
    <w:rsid w:val="006A7AE5"/>
    <w:rsid w:val="006B43F1"/>
    <w:rsid w:val="006B60C4"/>
    <w:rsid w:val="006C1CA0"/>
    <w:rsid w:val="006C5128"/>
    <w:rsid w:val="006D15A6"/>
    <w:rsid w:val="006D3600"/>
    <w:rsid w:val="006E00C3"/>
    <w:rsid w:val="006E6884"/>
    <w:rsid w:val="006F2016"/>
    <w:rsid w:val="006F6C47"/>
    <w:rsid w:val="00702E59"/>
    <w:rsid w:val="00703DAD"/>
    <w:rsid w:val="007047AB"/>
    <w:rsid w:val="0070717A"/>
    <w:rsid w:val="00710600"/>
    <w:rsid w:val="00721A39"/>
    <w:rsid w:val="00730BCC"/>
    <w:rsid w:val="00743CCB"/>
    <w:rsid w:val="00745C5F"/>
    <w:rsid w:val="00747947"/>
    <w:rsid w:val="007525D5"/>
    <w:rsid w:val="00754F40"/>
    <w:rsid w:val="00764D2A"/>
    <w:rsid w:val="00767214"/>
    <w:rsid w:val="007773F5"/>
    <w:rsid w:val="00782107"/>
    <w:rsid w:val="00786826"/>
    <w:rsid w:val="0079293C"/>
    <w:rsid w:val="007A3516"/>
    <w:rsid w:val="007A7155"/>
    <w:rsid w:val="007A7747"/>
    <w:rsid w:val="007B0023"/>
    <w:rsid w:val="007C3B49"/>
    <w:rsid w:val="007C519F"/>
    <w:rsid w:val="007C7F14"/>
    <w:rsid w:val="007F0618"/>
    <w:rsid w:val="007F08AA"/>
    <w:rsid w:val="00800A96"/>
    <w:rsid w:val="00801596"/>
    <w:rsid w:val="008045E9"/>
    <w:rsid w:val="00811485"/>
    <w:rsid w:val="00815618"/>
    <w:rsid w:val="00831D39"/>
    <w:rsid w:val="00846C76"/>
    <w:rsid w:val="00852649"/>
    <w:rsid w:val="0085598F"/>
    <w:rsid w:val="008562DB"/>
    <w:rsid w:val="0085759E"/>
    <w:rsid w:val="00862832"/>
    <w:rsid w:val="00864BAF"/>
    <w:rsid w:val="00867745"/>
    <w:rsid w:val="00872A5E"/>
    <w:rsid w:val="00885A81"/>
    <w:rsid w:val="008B0F0A"/>
    <w:rsid w:val="008B75B8"/>
    <w:rsid w:val="008C3331"/>
    <w:rsid w:val="008C448E"/>
    <w:rsid w:val="008C62BF"/>
    <w:rsid w:val="008C7F74"/>
    <w:rsid w:val="008D5346"/>
    <w:rsid w:val="008E0A9D"/>
    <w:rsid w:val="008E30A4"/>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7E84"/>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4576"/>
    <w:rsid w:val="00A44C4F"/>
    <w:rsid w:val="00A46DB7"/>
    <w:rsid w:val="00A55ED3"/>
    <w:rsid w:val="00A64D08"/>
    <w:rsid w:val="00A65190"/>
    <w:rsid w:val="00A758CE"/>
    <w:rsid w:val="00A765C1"/>
    <w:rsid w:val="00A947D7"/>
    <w:rsid w:val="00AA01ED"/>
    <w:rsid w:val="00AB4E9E"/>
    <w:rsid w:val="00AB58B1"/>
    <w:rsid w:val="00AB7B8F"/>
    <w:rsid w:val="00AC778A"/>
    <w:rsid w:val="00AD49A8"/>
    <w:rsid w:val="00AD72A2"/>
    <w:rsid w:val="00AE1251"/>
    <w:rsid w:val="00AE4EB1"/>
    <w:rsid w:val="00AF1646"/>
    <w:rsid w:val="00AF6BE0"/>
    <w:rsid w:val="00AF7452"/>
    <w:rsid w:val="00B02982"/>
    <w:rsid w:val="00B05F41"/>
    <w:rsid w:val="00B179FB"/>
    <w:rsid w:val="00B236E1"/>
    <w:rsid w:val="00B35EA5"/>
    <w:rsid w:val="00B36459"/>
    <w:rsid w:val="00B438FC"/>
    <w:rsid w:val="00B5140B"/>
    <w:rsid w:val="00B63D23"/>
    <w:rsid w:val="00B63F35"/>
    <w:rsid w:val="00B6683C"/>
    <w:rsid w:val="00B82328"/>
    <w:rsid w:val="00BA25A2"/>
    <w:rsid w:val="00BA4B22"/>
    <w:rsid w:val="00BB08C4"/>
    <w:rsid w:val="00BB1A45"/>
    <w:rsid w:val="00BB24BB"/>
    <w:rsid w:val="00BB4346"/>
    <w:rsid w:val="00BB5599"/>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A7D24"/>
    <w:rsid w:val="00CC0165"/>
    <w:rsid w:val="00CC01BC"/>
    <w:rsid w:val="00CC15B6"/>
    <w:rsid w:val="00CC648E"/>
    <w:rsid w:val="00CC6E02"/>
    <w:rsid w:val="00CE5AB8"/>
    <w:rsid w:val="00CF19CE"/>
    <w:rsid w:val="00CF31F3"/>
    <w:rsid w:val="00D00FC4"/>
    <w:rsid w:val="00D03CCA"/>
    <w:rsid w:val="00D2394E"/>
    <w:rsid w:val="00D247C2"/>
    <w:rsid w:val="00D2719D"/>
    <w:rsid w:val="00D40CBC"/>
    <w:rsid w:val="00D467F8"/>
    <w:rsid w:val="00D47119"/>
    <w:rsid w:val="00D51790"/>
    <w:rsid w:val="00D61192"/>
    <w:rsid w:val="00D61DC6"/>
    <w:rsid w:val="00D6386C"/>
    <w:rsid w:val="00D739AD"/>
    <w:rsid w:val="00D75834"/>
    <w:rsid w:val="00D82B63"/>
    <w:rsid w:val="00D86E31"/>
    <w:rsid w:val="00D91A94"/>
    <w:rsid w:val="00D9258C"/>
    <w:rsid w:val="00D94317"/>
    <w:rsid w:val="00D96906"/>
    <w:rsid w:val="00DA0D8E"/>
    <w:rsid w:val="00DA5391"/>
    <w:rsid w:val="00DA6C2F"/>
    <w:rsid w:val="00DC26F5"/>
    <w:rsid w:val="00DC7A6A"/>
    <w:rsid w:val="00DE04BA"/>
    <w:rsid w:val="00DE0E48"/>
    <w:rsid w:val="00DE67F5"/>
    <w:rsid w:val="00DF3F78"/>
    <w:rsid w:val="00DF72CC"/>
    <w:rsid w:val="00E04AB6"/>
    <w:rsid w:val="00E207DB"/>
    <w:rsid w:val="00E21193"/>
    <w:rsid w:val="00E3769E"/>
    <w:rsid w:val="00E417FF"/>
    <w:rsid w:val="00E42404"/>
    <w:rsid w:val="00E63ED9"/>
    <w:rsid w:val="00E7262B"/>
    <w:rsid w:val="00E77141"/>
    <w:rsid w:val="00E82F54"/>
    <w:rsid w:val="00E85B5A"/>
    <w:rsid w:val="00E86459"/>
    <w:rsid w:val="00E87DA0"/>
    <w:rsid w:val="00EA0CA7"/>
    <w:rsid w:val="00EA1C1F"/>
    <w:rsid w:val="00EA3D3D"/>
    <w:rsid w:val="00EA45CB"/>
    <w:rsid w:val="00EA5357"/>
    <w:rsid w:val="00EB18EF"/>
    <w:rsid w:val="00EB1F78"/>
    <w:rsid w:val="00EB5B58"/>
    <w:rsid w:val="00EB7CB9"/>
    <w:rsid w:val="00EC5631"/>
    <w:rsid w:val="00EC6186"/>
    <w:rsid w:val="00EC6F86"/>
    <w:rsid w:val="00EC7E28"/>
    <w:rsid w:val="00ED1402"/>
    <w:rsid w:val="00EE4373"/>
    <w:rsid w:val="00F05149"/>
    <w:rsid w:val="00F0713B"/>
    <w:rsid w:val="00F10357"/>
    <w:rsid w:val="00F110BD"/>
    <w:rsid w:val="00F12393"/>
    <w:rsid w:val="00F15CD6"/>
    <w:rsid w:val="00F16F2D"/>
    <w:rsid w:val="00F2016A"/>
    <w:rsid w:val="00F21D67"/>
    <w:rsid w:val="00F24B8F"/>
    <w:rsid w:val="00F26EFD"/>
    <w:rsid w:val="00F3093C"/>
    <w:rsid w:val="00F30B46"/>
    <w:rsid w:val="00F4536C"/>
    <w:rsid w:val="00F50662"/>
    <w:rsid w:val="00F5249B"/>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407AC54"/>
    <w:rsid w:val="1BF995DC"/>
    <w:rsid w:val="203E21EE"/>
    <w:rsid w:val="37D3EE55"/>
    <w:rsid w:val="3E637228"/>
    <w:rsid w:val="462E97DB"/>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8F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47"/>
    <w:pPr>
      <w:spacing w:after="120" w:line="240" w:lineRule="auto"/>
    </w:pPr>
    <w:rPr>
      <w:rFonts w:ascii="Arial" w:hAnsi="Arial"/>
      <w:sz w:val="24"/>
    </w:rPr>
  </w:style>
  <w:style w:type="paragraph" w:styleId="Heading1">
    <w:name w:val="heading 1"/>
    <w:basedOn w:val="Normal"/>
    <w:next w:val="Normal"/>
    <w:link w:val="Heading1Char"/>
    <w:qFormat/>
    <w:rsid w:val="006F6C4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115BF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D03CC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6F6C4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15BF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D03CC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3703516">
      <w:bodyDiv w:val="1"/>
      <w:marLeft w:val="0"/>
      <w:marRight w:val="0"/>
      <w:marTop w:val="0"/>
      <w:marBottom w:val="0"/>
      <w:divBdr>
        <w:top w:val="none" w:sz="0" w:space="0" w:color="auto"/>
        <w:left w:val="none" w:sz="0" w:space="0" w:color="auto"/>
        <w:bottom w:val="none" w:sz="0" w:space="0" w:color="auto"/>
        <w:right w:val="none" w:sz="0" w:space="0" w:color="auto"/>
      </w:divBdr>
    </w:div>
    <w:div w:id="47507421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85723190">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A5640D-B234-4ACC-BA1D-F5FD486E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Specifications—HS-ESS2-3 - CAASPP (CA Dept of Education)</dc:title>
  <dc:subject>This CAST item specification describes HS-ESS2-3 Earth’s Systems.</dc:subject>
  <dc:creator/>
  <cp:keywords/>
  <dc:description/>
  <cp:lastModifiedBy/>
  <cp:revision>1</cp:revision>
  <dcterms:created xsi:type="dcterms:W3CDTF">2024-02-26T17:25:00Z</dcterms:created>
  <dcterms:modified xsi:type="dcterms:W3CDTF">2024-02-26T21:25:00Z</dcterms:modified>
</cp:coreProperties>
</file>