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BC1B" w14:textId="77777777" w:rsidR="004C6308" w:rsidRDefault="004C6308" w:rsidP="004C6308">
      <w:pPr>
        <w:pStyle w:val="Header"/>
        <w:pBdr>
          <w:bottom w:val="none" w:sz="0" w:space="0" w:color="auto"/>
        </w:pBdr>
        <w:tabs>
          <w:tab w:val="clear" w:pos="4680"/>
        </w:tabs>
        <w:spacing w:after="0"/>
        <w:jc w:val="left"/>
      </w:pPr>
      <w:r>
        <w:rPr>
          <w:noProof/>
          <w:lang w:eastAsia="en-US"/>
        </w:rPr>
        <w:drawing>
          <wp:inline distT="0" distB="0" distL="0" distR="0" wp14:anchorId="7B085AE7" wp14:editId="5C7EE2CC">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F424D6" w14:textId="77777777" w:rsidR="004C6308" w:rsidRPr="00B63D23" w:rsidRDefault="004C6308" w:rsidP="004C6308">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MS-ESS3-1 Earth and Human Activity</w:t>
      </w:r>
      <w:r>
        <w:rPr>
          <w:noProof/>
        </w:rPr>
        <w:fldChar w:fldCharType="end"/>
      </w:r>
    </w:p>
    <w:p w14:paraId="5A8AF69D" w14:textId="0ADCF0B0" w:rsidR="004C6308" w:rsidRDefault="004C6308" w:rsidP="004C6308">
      <w:pPr>
        <w:pStyle w:val="Header"/>
        <w:pBdr>
          <w:bottom w:val="none" w:sz="0" w:space="0" w:color="auto"/>
        </w:pBdr>
        <w:tabs>
          <w:tab w:val="clear" w:pos="4680"/>
        </w:tabs>
        <w:spacing w:after="240"/>
      </w:pPr>
      <w:r w:rsidRPr="00B63D23">
        <w:t xml:space="preserve">California Science Test—Item </w:t>
      </w:r>
      <w:r w:rsidR="00726052">
        <w:t xml:space="preserve">Content </w:t>
      </w:r>
      <w:r w:rsidRPr="00B63D23">
        <w:t>Specifications</w:t>
      </w:r>
    </w:p>
    <w:p w14:paraId="52EB947D" w14:textId="74338FC8" w:rsidR="007A7155" w:rsidRPr="00487068" w:rsidRDefault="00BC0808" w:rsidP="004C6308">
      <w:pPr>
        <w:pStyle w:val="Heading1"/>
        <w:pageBreakBefore w:val="0"/>
        <w:pBdr>
          <w:top w:val="none" w:sz="0" w:space="0" w:color="auto"/>
        </w:pBdr>
        <w:spacing w:after="240"/>
        <w:rPr>
          <w:lang w:val="en-US"/>
        </w:rPr>
      </w:pPr>
      <w:r w:rsidRPr="00BC0808">
        <w:rPr>
          <w:lang w:val="en-US"/>
        </w:rPr>
        <w:t>MS-ESS3-1 Earth and Human Activity</w:t>
      </w:r>
    </w:p>
    <w:p w14:paraId="32AC5521"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84AA50A" w14:textId="5547FABD" w:rsidR="008B0F0A" w:rsidRDefault="00BC0808" w:rsidP="008B75B8">
      <w:pPr>
        <w:pStyle w:val="PerformanceExpectation"/>
      </w:pPr>
      <w:r w:rsidRPr="00BC0808">
        <w:t>Construct a scientific explanation based on evidence for how the uneven distributions of Earth's mineral, energy, and groundwater resources are the result of past and current geoscience processes.</w:t>
      </w:r>
    </w:p>
    <w:p w14:paraId="02AA2024" w14:textId="0C768ACE" w:rsidR="00EB18EF" w:rsidRDefault="00BC0808" w:rsidP="00EB18EF">
      <w:pPr>
        <w:pStyle w:val="PEClarification"/>
        <w:rPr>
          <w:color w:val="auto"/>
        </w:rPr>
      </w:pPr>
      <w:r w:rsidRPr="00DA7D59">
        <w:rPr>
          <w:color w:val="auto"/>
        </w:rPr>
        <w:t>[Clarification Statement: Emphasis is on how these resources are limited and typically non-renewable, and how their distributions are significantly changing as a result of removal by humans. Examples of uneven distributions of resources as a result of past processes include but are not limited to petroleum (locations of the burial of organic marine sediments and subsequent geologic traps), metal ores (locations of past volcanic and hydrothermal activity associated with subduction zones), and soil (locations of active weathering and/or deposition of rock).]</w:t>
      </w:r>
    </w:p>
    <w:p w14:paraId="0D6C028F" w14:textId="6612F044" w:rsidR="004C6308" w:rsidRPr="004C6308" w:rsidRDefault="004C6308" w:rsidP="004C6308">
      <w:pPr>
        <w:spacing w:before="480" w:after="240"/>
        <w:rPr>
          <w:rFonts w:cs="Arial"/>
          <w:szCs w:val="24"/>
        </w:rPr>
      </w:pPr>
      <w:r>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ESS2-2"/>
      </w:tblPr>
      <w:tblGrid>
        <w:gridCol w:w="3865"/>
        <w:gridCol w:w="2700"/>
        <w:gridCol w:w="3515"/>
      </w:tblGrid>
      <w:tr w:rsidR="00A758CE" w:rsidRPr="00510C04" w14:paraId="1768EF4D" w14:textId="77777777" w:rsidTr="00BC0808">
        <w:trPr>
          <w:cantSplit/>
          <w:tblHeader/>
        </w:trPr>
        <w:tc>
          <w:tcPr>
            <w:tcW w:w="3865" w:type="dxa"/>
            <w:tcBorders>
              <w:bottom w:val="single" w:sz="4" w:space="0" w:color="auto"/>
            </w:tcBorders>
            <w:shd w:val="clear" w:color="auto" w:fill="2F3995"/>
            <w:vAlign w:val="center"/>
          </w:tcPr>
          <w:p w14:paraId="539FBEB2" w14:textId="77777777" w:rsidR="00A758CE" w:rsidRPr="00510C04" w:rsidRDefault="00A758CE" w:rsidP="00B63D23">
            <w:pPr>
              <w:pStyle w:val="TableHead"/>
            </w:pPr>
            <w:r w:rsidRPr="000C3750">
              <w:rPr>
                <w:color w:val="FFFFFF" w:themeColor="background1"/>
              </w:rPr>
              <w:lastRenderedPageBreak/>
              <w:t>Science and Engineering Practices</w:t>
            </w:r>
          </w:p>
        </w:tc>
        <w:tc>
          <w:tcPr>
            <w:tcW w:w="2700" w:type="dxa"/>
            <w:tcBorders>
              <w:bottom w:val="single" w:sz="4" w:space="0" w:color="auto"/>
            </w:tcBorders>
            <w:shd w:val="clear" w:color="auto" w:fill="CC4E00"/>
            <w:vAlign w:val="center"/>
          </w:tcPr>
          <w:p w14:paraId="3263A6A8"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515" w:type="dxa"/>
            <w:tcBorders>
              <w:bottom w:val="single" w:sz="4" w:space="0" w:color="auto"/>
            </w:tcBorders>
            <w:shd w:val="clear" w:color="auto" w:fill="007A37"/>
            <w:vAlign w:val="center"/>
          </w:tcPr>
          <w:p w14:paraId="33FD4C6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13E80FB5" w14:textId="77777777" w:rsidTr="00BC0808">
        <w:trPr>
          <w:cantSplit/>
        </w:trPr>
        <w:tc>
          <w:tcPr>
            <w:tcW w:w="3865" w:type="dxa"/>
            <w:shd w:val="clear" w:color="auto" w:fill="auto"/>
          </w:tcPr>
          <w:p w14:paraId="24F66164" w14:textId="77777777" w:rsidR="00BC0808" w:rsidRDefault="00BC0808" w:rsidP="004C6308">
            <w:pPr>
              <w:pStyle w:val="Header6"/>
            </w:pPr>
            <w:r>
              <w:t xml:space="preserve">Constructing Explanations and Designing Solutions </w:t>
            </w:r>
          </w:p>
          <w:p w14:paraId="1B031006" w14:textId="77777777" w:rsidR="00BC0808" w:rsidRDefault="00BC0808" w:rsidP="00BC0808">
            <w:pPr>
              <w:pStyle w:val="Paragraph"/>
            </w:pPr>
            <w:r>
              <w:t xml:space="preserve">Constructing explanations and designing solutions in 6–8 builds on K–5 experiences and progresses to include constructing explanations and designing solutions supported by multiple sources of evidence consistent with scientific ideas, principles, and theories. </w:t>
            </w:r>
          </w:p>
          <w:p w14:paraId="4F7DA063" w14:textId="52AA15F3" w:rsidR="009F069F" w:rsidRPr="00BC0808" w:rsidRDefault="00BC0808" w:rsidP="00BC0808">
            <w:pPr>
              <w:pStyle w:val="TableBullets"/>
            </w:pPr>
            <w:r>
              <w:t xml:space="preserve">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 </w:t>
            </w:r>
          </w:p>
        </w:tc>
        <w:tc>
          <w:tcPr>
            <w:tcW w:w="2700" w:type="dxa"/>
            <w:shd w:val="clear" w:color="auto" w:fill="auto"/>
          </w:tcPr>
          <w:p w14:paraId="1126B950" w14:textId="77777777" w:rsidR="00BC0808" w:rsidRDefault="00BC0808" w:rsidP="004C6308">
            <w:pPr>
              <w:pStyle w:val="Header6"/>
            </w:pPr>
            <w:r>
              <w:t xml:space="preserve">ESS3.A: Natural Resources </w:t>
            </w:r>
          </w:p>
          <w:p w14:paraId="5A578FBB" w14:textId="1D243E2A" w:rsidR="00A758CE" w:rsidRPr="00BC0808" w:rsidRDefault="00BC0808" w:rsidP="00592A1C">
            <w:pPr>
              <w:pStyle w:val="TableNumbers"/>
              <w:numPr>
                <w:ilvl w:val="0"/>
                <w:numId w:val="9"/>
              </w:numPr>
            </w:pPr>
            <w:r>
              <w:t>Humans depend on Earth’s land, ocean, atmosphere, and biosphere for many different resources. Minerals, fresh water, and biosphere resources are limited, and many are not renewable or replaceable over human lifetimes. These resources are distributed unevenly around the planet as a result of past geologic processes.</w:t>
            </w:r>
          </w:p>
        </w:tc>
        <w:tc>
          <w:tcPr>
            <w:tcW w:w="3515" w:type="dxa"/>
            <w:shd w:val="clear" w:color="auto" w:fill="auto"/>
          </w:tcPr>
          <w:p w14:paraId="3CEA1390" w14:textId="77777777" w:rsidR="00BC0808" w:rsidRDefault="00BC0808" w:rsidP="004C6308">
            <w:pPr>
              <w:pStyle w:val="Header6"/>
            </w:pPr>
            <w:r>
              <w:t xml:space="preserve">Cause and Effect </w:t>
            </w:r>
          </w:p>
          <w:p w14:paraId="7AFD5C91" w14:textId="2452DD45" w:rsidR="00BC0808" w:rsidRDefault="00BC0808" w:rsidP="00657350">
            <w:pPr>
              <w:pStyle w:val="TableBullets"/>
            </w:pPr>
            <w:r>
              <w:t xml:space="preserve">Cause and effect relationships may be used to predict phenomena in natural or designed systems. </w:t>
            </w:r>
          </w:p>
          <w:p w14:paraId="377BC0B9" w14:textId="5288D108" w:rsidR="00BC0808" w:rsidRDefault="007747A1" w:rsidP="007747A1">
            <w:pPr>
              <w:pStyle w:val="TableConnections"/>
            </w:pPr>
            <w:r>
              <w:t xml:space="preserve">Connections to </w:t>
            </w:r>
            <w:r w:rsidR="00BC0808">
              <w:t xml:space="preserve">Engineering, Technology, and Applications of Science </w:t>
            </w:r>
          </w:p>
          <w:p w14:paraId="219D4BC8" w14:textId="77777777" w:rsidR="00BC0808" w:rsidRDefault="00BC0808" w:rsidP="004C6308">
            <w:pPr>
              <w:pStyle w:val="Header6"/>
            </w:pPr>
            <w:r>
              <w:t xml:space="preserve">Influence of </w:t>
            </w:r>
            <w:r w:rsidRPr="00BC0808">
              <w:t>Science</w:t>
            </w:r>
            <w:r>
              <w:t xml:space="preserve">, Engineering, and Technology on Society and the Natural World </w:t>
            </w:r>
          </w:p>
          <w:p w14:paraId="4D7B7298" w14:textId="0352D532" w:rsidR="00BC0808" w:rsidRPr="00BC0808" w:rsidRDefault="00BC0808" w:rsidP="00BC0808">
            <w:pPr>
              <w:pStyle w:val="TableBullets"/>
            </w:pPr>
            <w:r>
              <w:t xml:space="preserve">All human activity draws on natural resources and has both short and long-term consequences, positive as well as negative, for the health of people and the natural environment. </w:t>
            </w:r>
          </w:p>
        </w:tc>
      </w:tr>
    </w:tbl>
    <w:p w14:paraId="48AF481A" w14:textId="77777777" w:rsidR="00283757" w:rsidRPr="0097285D" w:rsidRDefault="00283757" w:rsidP="00592A1C">
      <w:pPr>
        <w:pStyle w:val="Heading2"/>
      </w:pPr>
      <w:r w:rsidRPr="00592A1C">
        <w:t>Assessment</w:t>
      </w:r>
      <w:r w:rsidRPr="0097285D">
        <w:t xml:space="preserve"> Targets</w:t>
      </w:r>
    </w:p>
    <w:p w14:paraId="076DF3E0" w14:textId="77777777"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(hyperlink to </w:t>
      </w:r>
      <w:r w:rsidR="00AF6BE0">
        <w:t>section on explanation of assessment targets</w:t>
      </w:r>
      <w:r w:rsidR="00061F50">
        <w:t>)</w:t>
      </w:r>
      <w:r w:rsidR="0061242E">
        <w:t xml:space="preserve"> for a</w:t>
      </w:r>
      <w:r w:rsidR="00061F50">
        <w:t xml:space="preserve"> complete</w:t>
      </w:r>
      <w:r w:rsidR="0061242E">
        <w:t xml:space="preserve"> description of assessment targets</w:t>
      </w:r>
      <w:r w:rsidR="00FD6751">
        <w:t>.</w:t>
      </w:r>
    </w:p>
    <w:p w14:paraId="20319778"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298C87D3"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F436A18" w14:textId="27EAC724" w:rsidR="00283757" w:rsidRPr="00C10941" w:rsidRDefault="00BC0808" w:rsidP="00C10941">
      <w:pPr>
        <w:pStyle w:val="Subpractice-2"/>
      </w:pPr>
      <w:r w:rsidRPr="00BC0808">
        <w:t>6.1</w:t>
      </w:r>
      <w:r>
        <w:tab/>
      </w:r>
      <w:r w:rsidRPr="00BC0808">
        <w:t>Ability to construct explanations of phenomena</w:t>
      </w:r>
    </w:p>
    <w:p w14:paraId="2849D64A" w14:textId="77777777" w:rsidR="00283757" w:rsidRDefault="00283757" w:rsidP="00816022">
      <w:pPr>
        <w:pStyle w:val="Heading3"/>
        <w:keepLines w:val="0"/>
        <w:tabs>
          <w:tab w:val="right" w:pos="1440"/>
        </w:tabs>
        <w:spacing w:before="240" w:after="240"/>
      </w:pPr>
      <w:r>
        <w:lastRenderedPageBreak/>
        <w:t xml:space="preserve">Science and Engineering </w:t>
      </w:r>
      <w:r w:rsidRPr="00801596">
        <w:t>Subpractice Assessment Targets</w:t>
      </w:r>
    </w:p>
    <w:p w14:paraId="33AE97DF" w14:textId="77777777" w:rsidR="0061242E" w:rsidRPr="009F50CB" w:rsidRDefault="009F50CB" w:rsidP="00816022">
      <w:pPr>
        <w:pStyle w:val="ParagraphItalic"/>
        <w:keepNext/>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6CFCA28" w14:textId="0F03B624" w:rsidR="00BC0808" w:rsidRDefault="00BC0808" w:rsidP="00816022">
      <w:pPr>
        <w:pStyle w:val="Subpractice-3"/>
        <w:keepNext/>
      </w:pPr>
      <w:r>
        <w:t>6.1.1</w:t>
      </w:r>
      <w:r>
        <w:tab/>
        <w:t>Ability to construct quantitative and/or qualitative explanations of observed relationships</w:t>
      </w:r>
      <w:r w:rsidR="001D4B7A">
        <w:t xml:space="preserve"> based on valid and reliable evidence</w:t>
      </w:r>
    </w:p>
    <w:p w14:paraId="0C8B3774" w14:textId="77777777" w:rsidR="00BC0808" w:rsidRDefault="00BC0808" w:rsidP="00816022">
      <w:pPr>
        <w:pStyle w:val="Subpractice-3"/>
        <w:keepNext/>
      </w:pPr>
      <w:r>
        <w:t>6.1.2</w:t>
      </w:r>
      <w:r>
        <w:tab/>
        <w:t>Ability to apply scientific concepts, principles, theories, and big ideas to construct an explanation of a real-world phenomenon</w:t>
      </w:r>
    </w:p>
    <w:p w14:paraId="4C050853" w14:textId="53DB053A" w:rsidR="00283757" w:rsidRPr="00C10941" w:rsidRDefault="00BC0808" w:rsidP="00816022">
      <w:pPr>
        <w:pStyle w:val="Subpractice-3"/>
        <w:keepNext/>
      </w:pPr>
      <w:r>
        <w:t>6.1.3</w:t>
      </w:r>
      <w:r>
        <w:tab/>
        <w:t>Ability to use models and representations in scientific explanations</w:t>
      </w:r>
    </w:p>
    <w:p w14:paraId="781D2879"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481DBB23" w14:textId="0989E76A" w:rsidR="00726052" w:rsidRPr="000062A8" w:rsidRDefault="00BC0808" w:rsidP="000062A8">
      <w:pPr>
        <w:pStyle w:val="Heading4"/>
        <w:ind w:left="389"/>
        <w:rPr>
          <w:b w:val="0"/>
        </w:rPr>
      </w:pPr>
      <w:r w:rsidRPr="000062A8">
        <w:rPr>
          <w:b w:val="0"/>
        </w:rPr>
        <w:t>ESS3.A.3</w:t>
      </w:r>
    </w:p>
    <w:p w14:paraId="39B66245" w14:textId="16334654" w:rsidR="00BC0808" w:rsidRDefault="00BC0808" w:rsidP="00461325">
      <w:pPr>
        <w:pStyle w:val="DashedBullets"/>
        <w:ind w:left="1800"/>
      </w:pPr>
      <w:r>
        <w:t>Attribute the uneven distribution of Earth’s nonrenewable resources to past and present geoscience processes</w:t>
      </w:r>
    </w:p>
    <w:p w14:paraId="24E4B2DB" w14:textId="5FA56705" w:rsidR="00BC0808" w:rsidRDefault="00BC0808" w:rsidP="00461325">
      <w:pPr>
        <w:pStyle w:val="DashedBullets"/>
        <w:ind w:left="1800"/>
      </w:pPr>
      <w:r>
        <w:t>Identify geoscience processes, such as plate movements and weathering/deposition, which result in the formation of Earth’s nonrenewable resources</w:t>
      </w:r>
    </w:p>
    <w:p w14:paraId="74AE4177" w14:textId="676E21BA" w:rsidR="00BC0808" w:rsidRDefault="00BC0808" w:rsidP="00461325">
      <w:pPr>
        <w:pStyle w:val="DashedBullets"/>
        <w:ind w:left="1800"/>
      </w:pPr>
      <w:r>
        <w:t>Define nonrenewable resources as resources that are produced very slowly relative to a time period of interest or only in specific circumstances that occur rarely (including just once in Earth’s past)</w:t>
      </w:r>
    </w:p>
    <w:p w14:paraId="5C125E20" w14:textId="0710C087" w:rsidR="00BC0808" w:rsidRDefault="00BC0808" w:rsidP="00461325">
      <w:pPr>
        <w:pStyle w:val="DashedBullets"/>
        <w:ind w:left="1800"/>
      </w:pPr>
      <w:r>
        <w:t>Describe technologies that enable extraction of nonrenewable resources</w:t>
      </w:r>
    </w:p>
    <w:p w14:paraId="11A69F5F" w14:textId="28B6BA5C" w:rsidR="00283757" w:rsidRPr="00C10941" w:rsidRDefault="00BC0808" w:rsidP="00461325">
      <w:pPr>
        <w:pStyle w:val="DashedBullets"/>
        <w:ind w:left="1800"/>
      </w:pPr>
      <w:r>
        <w:t>Describe trends in nonrenewable resource extraction in terms of rate of usage and finite availability</w:t>
      </w:r>
    </w:p>
    <w:p w14:paraId="403CCB44"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774EBBAD" w14:textId="1EBBC52A" w:rsidR="000A196B" w:rsidRDefault="00BC0808" w:rsidP="00C10941">
      <w:pPr>
        <w:pStyle w:val="CrossCuttingTargets"/>
        <w:rPr>
          <w:lang w:eastAsia="ko-KR"/>
        </w:rPr>
      </w:pPr>
      <w:r w:rsidRPr="00BC0808">
        <w:t>CCC2</w:t>
      </w:r>
      <w:r>
        <w:tab/>
      </w:r>
      <w:r w:rsidRPr="00BC0808">
        <w:t>Use cause and effect relationships to predict phenomena in natural or designed systems</w:t>
      </w:r>
    </w:p>
    <w:p w14:paraId="2282E318" w14:textId="77777777" w:rsidR="000A196B" w:rsidRDefault="000A196B" w:rsidP="007747A1">
      <w:pPr>
        <w:pStyle w:val="Heading2"/>
        <w:keepLines/>
        <w:rPr>
          <w:i/>
          <w:szCs w:val="24"/>
        </w:rPr>
      </w:pPr>
      <w:r w:rsidRPr="00935CE2">
        <w:rPr>
          <w:lang w:eastAsia="ko-KR"/>
        </w:rPr>
        <w:lastRenderedPageBreak/>
        <w:t>Examples of Integration of Assessment Targets and Evidence</w:t>
      </w:r>
    </w:p>
    <w:p w14:paraId="124EE451" w14:textId="77777777" w:rsidR="00CE5AB8" w:rsidRPr="00B63D23" w:rsidRDefault="00CE5AB8" w:rsidP="007747A1">
      <w:pPr>
        <w:pStyle w:val="ParagraphItalic"/>
        <w:keepNext/>
        <w:keepLines/>
      </w:pPr>
      <w:r>
        <w:t>Note that the list in this section is not exhaustive.</w:t>
      </w:r>
    </w:p>
    <w:p w14:paraId="22BB1114" w14:textId="77777777" w:rsidR="00BC0808" w:rsidRDefault="00BC0808">
      <w:pPr>
        <w:pStyle w:val="Paragraph"/>
      </w:pPr>
      <w:r>
        <w:t>Task provides a map of plate boundaries and the global distribution of a nonrenewable Earth resource:</w:t>
      </w:r>
    </w:p>
    <w:p w14:paraId="7D8AFEC2" w14:textId="77777777" w:rsidR="00BC0808" w:rsidRDefault="00BC0808" w:rsidP="00BC0808">
      <w:pPr>
        <w:pStyle w:val="DashedBullets"/>
      </w:pPr>
      <w:r>
        <w:t>Makes a claim that attributes the distribution of the resource to past/current geoscience processes (6.1.1, ESS3.A.3, and CCC2)</w:t>
      </w:r>
    </w:p>
    <w:p w14:paraId="585C5827" w14:textId="77777777" w:rsidR="00BC0808" w:rsidRDefault="00BC0808" w:rsidP="00BC0808">
      <w:pPr>
        <w:pStyle w:val="DashedBullets"/>
      </w:pPr>
      <w:r>
        <w:t>Describes the evidence that supports the claim (6.1.1, ESS3.A.3, and CCC2)</w:t>
      </w:r>
    </w:p>
    <w:p w14:paraId="69AEBDC9" w14:textId="6F1F5E2F" w:rsidR="00BC0808" w:rsidRDefault="00BC0808" w:rsidP="00BC0808">
      <w:pPr>
        <w:pStyle w:val="DashedBullets"/>
      </w:pPr>
      <w:r>
        <w:t>Provides reasoning that links the evidence to the claim (6.1.1, ESS3.A.3, and CCC2)</w:t>
      </w:r>
    </w:p>
    <w:p w14:paraId="216D1555" w14:textId="201A9063" w:rsidR="00D820D6" w:rsidRDefault="00D820D6" w:rsidP="00D820D6">
      <w:pPr>
        <w:pStyle w:val="DashedBullets"/>
      </w:pPr>
      <w:r>
        <w:t>Develops a model of plate movements to explain how the distribution of the resource resulted from the plate movements (6.1.3, ESS3.A.3, and CCC2)</w:t>
      </w:r>
    </w:p>
    <w:p w14:paraId="6FB3BE41" w14:textId="77777777" w:rsidR="00BC0808" w:rsidRDefault="00BC0808" w:rsidP="00BC0808">
      <w:pPr>
        <w:pStyle w:val="Paragraph"/>
      </w:pPr>
      <w:r>
        <w:t>Task provides a claim that attributes the global distribution of a nonrenewable Earth resource to past/current geoscience process(es):</w:t>
      </w:r>
    </w:p>
    <w:p w14:paraId="5D96B594" w14:textId="77777777" w:rsidR="00BC0808" w:rsidRDefault="00BC0808" w:rsidP="00BC0808">
      <w:pPr>
        <w:pStyle w:val="DashedBullets"/>
      </w:pPr>
      <w:r>
        <w:t>Uses scientific concepts (e.g., force), principles (e.g., crosscutting relationships), theories (e.g., plate tectonics), and big ideas (e.g., energy) to explain how the evidence supports the claim (6.1.2, ESS3.A.3, and CCC2)</w:t>
      </w:r>
    </w:p>
    <w:p w14:paraId="79C0D33E" w14:textId="77777777" w:rsidR="00BC0808" w:rsidRDefault="00BC0808" w:rsidP="00BC0808">
      <w:pPr>
        <w:pStyle w:val="Paragraph"/>
      </w:pPr>
      <w:r>
        <w:t>Task provides a map of plate boundaries and the global distribution of a nonrenewable Earth resource in conjunction with a model of plate tectonics:</w:t>
      </w:r>
    </w:p>
    <w:p w14:paraId="7574E19D" w14:textId="77777777" w:rsidR="00BC0808" w:rsidRDefault="00BC0808" w:rsidP="00BC0808">
      <w:pPr>
        <w:pStyle w:val="DashedBullets"/>
      </w:pPr>
      <w:r>
        <w:t>Uses the model to construct an explanation for how the distribution of the resource resulted from the plate movements (6.1.3, ESS3.A.3, and CCC2)</w:t>
      </w:r>
    </w:p>
    <w:p w14:paraId="5DA88CCE" w14:textId="13B31CA9" w:rsidR="00282630" w:rsidRPr="001D6620" w:rsidRDefault="002D6707" w:rsidP="0097285D">
      <w:pPr>
        <w:pStyle w:val="Heading2"/>
      </w:pPr>
      <w:r>
        <w:t xml:space="preserve">California </w:t>
      </w:r>
      <w:r w:rsidR="00282630" w:rsidRPr="001D6620">
        <w:t>Environmental Principle</w:t>
      </w:r>
      <w:r w:rsidR="00282630">
        <w:t>s and Concepts</w:t>
      </w:r>
    </w:p>
    <w:p w14:paraId="59E3A265" w14:textId="52CA1C36" w:rsidR="00BC0808" w:rsidRDefault="00BC0808" w:rsidP="00BC0808">
      <w:pPr>
        <w:pStyle w:val="DashedBullets"/>
      </w:pPr>
      <w:r>
        <w:t>EP1: The continuation and health of individual human lives and of human communities and societies depend on the health of the natural systems that provide essential goods and ecosystem services.</w:t>
      </w:r>
    </w:p>
    <w:p w14:paraId="262E9547" w14:textId="0CD9E4D8" w:rsidR="00282630" w:rsidRPr="001B57B9" w:rsidRDefault="00BC0808" w:rsidP="00BC0808">
      <w:pPr>
        <w:pStyle w:val="DashedBullets"/>
      </w:pPr>
      <w:r>
        <w:t>EP2: The long-term functioning and health of terrestrial, freshwater, coastal, and marine ecosystems are influenced by their relationships with human societies.</w:t>
      </w:r>
    </w:p>
    <w:p w14:paraId="6421817C" w14:textId="77777777" w:rsidR="00CE5AB8" w:rsidRPr="00B63D23" w:rsidRDefault="00FE4E50" w:rsidP="0097285D">
      <w:pPr>
        <w:pStyle w:val="Heading2"/>
      </w:pPr>
      <w:r w:rsidRPr="00510C04">
        <w:t>Possible Phenomena or Contexts</w:t>
      </w:r>
    </w:p>
    <w:p w14:paraId="747150D4" w14:textId="77777777" w:rsidR="00FE4E50" w:rsidRPr="00B63D23" w:rsidRDefault="00CE5AB8" w:rsidP="00AB7B8F">
      <w:pPr>
        <w:pStyle w:val="ParagraphItalic"/>
      </w:pPr>
      <w:r>
        <w:t>Note that the list in this section is not exhaustive.</w:t>
      </w:r>
    </w:p>
    <w:p w14:paraId="77E82B93" w14:textId="49A23467" w:rsidR="00BC0808" w:rsidRDefault="14422702" w:rsidP="00BC0808">
      <w:pPr>
        <w:pStyle w:val="DashedBullets"/>
      </w:pPr>
      <w:r>
        <w:t>D</w:t>
      </w:r>
      <w:r w:rsidR="5F5F4512">
        <w:t>istribution</w:t>
      </w:r>
      <w:r w:rsidR="3FC0128A">
        <w:t>, geologic history</w:t>
      </w:r>
      <w:r w:rsidR="001D24E2">
        <w:t>,</w:t>
      </w:r>
      <w:r w:rsidR="3FC0128A">
        <w:t xml:space="preserve"> and formation</w:t>
      </w:r>
      <w:r w:rsidR="5F5F4512">
        <w:t xml:space="preserve"> of available resources:</w:t>
      </w:r>
    </w:p>
    <w:p w14:paraId="76A9420A" w14:textId="77777777" w:rsidR="00BC0808" w:rsidRDefault="00BC0808" w:rsidP="00CD3CA9">
      <w:pPr>
        <w:pStyle w:val="DashedBullets"/>
        <w:numPr>
          <w:ilvl w:val="1"/>
          <w:numId w:val="10"/>
        </w:numPr>
        <w:ind w:left="1080"/>
      </w:pPr>
      <w:r>
        <w:t xml:space="preserve">Arable soils or soil formations </w:t>
      </w:r>
    </w:p>
    <w:p w14:paraId="56577962" w14:textId="77777777" w:rsidR="00BC0808" w:rsidRDefault="00BC0808" w:rsidP="00CD3CA9">
      <w:pPr>
        <w:pStyle w:val="DashedBullets"/>
        <w:numPr>
          <w:ilvl w:val="1"/>
          <w:numId w:val="10"/>
        </w:numPr>
        <w:ind w:left="1080"/>
      </w:pPr>
      <w:r>
        <w:lastRenderedPageBreak/>
        <w:t>Fossil fuels</w:t>
      </w:r>
    </w:p>
    <w:p w14:paraId="74D89943" w14:textId="77777777" w:rsidR="00BC0808" w:rsidRDefault="5F5F4512" w:rsidP="00CD3CA9">
      <w:pPr>
        <w:pStyle w:val="DashedBullets"/>
        <w:numPr>
          <w:ilvl w:val="1"/>
          <w:numId w:val="10"/>
        </w:numPr>
        <w:ind w:left="1080"/>
      </w:pPr>
      <w:r>
        <w:t>Freshwater aquifers</w:t>
      </w:r>
    </w:p>
    <w:p w14:paraId="1230558D" w14:textId="2A26D9CB" w:rsidR="74AC7E85" w:rsidRDefault="74AC7E85" w:rsidP="00CD3CA9">
      <w:pPr>
        <w:pStyle w:val="DashedBullets"/>
        <w:numPr>
          <w:ilvl w:val="1"/>
          <w:numId w:val="10"/>
        </w:numPr>
        <w:ind w:left="1080"/>
      </w:pPr>
      <w:r w:rsidRPr="2BCCCB2E">
        <w:rPr>
          <w:rFonts w:eastAsia="Calibri"/>
          <w:szCs w:val="24"/>
        </w:rPr>
        <w:t>Hardwood forests</w:t>
      </w:r>
    </w:p>
    <w:p w14:paraId="347C986D" w14:textId="1DCB08AF" w:rsidR="00BC0808" w:rsidRDefault="00592A1C" w:rsidP="00BC0808">
      <w:pPr>
        <w:pStyle w:val="DashedBullets"/>
      </w:pPr>
      <w:r>
        <w:t>G</w:t>
      </w:r>
      <w:r w:rsidR="00BC0808">
        <w:t>eologic history and formation of nonrenewable resources</w:t>
      </w:r>
    </w:p>
    <w:p w14:paraId="635405E3" w14:textId="77777777" w:rsidR="00CE5AB8" w:rsidRPr="00B63D23" w:rsidRDefault="00FE4E50" w:rsidP="0097285D">
      <w:pPr>
        <w:pStyle w:val="Heading2"/>
      </w:pPr>
      <w:r>
        <w:t>Common Misconceptions</w:t>
      </w:r>
    </w:p>
    <w:p w14:paraId="2972BC6B" w14:textId="77777777" w:rsidR="00FE4E50" w:rsidRPr="00B63D23" w:rsidRDefault="00CE5AB8" w:rsidP="00110730">
      <w:pPr>
        <w:pStyle w:val="ParagraphItalic"/>
      </w:pPr>
      <w:r>
        <w:t>Note that the list in this section is not exhaustive.</w:t>
      </w:r>
    </w:p>
    <w:p w14:paraId="51933D09" w14:textId="77777777" w:rsidR="00BC0808" w:rsidRDefault="00BC0808" w:rsidP="00BC0808">
      <w:pPr>
        <w:pStyle w:val="DashedBullets"/>
      </w:pPr>
      <w:r>
        <w:t>Resources are equally distributed across regions of similar visual characteristics.</w:t>
      </w:r>
    </w:p>
    <w:p w14:paraId="31B31E60" w14:textId="189975E3" w:rsidR="00FE4E50" w:rsidRPr="00B05F41" w:rsidRDefault="00BC0808" w:rsidP="00BC0808">
      <w:pPr>
        <w:pStyle w:val="DashedBullets"/>
      </w:pPr>
      <w:r>
        <w:t>Human activity does not have a significant impact on nonrenewable resource availability.</w:t>
      </w:r>
    </w:p>
    <w:p w14:paraId="3FB3ABD2" w14:textId="72F236E0" w:rsidR="3B898DDE" w:rsidRDefault="3B898DDE" w:rsidP="2F6F2C27">
      <w:pPr>
        <w:pStyle w:val="DashedBullets"/>
        <w:rPr>
          <w:rFonts w:eastAsia="Calibri"/>
          <w:szCs w:val="24"/>
        </w:rPr>
      </w:pPr>
      <w:r w:rsidRPr="2F6F2C27">
        <w:rPr>
          <w:rFonts w:eastAsia="Calibri"/>
          <w:szCs w:val="24"/>
        </w:rPr>
        <w:t>All resource extraction by humans is unsustainable.</w:t>
      </w:r>
    </w:p>
    <w:p w14:paraId="3FA129FB" w14:textId="77777777" w:rsidR="00FE4E50" w:rsidRPr="00510C04" w:rsidRDefault="00FE4E50" w:rsidP="00A814B3">
      <w:pPr>
        <w:pStyle w:val="Heading2"/>
        <w:keepNext w:val="0"/>
      </w:pPr>
      <w:r w:rsidRPr="00510C04">
        <w:t>Additional Assessment Boundaries</w:t>
      </w:r>
    </w:p>
    <w:p w14:paraId="24D46B9C" w14:textId="77777777" w:rsidR="00FE4E50" w:rsidRDefault="009F069F" w:rsidP="00A814B3">
      <w:pPr>
        <w:pStyle w:val="Paragraph"/>
        <w:keepNext w:val="0"/>
        <w:rPr>
          <w:lang w:eastAsia="ko-KR"/>
        </w:rPr>
      </w:pPr>
      <w:r w:rsidRPr="009F069F">
        <w:rPr>
          <w:lang w:eastAsia="ko-KR"/>
        </w:rPr>
        <w:t>None listed at this time.</w:t>
      </w:r>
    </w:p>
    <w:p w14:paraId="043108F5" w14:textId="77777777" w:rsidR="00FE4E50" w:rsidRDefault="00FE4E50" w:rsidP="0097285D">
      <w:pPr>
        <w:pStyle w:val="Heading2"/>
      </w:pPr>
      <w:r>
        <w:t>Additional References</w:t>
      </w:r>
    </w:p>
    <w:p w14:paraId="452AE1E5" w14:textId="2A1AFD54" w:rsidR="00286AB9" w:rsidRDefault="00BC0808" w:rsidP="0092682A">
      <w:pPr>
        <w:pStyle w:val="Paragraph"/>
        <w:rPr>
          <w:rStyle w:val="Hyperlink"/>
          <w:bCs/>
          <w:color w:val="auto"/>
          <w:u w:val="none"/>
        </w:rPr>
      </w:pPr>
      <w:r w:rsidRPr="00E51D7A">
        <w:t>MS-ESS3-1 Evidence Statement</w:t>
      </w:r>
      <w:r w:rsidR="0092682A" w:rsidRPr="0092682A">
        <w:t xml:space="preserve"> </w:t>
      </w:r>
      <w:hyperlink r:id="rId9" w:tooltip="MS-ESS3-1 Evidence Statement web document" w:history="1">
        <w:r w:rsidR="00E51D7A" w:rsidRPr="00E51D7A">
          <w:rPr>
            <w:rStyle w:val="Hyperlink"/>
            <w:bCs/>
          </w:rPr>
          <w:t>https://www.nextgenscience.org/sites/default/files/evidence_statement/black_white/MS-ESS3-1 Evidence Statements June 2015 asterisks.pdf</w:t>
        </w:r>
      </w:hyperlink>
    </w:p>
    <w:p w14:paraId="6F874D64" w14:textId="16377264" w:rsidR="00E51D7A" w:rsidRPr="009258F0" w:rsidRDefault="007B098D" w:rsidP="00E51D7A">
      <w:pPr>
        <w:pStyle w:val="Paragraph"/>
      </w:pPr>
      <w:r>
        <w:t xml:space="preserve">California </w:t>
      </w:r>
      <w:r w:rsidR="00E51D7A" w:rsidRPr="009258F0">
        <w:t xml:space="preserve">Environmental Principles and Concepts </w:t>
      </w:r>
      <w:hyperlink r:id="rId10" w:tooltip="Environmental Principles and Concepts web page" w:history="1">
        <w:r w:rsidR="00E51D7A" w:rsidRPr="003760B9">
          <w:rPr>
            <w:rStyle w:val="Hyperlink"/>
          </w:rPr>
          <w:t>http://californiaeei.org/abouteei/epc/</w:t>
        </w:r>
      </w:hyperlink>
    </w:p>
    <w:p w14:paraId="34B0F6A8" w14:textId="77777777" w:rsidR="00E51D7A" w:rsidRPr="009258F0" w:rsidRDefault="00E51D7A" w:rsidP="00E51D7A">
      <w:pPr>
        <w:pStyle w:val="Paragraph"/>
        <w:keepNext w:val="0"/>
        <w:keepLines w:val="0"/>
      </w:pPr>
      <w:r w:rsidRPr="009258F0">
        <w:t>California Education and the Environment Initiative</w:t>
      </w:r>
      <w:r>
        <w:t xml:space="preserve"> </w:t>
      </w:r>
      <w:hyperlink r:id="rId11" w:tooltip="California Education and the Environment Initiative web page" w:history="1">
        <w:r w:rsidRPr="0082689C">
          <w:rPr>
            <w:rStyle w:val="Hyperlink"/>
          </w:rPr>
          <w:t>http://californiaeei.org/</w:t>
        </w:r>
      </w:hyperlink>
    </w:p>
    <w:p w14:paraId="03F3524B" w14:textId="77777777" w:rsidR="00E51D7A" w:rsidRDefault="00E51D7A" w:rsidP="00E51D7A">
      <w:pPr>
        <w:keepNext/>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8A8B0C2" w14:textId="77777777" w:rsidR="00E51D7A" w:rsidRPr="00DE6E87" w:rsidRDefault="00E51D7A" w:rsidP="00503FEC">
      <w:pPr>
        <w:pStyle w:val="ScienceFrameworkLinks"/>
        <w:keepNext/>
        <w:ind w:left="0"/>
      </w:pPr>
      <w:r w:rsidRPr="00DE6E87">
        <w:t>Appendix 1: Progression of the Science and Engineering Practices, Disciplinary Core Ideas, and Crosscutting Concepts in Kindergarten through Grade 12</w:t>
      </w:r>
      <w:r>
        <w:t xml:space="preserve"> </w:t>
      </w:r>
      <w:hyperlink r:id="rId12"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6A91CE14" w14:textId="162A49C9" w:rsidR="00E51D7A" w:rsidRDefault="00E51D7A" w:rsidP="00503FEC">
      <w:pPr>
        <w:pStyle w:val="ScienceFrameworkLinks"/>
        <w:ind w:left="0"/>
        <w:rPr>
          <w:color w:val="000000"/>
        </w:rPr>
      </w:pPr>
      <w:r w:rsidRPr="00DE6E87">
        <w:t xml:space="preserve">Appendix 2: Connections to </w:t>
      </w:r>
      <w:r w:rsidR="007B098D">
        <w:t xml:space="preserve">California </w:t>
      </w:r>
      <w:r w:rsidRPr="00DE6E87">
        <w:t>Environmental Principles and Concepts</w:t>
      </w:r>
      <w:r>
        <w:t xml:space="preserve"> </w:t>
      </w:r>
      <w:hyperlink r:id="rId13" w:tooltip="Appendix 2 to the Science Framework: Progression of the Science and Engineering Practices, Disciplinary Core Ideas, and Crosscutting Concepts in Kindergarten through Grade 12 web document" w:history="1">
        <w:r w:rsidRPr="00DE6E87">
          <w:rPr>
            <w:rStyle w:val="Hyperlink"/>
            <w:i w:val="0"/>
          </w:rPr>
          <w:t>https://www.cde.ca.gov/ci/sc/cf/documents/scifwappendix2.pdf</w:t>
        </w:r>
      </w:hyperlink>
    </w:p>
    <w:p w14:paraId="2652D0F3" w14:textId="6C8C8B3F" w:rsidR="00BC0808" w:rsidRPr="00592A1C" w:rsidRDefault="006218BE" w:rsidP="009C2D15">
      <w:pPr>
        <w:pStyle w:val="ScienceFrameworkLinks"/>
        <w:spacing w:before="600"/>
        <w:ind w:left="446" w:hanging="446"/>
        <w:rPr>
          <w:lang w:eastAsia="ko-KR"/>
        </w:rPr>
      </w:pPr>
      <w:r>
        <w:rPr>
          <w:lang w:eastAsia="ko-KR"/>
        </w:rPr>
        <w:t>Posted by the California Department of Education, March 2021</w:t>
      </w:r>
      <w:r w:rsidR="0008663C">
        <w:rPr>
          <w:lang w:eastAsia="ko-KR"/>
        </w:rPr>
        <w:t xml:space="preserve"> </w:t>
      </w:r>
      <w:r w:rsidR="0008663C" w:rsidRPr="0008663C">
        <w:rPr>
          <w:lang w:eastAsia="ko-KR"/>
        </w:rPr>
        <w:t>(updated February 2024)</w:t>
      </w:r>
    </w:p>
    <w:sectPr w:rsidR="00BC0808" w:rsidRPr="00592A1C" w:rsidSect="004151D4">
      <w:headerReference w:type="default" r:id="rId14"/>
      <w:footerReference w:type="default" r:id="rId15"/>
      <w:headerReference w:type="first" r:id="rId16"/>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927F" w14:textId="77777777" w:rsidR="004151D4" w:rsidRDefault="004151D4" w:rsidP="007525D5">
      <w:r>
        <w:separator/>
      </w:r>
    </w:p>
  </w:endnote>
  <w:endnote w:type="continuationSeparator" w:id="0">
    <w:p w14:paraId="55C175C6" w14:textId="77777777" w:rsidR="004151D4" w:rsidRDefault="004151D4" w:rsidP="007525D5">
      <w:r>
        <w:continuationSeparator/>
      </w:r>
    </w:p>
  </w:endnote>
  <w:endnote w:type="continuationNotice" w:id="1">
    <w:p w14:paraId="3E301343" w14:textId="77777777" w:rsidR="004151D4" w:rsidRDefault="004151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2DA"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657350">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4539" w14:textId="77777777" w:rsidR="004151D4" w:rsidRDefault="004151D4" w:rsidP="007525D5">
      <w:r>
        <w:separator/>
      </w:r>
    </w:p>
  </w:footnote>
  <w:footnote w:type="continuationSeparator" w:id="0">
    <w:p w14:paraId="35837B39" w14:textId="77777777" w:rsidR="004151D4" w:rsidRDefault="004151D4" w:rsidP="007525D5">
      <w:r>
        <w:continuationSeparator/>
      </w:r>
    </w:p>
  </w:footnote>
  <w:footnote w:type="continuationNotice" w:id="1">
    <w:p w14:paraId="7AF4A614" w14:textId="77777777" w:rsidR="004151D4" w:rsidRDefault="004151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70CC" w14:textId="77777777" w:rsidR="00007CC7" w:rsidRDefault="00007CC7" w:rsidP="00BB08C4">
    <w:pPr>
      <w:pStyle w:val="Header"/>
      <w:tabs>
        <w:tab w:val="clear" w:pos="4680"/>
      </w:tabs>
      <w:spacing w:after="0"/>
      <w:jc w:val="left"/>
    </w:pPr>
    <w:r>
      <w:rPr>
        <w:noProof/>
        <w:lang w:eastAsia="en-US"/>
      </w:rPr>
      <w:drawing>
        <wp:inline distT="0" distB="0" distL="0" distR="0" wp14:anchorId="675F40EC" wp14:editId="4C4A83F0">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4D61760" w14:textId="296427F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8663C">
      <w:rPr>
        <w:noProof/>
      </w:rPr>
      <w:t>MS-ESS3-1 Earth and Human Activity</w:t>
    </w:r>
    <w:r>
      <w:rPr>
        <w:noProof/>
      </w:rPr>
      <w:fldChar w:fldCharType="end"/>
    </w:r>
  </w:p>
  <w:p w14:paraId="544BB2D6" w14:textId="0317ECDE" w:rsidR="00007CC7" w:rsidRPr="00BB08C4" w:rsidRDefault="00007CC7" w:rsidP="00600F38">
    <w:pPr>
      <w:pStyle w:val="Header"/>
      <w:tabs>
        <w:tab w:val="clear" w:pos="4680"/>
      </w:tabs>
      <w:spacing w:after="240"/>
    </w:pPr>
    <w:r w:rsidRPr="00B63D23">
      <w:t xml:space="preserve">California Science Test—Item </w:t>
    </w:r>
    <w:r w:rsidR="00726052">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BDFB" w14:textId="77777777" w:rsidR="004C6308" w:rsidRDefault="004C6308" w:rsidP="004C630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D73"/>
    <w:multiLevelType w:val="hybridMultilevel"/>
    <w:tmpl w:val="5E28A10C"/>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52C63"/>
    <w:multiLevelType w:val="hybridMultilevel"/>
    <w:tmpl w:val="B1CC4AFE"/>
    <w:lvl w:ilvl="0" w:tplc="841CA26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2795164">
    <w:abstractNumId w:val="2"/>
  </w:num>
  <w:num w:numId="2" w16cid:durableId="170995547">
    <w:abstractNumId w:val="3"/>
  </w:num>
  <w:num w:numId="3" w16cid:durableId="947783950">
    <w:abstractNumId w:val="4"/>
  </w:num>
  <w:num w:numId="4" w16cid:durableId="1174225428">
    <w:abstractNumId w:val="1"/>
  </w:num>
  <w:num w:numId="5" w16cid:durableId="488403804">
    <w:abstractNumId w:val="5"/>
  </w:num>
  <w:num w:numId="6" w16cid:durableId="64034410">
    <w:abstractNumId w:val="6"/>
  </w:num>
  <w:num w:numId="7" w16cid:durableId="1807501657">
    <w:abstractNumId w:val="9"/>
  </w:num>
  <w:num w:numId="8" w16cid:durableId="726878947">
    <w:abstractNumId w:val="7"/>
  </w:num>
  <w:num w:numId="9" w16cid:durableId="1964191744">
    <w:abstractNumId w:val="8"/>
  </w:num>
  <w:num w:numId="10" w16cid:durableId="17170493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rOwMDW0NLEwMzJQ0lEKTi0uzszPAykwrAUAOZIvvywAAAA="/>
  </w:docVars>
  <w:rsids>
    <w:rsidRoot w:val="009E18D3"/>
    <w:rsid w:val="0000426C"/>
    <w:rsid w:val="000062A8"/>
    <w:rsid w:val="00007CC7"/>
    <w:rsid w:val="0001622A"/>
    <w:rsid w:val="0001669B"/>
    <w:rsid w:val="000205F6"/>
    <w:rsid w:val="000221B6"/>
    <w:rsid w:val="000340F0"/>
    <w:rsid w:val="0003613C"/>
    <w:rsid w:val="000418D5"/>
    <w:rsid w:val="000436DD"/>
    <w:rsid w:val="00061F50"/>
    <w:rsid w:val="00062272"/>
    <w:rsid w:val="00064632"/>
    <w:rsid w:val="00066436"/>
    <w:rsid w:val="0006727D"/>
    <w:rsid w:val="00084713"/>
    <w:rsid w:val="0008663C"/>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77F2F"/>
    <w:rsid w:val="001836CB"/>
    <w:rsid w:val="0018548F"/>
    <w:rsid w:val="001867B0"/>
    <w:rsid w:val="00187427"/>
    <w:rsid w:val="001A1417"/>
    <w:rsid w:val="001A3EDF"/>
    <w:rsid w:val="001A6986"/>
    <w:rsid w:val="001B0AD0"/>
    <w:rsid w:val="001B70C6"/>
    <w:rsid w:val="001C42B3"/>
    <w:rsid w:val="001D24E2"/>
    <w:rsid w:val="001D4B7A"/>
    <w:rsid w:val="001D6620"/>
    <w:rsid w:val="001E29AA"/>
    <w:rsid w:val="001F170D"/>
    <w:rsid w:val="002023A3"/>
    <w:rsid w:val="002035F3"/>
    <w:rsid w:val="00205B4A"/>
    <w:rsid w:val="00205B5E"/>
    <w:rsid w:val="00211916"/>
    <w:rsid w:val="00221A7E"/>
    <w:rsid w:val="002243CE"/>
    <w:rsid w:val="00234451"/>
    <w:rsid w:val="00235F69"/>
    <w:rsid w:val="00246550"/>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D6707"/>
    <w:rsid w:val="002F3BF0"/>
    <w:rsid w:val="002F3C11"/>
    <w:rsid w:val="002F4F34"/>
    <w:rsid w:val="002F510B"/>
    <w:rsid w:val="002F7649"/>
    <w:rsid w:val="00332884"/>
    <w:rsid w:val="00333D44"/>
    <w:rsid w:val="0033671D"/>
    <w:rsid w:val="0033700D"/>
    <w:rsid w:val="003470DC"/>
    <w:rsid w:val="0036567B"/>
    <w:rsid w:val="0037623A"/>
    <w:rsid w:val="00386C80"/>
    <w:rsid w:val="003902B4"/>
    <w:rsid w:val="003B5FD4"/>
    <w:rsid w:val="003B6084"/>
    <w:rsid w:val="003C6678"/>
    <w:rsid w:val="003D2F97"/>
    <w:rsid w:val="003D74A5"/>
    <w:rsid w:val="00402B58"/>
    <w:rsid w:val="0041407C"/>
    <w:rsid w:val="004151D4"/>
    <w:rsid w:val="00415CF9"/>
    <w:rsid w:val="00446598"/>
    <w:rsid w:val="004536BF"/>
    <w:rsid w:val="00453737"/>
    <w:rsid w:val="00460430"/>
    <w:rsid w:val="00461325"/>
    <w:rsid w:val="004625B8"/>
    <w:rsid w:val="00467F7C"/>
    <w:rsid w:val="00470071"/>
    <w:rsid w:val="00473130"/>
    <w:rsid w:val="004736E8"/>
    <w:rsid w:val="00477B8D"/>
    <w:rsid w:val="00480BA2"/>
    <w:rsid w:val="00487068"/>
    <w:rsid w:val="00490B48"/>
    <w:rsid w:val="004A616D"/>
    <w:rsid w:val="004B61C1"/>
    <w:rsid w:val="004C6308"/>
    <w:rsid w:val="004E5C17"/>
    <w:rsid w:val="004F51E9"/>
    <w:rsid w:val="00503FEC"/>
    <w:rsid w:val="005105BA"/>
    <w:rsid w:val="00510611"/>
    <w:rsid w:val="00543833"/>
    <w:rsid w:val="00543F29"/>
    <w:rsid w:val="005563AE"/>
    <w:rsid w:val="005606EA"/>
    <w:rsid w:val="00561DAB"/>
    <w:rsid w:val="00562081"/>
    <w:rsid w:val="00563123"/>
    <w:rsid w:val="005744A7"/>
    <w:rsid w:val="00583B72"/>
    <w:rsid w:val="00586A0D"/>
    <w:rsid w:val="00592A1C"/>
    <w:rsid w:val="005A09DA"/>
    <w:rsid w:val="005C5274"/>
    <w:rsid w:val="005D7B3B"/>
    <w:rsid w:val="005E0E95"/>
    <w:rsid w:val="005E546B"/>
    <w:rsid w:val="005F46A7"/>
    <w:rsid w:val="00600F38"/>
    <w:rsid w:val="00602B92"/>
    <w:rsid w:val="00603FE2"/>
    <w:rsid w:val="0061242E"/>
    <w:rsid w:val="00614922"/>
    <w:rsid w:val="006207C5"/>
    <w:rsid w:val="006218BE"/>
    <w:rsid w:val="00622380"/>
    <w:rsid w:val="0062344C"/>
    <w:rsid w:val="00623A89"/>
    <w:rsid w:val="00630D1E"/>
    <w:rsid w:val="00631DF1"/>
    <w:rsid w:val="00636674"/>
    <w:rsid w:val="00642630"/>
    <w:rsid w:val="0065735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23854"/>
    <w:rsid w:val="00726052"/>
    <w:rsid w:val="00743CCB"/>
    <w:rsid w:val="007442FA"/>
    <w:rsid w:val="00745C5F"/>
    <w:rsid w:val="00747947"/>
    <w:rsid w:val="007525D5"/>
    <w:rsid w:val="00754F40"/>
    <w:rsid w:val="00764D2A"/>
    <w:rsid w:val="007747A1"/>
    <w:rsid w:val="00786826"/>
    <w:rsid w:val="0079293C"/>
    <w:rsid w:val="007A3516"/>
    <w:rsid w:val="007A7155"/>
    <w:rsid w:val="007A7747"/>
    <w:rsid w:val="007B098D"/>
    <w:rsid w:val="007C3B49"/>
    <w:rsid w:val="007C519F"/>
    <w:rsid w:val="007F0618"/>
    <w:rsid w:val="00800A96"/>
    <w:rsid w:val="00801596"/>
    <w:rsid w:val="008045E9"/>
    <w:rsid w:val="00811485"/>
    <w:rsid w:val="00815618"/>
    <w:rsid w:val="00816022"/>
    <w:rsid w:val="00831D39"/>
    <w:rsid w:val="00846C76"/>
    <w:rsid w:val="00852649"/>
    <w:rsid w:val="0085598F"/>
    <w:rsid w:val="008562DB"/>
    <w:rsid w:val="0085759E"/>
    <w:rsid w:val="00862832"/>
    <w:rsid w:val="00867745"/>
    <w:rsid w:val="00872A5E"/>
    <w:rsid w:val="00876F25"/>
    <w:rsid w:val="00885A81"/>
    <w:rsid w:val="00894AD3"/>
    <w:rsid w:val="008B0F0A"/>
    <w:rsid w:val="008B75B8"/>
    <w:rsid w:val="008C3331"/>
    <w:rsid w:val="008C448E"/>
    <w:rsid w:val="008C62BF"/>
    <w:rsid w:val="008C7F74"/>
    <w:rsid w:val="008D0A1B"/>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47CA3"/>
    <w:rsid w:val="009520D5"/>
    <w:rsid w:val="0097029B"/>
    <w:rsid w:val="00970B7F"/>
    <w:rsid w:val="0097285D"/>
    <w:rsid w:val="009850FD"/>
    <w:rsid w:val="009854D9"/>
    <w:rsid w:val="009A0EF6"/>
    <w:rsid w:val="009B0342"/>
    <w:rsid w:val="009B269F"/>
    <w:rsid w:val="009C2D15"/>
    <w:rsid w:val="009C4BE7"/>
    <w:rsid w:val="009E18D3"/>
    <w:rsid w:val="009E1B98"/>
    <w:rsid w:val="009E430D"/>
    <w:rsid w:val="009E47AB"/>
    <w:rsid w:val="009E56A4"/>
    <w:rsid w:val="009F069F"/>
    <w:rsid w:val="009F45EB"/>
    <w:rsid w:val="009F50CB"/>
    <w:rsid w:val="00A04BFA"/>
    <w:rsid w:val="00A05AB2"/>
    <w:rsid w:val="00A110CE"/>
    <w:rsid w:val="00A115CE"/>
    <w:rsid w:val="00A12689"/>
    <w:rsid w:val="00A16C58"/>
    <w:rsid w:val="00A21B9E"/>
    <w:rsid w:val="00A30C23"/>
    <w:rsid w:val="00A33E8C"/>
    <w:rsid w:val="00A40388"/>
    <w:rsid w:val="00A44C4F"/>
    <w:rsid w:val="00A46DB7"/>
    <w:rsid w:val="00A55ED3"/>
    <w:rsid w:val="00A64D08"/>
    <w:rsid w:val="00A65190"/>
    <w:rsid w:val="00A65DC5"/>
    <w:rsid w:val="00A758CE"/>
    <w:rsid w:val="00A765C1"/>
    <w:rsid w:val="00A814B3"/>
    <w:rsid w:val="00A93241"/>
    <w:rsid w:val="00AA01ED"/>
    <w:rsid w:val="00AB4E9E"/>
    <w:rsid w:val="00AB58B1"/>
    <w:rsid w:val="00AB7B8F"/>
    <w:rsid w:val="00AC778A"/>
    <w:rsid w:val="00AE1251"/>
    <w:rsid w:val="00AE5FE8"/>
    <w:rsid w:val="00AF1646"/>
    <w:rsid w:val="00AF48E9"/>
    <w:rsid w:val="00AF6BE0"/>
    <w:rsid w:val="00AF7452"/>
    <w:rsid w:val="00B02982"/>
    <w:rsid w:val="00B05F41"/>
    <w:rsid w:val="00B179FB"/>
    <w:rsid w:val="00B35EA5"/>
    <w:rsid w:val="00B36459"/>
    <w:rsid w:val="00B438FC"/>
    <w:rsid w:val="00B5140B"/>
    <w:rsid w:val="00B63D23"/>
    <w:rsid w:val="00B6683C"/>
    <w:rsid w:val="00B82328"/>
    <w:rsid w:val="00B95B7B"/>
    <w:rsid w:val="00B9788E"/>
    <w:rsid w:val="00BA25A2"/>
    <w:rsid w:val="00BA4B22"/>
    <w:rsid w:val="00BB08C4"/>
    <w:rsid w:val="00BB1A45"/>
    <w:rsid w:val="00BB24BB"/>
    <w:rsid w:val="00BB4346"/>
    <w:rsid w:val="00BB7E69"/>
    <w:rsid w:val="00BC0808"/>
    <w:rsid w:val="00BD578E"/>
    <w:rsid w:val="00BD6020"/>
    <w:rsid w:val="00BE7CA2"/>
    <w:rsid w:val="00BF563D"/>
    <w:rsid w:val="00BF5DBF"/>
    <w:rsid w:val="00BF6284"/>
    <w:rsid w:val="00BF6971"/>
    <w:rsid w:val="00C10941"/>
    <w:rsid w:val="00C1214F"/>
    <w:rsid w:val="00C14CD9"/>
    <w:rsid w:val="00C16A7F"/>
    <w:rsid w:val="00C255DB"/>
    <w:rsid w:val="00C33F73"/>
    <w:rsid w:val="00C57FB8"/>
    <w:rsid w:val="00C6190C"/>
    <w:rsid w:val="00C700F7"/>
    <w:rsid w:val="00C86BA8"/>
    <w:rsid w:val="00C94FED"/>
    <w:rsid w:val="00CA3C23"/>
    <w:rsid w:val="00CA427D"/>
    <w:rsid w:val="00CA785B"/>
    <w:rsid w:val="00CC0165"/>
    <w:rsid w:val="00CC01BC"/>
    <w:rsid w:val="00CC648E"/>
    <w:rsid w:val="00CC6E02"/>
    <w:rsid w:val="00CD3CA9"/>
    <w:rsid w:val="00CE5AB8"/>
    <w:rsid w:val="00CF19CE"/>
    <w:rsid w:val="00CF31F3"/>
    <w:rsid w:val="00CF4943"/>
    <w:rsid w:val="00D00FC4"/>
    <w:rsid w:val="00D2394E"/>
    <w:rsid w:val="00D247C2"/>
    <w:rsid w:val="00D2719D"/>
    <w:rsid w:val="00D40CBC"/>
    <w:rsid w:val="00D467F8"/>
    <w:rsid w:val="00D47119"/>
    <w:rsid w:val="00D6016F"/>
    <w:rsid w:val="00D61192"/>
    <w:rsid w:val="00D6386C"/>
    <w:rsid w:val="00D739AD"/>
    <w:rsid w:val="00D75834"/>
    <w:rsid w:val="00D820D6"/>
    <w:rsid w:val="00D82B63"/>
    <w:rsid w:val="00D86E31"/>
    <w:rsid w:val="00D91A94"/>
    <w:rsid w:val="00D9258C"/>
    <w:rsid w:val="00DA0D8E"/>
    <w:rsid w:val="00DA5391"/>
    <w:rsid w:val="00DA6C2F"/>
    <w:rsid w:val="00DA7D59"/>
    <w:rsid w:val="00DB286B"/>
    <w:rsid w:val="00DC26F5"/>
    <w:rsid w:val="00DE04BA"/>
    <w:rsid w:val="00DE0E48"/>
    <w:rsid w:val="00DE67F5"/>
    <w:rsid w:val="00DF3D3B"/>
    <w:rsid w:val="00DF3F78"/>
    <w:rsid w:val="00DF72CC"/>
    <w:rsid w:val="00E21193"/>
    <w:rsid w:val="00E3769E"/>
    <w:rsid w:val="00E42404"/>
    <w:rsid w:val="00E51D7A"/>
    <w:rsid w:val="00E63ED9"/>
    <w:rsid w:val="00E7262B"/>
    <w:rsid w:val="00E82F54"/>
    <w:rsid w:val="00E85B5A"/>
    <w:rsid w:val="00E86459"/>
    <w:rsid w:val="00E87DA0"/>
    <w:rsid w:val="00EA0CA7"/>
    <w:rsid w:val="00EA3D3D"/>
    <w:rsid w:val="00EA45CB"/>
    <w:rsid w:val="00EA49DE"/>
    <w:rsid w:val="00EB18EF"/>
    <w:rsid w:val="00EB1F78"/>
    <w:rsid w:val="00EB5B58"/>
    <w:rsid w:val="00EB7CB9"/>
    <w:rsid w:val="00EC5631"/>
    <w:rsid w:val="00EC6186"/>
    <w:rsid w:val="00EC6F86"/>
    <w:rsid w:val="00EC7E28"/>
    <w:rsid w:val="00ED1402"/>
    <w:rsid w:val="00EE4373"/>
    <w:rsid w:val="00EE7F2E"/>
    <w:rsid w:val="00F0713B"/>
    <w:rsid w:val="00F10357"/>
    <w:rsid w:val="00F110BD"/>
    <w:rsid w:val="00F12393"/>
    <w:rsid w:val="00F15CD6"/>
    <w:rsid w:val="00F16F2D"/>
    <w:rsid w:val="00F2016A"/>
    <w:rsid w:val="00F21D67"/>
    <w:rsid w:val="00F24B8F"/>
    <w:rsid w:val="00F30B46"/>
    <w:rsid w:val="00F4536C"/>
    <w:rsid w:val="00F50662"/>
    <w:rsid w:val="00F63674"/>
    <w:rsid w:val="00F73108"/>
    <w:rsid w:val="00F75DBD"/>
    <w:rsid w:val="00F85C68"/>
    <w:rsid w:val="00F95343"/>
    <w:rsid w:val="00FA1F82"/>
    <w:rsid w:val="00FC411A"/>
    <w:rsid w:val="00FC568F"/>
    <w:rsid w:val="00FC5A40"/>
    <w:rsid w:val="00FD01DE"/>
    <w:rsid w:val="00FD079B"/>
    <w:rsid w:val="00FD635C"/>
    <w:rsid w:val="00FD6751"/>
    <w:rsid w:val="00FE0543"/>
    <w:rsid w:val="00FE0686"/>
    <w:rsid w:val="00FE2606"/>
    <w:rsid w:val="00FE2F15"/>
    <w:rsid w:val="00FE4E50"/>
    <w:rsid w:val="00FF2BE2"/>
    <w:rsid w:val="00FF37EE"/>
    <w:rsid w:val="0241B77A"/>
    <w:rsid w:val="07A3E346"/>
    <w:rsid w:val="09080BB9"/>
    <w:rsid w:val="0A6972F5"/>
    <w:rsid w:val="14422702"/>
    <w:rsid w:val="2BCCCB2E"/>
    <w:rsid w:val="2F6F2C27"/>
    <w:rsid w:val="37D3EE55"/>
    <w:rsid w:val="39498788"/>
    <w:rsid w:val="3B898DDE"/>
    <w:rsid w:val="3E637228"/>
    <w:rsid w:val="3FB6CEF4"/>
    <w:rsid w:val="3FC0128A"/>
    <w:rsid w:val="44313C71"/>
    <w:rsid w:val="483A7EB1"/>
    <w:rsid w:val="4B725BC2"/>
    <w:rsid w:val="502CAF4F"/>
    <w:rsid w:val="5395FC44"/>
    <w:rsid w:val="5F5F4512"/>
    <w:rsid w:val="6B1E39B9"/>
    <w:rsid w:val="6D2938E0"/>
    <w:rsid w:val="7200FF9B"/>
    <w:rsid w:val="73F0DA1D"/>
    <w:rsid w:val="74AC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36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592A1C"/>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1"/>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592A1C"/>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2"/>
      </w:numPr>
      <w:ind w:left="576" w:hanging="288"/>
      <w:contextualSpacing w:val="0"/>
    </w:pPr>
  </w:style>
  <w:style w:type="paragraph" w:customStyle="1" w:styleId="NumberedSub">
    <w:name w:val="NumberedSub"/>
    <w:basedOn w:val="ListParagraph"/>
    <w:rsid w:val="007A3516"/>
    <w:pPr>
      <w:numPr>
        <w:numId w:val="3"/>
      </w:numPr>
      <w:ind w:left="864" w:hanging="288"/>
      <w:contextualSpacing w:val="0"/>
    </w:pPr>
  </w:style>
  <w:style w:type="paragraph" w:customStyle="1" w:styleId="NumberedSubSub">
    <w:name w:val="NumberedSubSub"/>
    <w:basedOn w:val="ListParagraph"/>
    <w:rsid w:val="001836CB"/>
    <w:pPr>
      <w:numPr>
        <w:numId w:val="4"/>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5"/>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6"/>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8"/>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Default">
    <w:name w:val="Default"/>
    <w:rsid w:val="00BC0808"/>
    <w:pPr>
      <w:autoSpaceDE w:val="0"/>
      <w:autoSpaceDN w:val="0"/>
      <w:adjustRightInd w:val="0"/>
      <w:spacing w:after="0" w:line="240" w:lineRule="auto"/>
    </w:pPr>
    <w:rPr>
      <w:rFonts w:ascii="Arial" w:hAnsi="Arial" w:cs="Arial"/>
      <w:color w:val="000000"/>
      <w:sz w:val="24"/>
      <w:szCs w:val="24"/>
    </w:rPr>
  </w:style>
  <w:style w:type="paragraph" w:customStyle="1" w:styleId="Header6">
    <w:name w:val="Header 6"/>
    <w:basedOn w:val="TableHeader"/>
    <w:link w:val="Header6Char"/>
    <w:qFormat/>
    <w:rsid w:val="004C6308"/>
  </w:style>
  <w:style w:type="character" w:customStyle="1" w:styleId="TableHeaderChar">
    <w:name w:val="TableHeader Char"/>
    <w:basedOn w:val="DefaultParagraphFont"/>
    <w:link w:val="TableHeader"/>
    <w:rsid w:val="004C6308"/>
    <w:rPr>
      <w:rFonts w:ascii="Arial" w:hAnsi="Arial" w:cs="Arial"/>
      <w:b/>
      <w:sz w:val="24"/>
      <w:szCs w:val="24"/>
    </w:rPr>
  </w:style>
  <w:style w:type="character" w:customStyle="1" w:styleId="Header6Char">
    <w:name w:val="Header 6 Char"/>
    <w:basedOn w:val="TableHeaderChar"/>
    <w:link w:val="Header6"/>
    <w:rsid w:val="004C630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859122398">
      <w:bodyDiv w:val="1"/>
      <w:marLeft w:val="0"/>
      <w:marRight w:val="0"/>
      <w:marTop w:val="0"/>
      <w:marBottom w:val="0"/>
      <w:divBdr>
        <w:top w:val="none" w:sz="0" w:space="0" w:color="auto"/>
        <w:left w:val="none" w:sz="0" w:space="0" w:color="auto"/>
        <w:bottom w:val="none" w:sz="0" w:space="0" w:color="auto"/>
        <w:right w:val="none" w:sz="0" w:space="0" w:color="auto"/>
      </w:divBdr>
    </w:div>
    <w:div w:id="1135874593">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6741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ci/sc/cf/documents/scifwappendix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ci/sc/cf/documents/scifwappendix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iforniaee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aliforniaeei.org/abouteei/epc/"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ESS3-1%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167DE1E-494B-46D6-84DE-0FC40AED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Specifications—MS-ESS3-1 - CAASPP (CA Dept of Education)</dc:title>
  <dc:subject>This CAST item specification describes MS-ESS3-1 Earth and Human Activity.</dc:subject>
  <dc:creator/>
  <cp:keywords/>
  <dc:description/>
  <cp:lastModifiedBy/>
  <cp:revision>1</cp:revision>
  <dcterms:created xsi:type="dcterms:W3CDTF">2024-02-22T17:54:00Z</dcterms:created>
  <dcterms:modified xsi:type="dcterms:W3CDTF">2024-02-22T23:27:00Z</dcterms:modified>
</cp:coreProperties>
</file>