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D01A" w14:textId="74C46E8C" w:rsidR="00F91730" w:rsidRPr="00377EEE" w:rsidRDefault="009371CE" w:rsidP="009371CE">
      <w:pPr>
        <w:pStyle w:val="Heading1"/>
        <w:rPr>
          <w:w w:val="83"/>
        </w:rPr>
      </w:pPr>
      <w:bookmarkStart w:id="0" w:name="_Hlk171677190"/>
      <w:bookmarkStart w:id="1" w:name="_Toc171677600"/>
      <w:bookmarkStart w:id="2" w:name="_Toc171678389"/>
      <w:r w:rsidRPr="009371CE">
        <w:rPr>
          <w:color w:val="7030A0"/>
          <w:sz w:val="48"/>
          <w:szCs w:val="48"/>
        </w:rPr>
        <w:t>State Accountability Report Card</w:t>
      </w:r>
      <w:bookmarkEnd w:id="0"/>
      <w:r w:rsidRPr="00377EEE">
        <w:rPr>
          <w:rStyle w:val="Heading1Char"/>
          <w:rFonts w:ascii="Arial" w:hAnsi="Arial" w:cs="Arial"/>
          <w:noProof/>
          <w:color w:val="7030A0"/>
          <w:sz w:val="48"/>
          <w:szCs w:val="48"/>
        </w:rPr>
        <w:t xml:space="preserve"> </w:t>
      </w:r>
      <w:r w:rsidR="00F91730" w:rsidRPr="00377EEE">
        <w:rPr>
          <w:rStyle w:val="Heading1Char"/>
          <w:rFonts w:ascii="Arial" w:hAnsi="Arial" w:cs="Arial"/>
          <w:noProof/>
          <w:color w:val="7030A0"/>
          <w:sz w:val="48"/>
          <w:szCs w:val="48"/>
        </w:rPr>
        <mc:AlternateContent>
          <mc:Choice Requires="wps">
            <w:drawing>
              <wp:anchor distT="0" distB="0" distL="114300" distR="114300" simplePos="0" relativeHeight="251658240" behindDoc="0" locked="0" layoutInCell="1" allowOverlap="1" wp14:anchorId="55BF3E4D" wp14:editId="070F706F">
                <wp:simplePos x="0" y="0"/>
                <wp:positionH relativeFrom="page">
                  <wp:posOffset>5048250</wp:posOffset>
                </wp:positionH>
                <wp:positionV relativeFrom="paragraph">
                  <wp:posOffset>-902706</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6C2E9A"/>
                        </a:solidFill>
                        <a:ln>
                          <a:solidFill>
                            <a:srgbClr val="B37F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dec="http://schemas.microsoft.com/office/drawing/2017/decorative" xmlns:pic="http://schemas.openxmlformats.org/drawingml/2006/picture" xmlns:a14="http://schemas.microsoft.com/office/drawing/2010/main">
            <w:pict w14:anchorId="43E3EBE4">
              <v:shapetype id="_x0000_t6" coordsize="21600,21600" o:spt="6" path="m,l,21600r21600,xe" w14:anchorId="22569340">
                <v:stroke joinstyle="miter"/>
                <v:path textboxrect="1800,12600,12600,19800" gradientshapeok="t" o:connecttype="custom" o:connectlocs="0,0;0,10800;0,21600;10800,21600;21600,21600;10800,10800"/>
              </v:shapetype>
              <v:shape id="Right Triangle 22" style="position:absolute;margin-left:397.5pt;margin-top:-71.1pt;width:213.1pt;height:3in;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6c2e9a" strokecolor="#b37fb3"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">
                <w10:wrap anchorx="page"/>
              </v:shape>
            </w:pict>
          </mc:Fallback>
        </mc:AlternateContent>
      </w:r>
      <w:bookmarkStart w:id="3" w:name="_Hlk111132375"/>
      <w:bookmarkStart w:id="4" w:name="_Hlk112431944"/>
      <w:bookmarkEnd w:id="3"/>
      <w:r w:rsidRPr="00377EEE">
        <w:rPr>
          <w:color w:val="7030A0"/>
          <w:w w:val="83"/>
          <w:sz w:val="72"/>
          <w:szCs w:val="72"/>
        </w:rPr>
        <w:t xml:space="preserve"> </w:t>
      </w:r>
      <w:r w:rsidR="00F91730" w:rsidRPr="00377EEE">
        <w:rPr>
          <w:color w:val="7030A0"/>
          <w:w w:val="83"/>
          <w:sz w:val="72"/>
          <w:szCs w:val="72"/>
        </w:rPr>
        <w:br/>
      </w:r>
      <w:r w:rsidR="00F91730" w:rsidRPr="00D31D92">
        <w:rPr>
          <w:sz w:val="32"/>
          <w:szCs w:val="32"/>
        </w:rPr>
        <w:t xml:space="preserve">A short description </w:t>
      </w:r>
      <w:r w:rsidR="3FBE1F44" w:rsidRPr="00D31D92">
        <w:rPr>
          <w:sz w:val="32"/>
          <w:szCs w:val="32"/>
        </w:rPr>
        <w:t xml:space="preserve">of </w:t>
      </w:r>
      <w:r w:rsidR="00F91730" w:rsidRPr="00D31D92">
        <w:rPr>
          <w:sz w:val="32"/>
          <w:szCs w:val="32"/>
        </w:rPr>
        <w:t xml:space="preserve">California’s Accountability System </w:t>
      </w:r>
      <w:r w:rsidR="00F91730" w:rsidRPr="00D31D92">
        <w:rPr>
          <w:sz w:val="32"/>
          <w:szCs w:val="32"/>
        </w:rPr>
        <w:br/>
        <w:t>and the General Rules Applied to the State Accountability Report Card.</w:t>
      </w:r>
      <w:bookmarkEnd w:id="1"/>
      <w:bookmarkEnd w:id="2"/>
      <w:r w:rsidR="00F91730" w:rsidRPr="00D31D92">
        <w:rPr>
          <w:w w:val="83"/>
          <w:sz w:val="32"/>
          <w:szCs w:val="32"/>
        </w:rPr>
        <w:t xml:space="preserve"> </w:t>
      </w:r>
      <w:bookmarkStart w:id="5" w:name="_Hlk112431975"/>
      <w:bookmarkEnd w:id="4"/>
    </w:p>
    <w:p w14:paraId="784E545A" w14:textId="77777777" w:rsidR="00F91730" w:rsidRPr="00377EEE" w:rsidRDefault="00F91730" w:rsidP="00F91730">
      <w:pPr>
        <w:rPr>
          <w:rFonts w:ascii="Arial" w:hAnsi="Arial" w:cs="Arial"/>
          <w:sz w:val="580"/>
          <w:szCs w:val="580"/>
        </w:rPr>
      </w:pPr>
    </w:p>
    <w:p w14:paraId="28F4350D" w14:textId="37E5C420" w:rsidR="00F91730" w:rsidRPr="00377EEE" w:rsidRDefault="00F91730" w:rsidP="00F91730">
      <w:pPr>
        <w:spacing w:after="0" w:line="240" w:lineRule="auto"/>
        <w:jc w:val="right"/>
        <w:rPr>
          <w:rFonts w:ascii="Arial" w:hAnsi="Arial" w:cs="Arial"/>
          <w:szCs w:val="24"/>
        </w:rPr>
      </w:pPr>
      <w:r w:rsidRPr="00377EEE">
        <w:rPr>
          <w:rFonts w:ascii="Arial" w:hAnsi="Arial" w:cs="Arial"/>
          <w:noProof/>
          <w:sz w:val="18"/>
          <w:szCs w:val="20"/>
        </w:rPr>
        <w:drawing>
          <wp:inline distT="0" distB="0" distL="0" distR="0" wp14:anchorId="3B50B53C" wp14:editId="54E4D568">
            <wp:extent cx="904240" cy="855345"/>
            <wp:effectExtent l="0" t="0" r="0" b="1905"/>
            <wp:docPr id="20" name="Picture 27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 name="Picture 277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inline>
        </w:drawing>
      </w:r>
    </w:p>
    <w:p w14:paraId="3BA3EB2C" w14:textId="77777777" w:rsidR="00F91730" w:rsidRPr="00377EEE" w:rsidRDefault="00F91730" w:rsidP="00F91730">
      <w:pPr>
        <w:spacing w:after="0" w:line="240" w:lineRule="auto"/>
        <w:jc w:val="right"/>
        <w:rPr>
          <w:rFonts w:ascii="Arial" w:hAnsi="Arial" w:cs="Arial"/>
          <w:sz w:val="24"/>
          <w:szCs w:val="24"/>
        </w:rPr>
      </w:pPr>
      <w:r w:rsidRPr="00377EEE">
        <w:rPr>
          <w:rFonts w:ascii="Arial" w:hAnsi="Arial" w:cs="Arial"/>
          <w:sz w:val="24"/>
          <w:szCs w:val="24"/>
        </w:rPr>
        <w:t>P</w:t>
      </w:r>
      <w:r w:rsidRPr="00377EEE">
        <w:rPr>
          <w:rFonts w:ascii="Arial" w:hAnsi="Arial" w:cs="Arial"/>
          <w:spacing w:val="-1"/>
          <w:sz w:val="24"/>
          <w:szCs w:val="24"/>
        </w:rPr>
        <w:t>r</w:t>
      </w:r>
      <w:r w:rsidRPr="00377EEE">
        <w:rPr>
          <w:rFonts w:ascii="Arial" w:hAnsi="Arial" w:cs="Arial"/>
          <w:sz w:val="24"/>
          <w:szCs w:val="24"/>
        </w:rPr>
        <w:t>e</w:t>
      </w:r>
      <w:r w:rsidRPr="00377EEE">
        <w:rPr>
          <w:rFonts w:ascii="Arial" w:hAnsi="Arial" w:cs="Arial"/>
          <w:spacing w:val="1"/>
          <w:sz w:val="24"/>
          <w:szCs w:val="24"/>
        </w:rPr>
        <w:t>p</w:t>
      </w:r>
      <w:r w:rsidRPr="00377EEE">
        <w:rPr>
          <w:rFonts w:ascii="Arial" w:hAnsi="Arial" w:cs="Arial"/>
          <w:sz w:val="24"/>
          <w:szCs w:val="24"/>
        </w:rPr>
        <w:t xml:space="preserve">ared </w:t>
      </w:r>
      <w:r w:rsidRPr="00377EEE">
        <w:rPr>
          <w:rFonts w:ascii="Arial" w:hAnsi="Arial" w:cs="Arial"/>
          <w:spacing w:val="1"/>
          <w:sz w:val="24"/>
          <w:szCs w:val="24"/>
        </w:rPr>
        <w:t>b</w:t>
      </w:r>
      <w:r w:rsidRPr="00377EEE">
        <w:rPr>
          <w:rFonts w:ascii="Arial" w:hAnsi="Arial" w:cs="Arial"/>
          <w:sz w:val="24"/>
          <w:szCs w:val="24"/>
        </w:rPr>
        <w:t>y</w:t>
      </w:r>
      <w:r w:rsidRPr="00377EEE">
        <w:rPr>
          <w:rFonts w:ascii="Arial" w:hAnsi="Arial" w:cs="Arial"/>
          <w:spacing w:val="-21"/>
          <w:sz w:val="24"/>
          <w:szCs w:val="24"/>
        </w:rPr>
        <w:t xml:space="preserve"> </w:t>
      </w:r>
      <w:r w:rsidRPr="00377EEE">
        <w:rPr>
          <w:rFonts w:ascii="Arial" w:hAnsi="Arial" w:cs="Arial"/>
          <w:spacing w:val="-1"/>
          <w:sz w:val="24"/>
          <w:szCs w:val="24"/>
        </w:rPr>
        <w:t>t</w:t>
      </w:r>
      <w:r w:rsidRPr="00377EEE">
        <w:rPr>
          <w:rFonts w:ascii="Arial" w:hAnsi="Arial" w:cs="Arial"/>
          <w:spacing w:val="1"/>
          <w:sz w:val="24"/>
          <w:szCs w:val="24"/>
        </w:rPr>
        <w:t>h</w:t>
      </w:r>
      <w:r w:rsidRPr="00377EEE">
        <w:rPr>
          <w:rFonts w:ascii="Arial" w:hAnsi="Arial" w:cs="Arial"/>
          <w:sz w:val="24"/>
          <w:szCs w:val="24"/>
        </w:rPr>
        <w:t>e Cali</w:t>
      </w:r>
      <w:r w:rsidRPr="00377EEE">
        <w:rPr>
          <w:rFonts w:ascii="Arial" w:hAnsi="Arial" w:cs="Arial"/>
          <w:spacing w:val="1"/>
          <w:sz w:val="24"/>
          <w:szCs w:val="24"/>
        </w:rPr>
        <w:t>fo</w:t>
      </w:r>
      <w:r w:rsidRPr="00377EEE">
        <w:rPr>
          <w:rFonts w:ascii="Arial" w:hAnsi="Arial" w:cs="Arial"/>
          <w:sz w:val="24"/>
          <w:szCs w:val="24"/>
        </w:rPr>
        <w:t>rnia</w:t>
      </w:r>
      <w:r w:rsidRPr="00377EEE">
        <w:rPr>
          <w:rFonts w:ascii="Arial" w:hAnsi="Arial" w:cs="Arial"/>
          <w:spacing w:val="-2"/>
          <w:sz w:val="24"/>
          <w:szCs w:val="24"/>
        </w:rPr>
        <w:t xml:space="preserve"> </w:t>
      </w:r>
      <w:r w:rsidRPr="00377EEE">
        <w:rPr>
          <w:rFonts w:ascii="Arial" w:hAnsi="Arial" w:cs="Arial"/>
          <w:sz w:val="24"/>
          <w:szCs w:val="24"/>
        </w:rPr>
        <w:t>De</w:t>
      </w:r>
      <w:r w:rsidRPr="00377EEE">
        <w:rPr>
          <w:rFonts w:ascii="Arial" w:hAnsi="Arial" w:cs="Arial"/>
          <w:spacing w:val="1"/>
          <w:sz w:val="24"/>
          <w:szCs w:val="24"/>
        </w:rPr>
        <w:t>p</w:t>
      </w:r>
      <w:r w:rsidRPr="00377EEE">
        <w:rPr>
          <w:rFonts w:ascii="Arial" w:hAnsi="Arial" w:cs="Arial"/>
          <w:sz w:val="24"/>
          <w:szCs w:val="24"/>
        </w:rPr>
        <w:t>ar</w:t>
      </w:r>
      <w:r w:rsidRPr="00377EEE">
        <w:rPr>
          <w:rFonts w:ascii="Arial" w:hAnsi="Arial" w:cs="Arial"/>
          <w:spacing w:val="-2"/>
          <w:sz w:val="24"/>
          <w:szCs w:val="24"/>
        </w:rPr>
        <w:t>t</w:t>
      </w:r>
      <w:r w:rsidRPr="00377EEE">
        <w:rPr>
          <w:rFonts w:ascii="Arial" w:hAnsi="Arial" w:cs="Arial"/>
          <w:spacing w:val="1"/>
          <w:sz w:val="24"/>
          <w:szCs w:val="24"/>
        </w:rPr>
        <w:t>m</w:t>
      </w:r>
      <w:r w:rsidRPr="00377EEE">
        <w:rPr>
          <w:rFonts w:ascii="Arial" w:hAnsi="Arial" w:cs="Arial"/>
          <w:sz w:val="24"/>
          <w:szCs w:val="24"/>
        </w:rPr>
        <w:t>e</w:t>
      </w:r>
      <w:r w:rsidRPr="00377EEE">
        <w:rPr>
          <w:rFonts w:ascii="Arial" w:hAnsi="Arial" w:cs="Arial"/>
          <w:spacing w:val="1"/>
          <w:sz w:val="24"/>
          <w:szCs w:val="24"/>
        </w:rPr>
        <w:t>n</w:t>
      </w:r>
      <w:r w:rsidRPr="00377EEE">
        <w:rPr>
          <w:rFonts w:ascii="Arial" w:hAnsi="Arial" w:cs="Arial"/>
          <w:sz w:val="24"/>
          <w:szCs w:val="24"/>
        </w:rPr>
        <w:t>t</w:t>
      </w:r>
      <w:r w:rsidRPr="00377EEE">
        <w:rPr>
          <w:rFonts w:ascii="Arial" w:hAnsi="Arial" w:cs="Arial"/>
          <w:spacing w:val="-2"/>
          <w:sz w:val="24"/>
          <w:szCs w:val="24"/>
        </w:rPr>
        <w:t xml:space="preserve"> </w:t>
      </w:r>
      <w:r w:rsidRPr="00377EEE">
        <w:rPr>
          <w:rFonts w:ascii="Arial" w:hAnsi="Arial" w:cs="Arial"/>
          <w:spacing w:val="1"/>
          <w:sz w:val="24"/>
          <w:szCs w:val="24"/>
        </w:rPr>
        <w:t>o</w:t>
      </w:r>
      <w:r w:rsidRPr="00377EEE">
        <w:rPr>
          <w:rFonts w:ascii="Arial" w:hAnsi="Arial" w:cs="Arial"/>
          <w:sz w:val="24"/>
          <w:szCs w:val="24"/>
        </w:rPr>
        <w:t>f</w:t>
      </w:r>
      <w:r w:rsidRPr="00377EEE">
        <w:rPr>
          <w:rFonts w:ascii="Arial" w:hAnsi="Arial" w:cs="Arial"/>
          <w:spacing w:val="-17"/>
          <w:sz w:val="24"/>
          <w:szCs w:val="24"/>
        </w:rPr>
        <w:t xml:space="preserve"> </w:t>
      </w:r>
      <w:r w:rsidRPr="00377EEE">
        <w:rPr>
          <w:rFonts w:ascii="Arial" w:hAnsi="Arial" w:cs="Arial"/>
          <w:sz w:val="24"/>
          <w:szCs w:val="24"/>
        </w:rPr>
        <w:t>E</w:t>
      </w:r>
      <w:r w:rsidRPr="00377EEE">
        <w:rPr>
          <w:rFonts w:ascii="Arial" w:hAnsi="Arial" w:cs="Arial"/>
          <w:spacing w:val="-2"/>
          <w:sz w:val="24"/>
          <w:szCs w:val="24"/>
        </w:rPr>
        <w:t>d</w:t>
      </w:r>
      <w:r w:rsidRPr="00377EEE">
        <w:rPr>
          <w:rFonts w:ascii="Arial" w:hAnsi="Arial" w:cs="Arial"/>
          <w:spacing w:val="1"/>
          <w:sz w:val="24"/>
          <w:szCs w:val="24"/>
        </w:rPr>
        <w:t>u</w:t>
      </w:r>
      <w:r w:rsidRPr="00377EEE">
        <w:rPr>
          <w:rFonts w:ascii="Arial" w:hAnsi="Arial" w:cs="Arial"/>
          <w:sz w:val="24"/>
          <w:szCs w:val="24"/>
        </w:rPr>
        <w:t>ca</w:t>
      </w:r>
      <w:r w:rsidRPr="00377EEE">
        <w:rPr>
          <w:rFonts w:ascii="Arial" w:hAnsi="Arial" w:cs="Arial"/>
          <w:spacing w:val="1"/>
          <w:sz w:val="24"/>
          <w:szCs w:val="24"/>
        </w:rPr>
        <w:t>t</w:t>
      </w:r>
      <w:r w:rsidRPr="00377EEE">
        <w:rPr>
          <w:rFonts w:ascii="Arial" w:hAnsi="Arial" w:cs="Arial"/>
          <w:spacing w:val="-3"/>
          <w:sz w:val="24"/>
          <w:szCs w:val="24"/>
        </w:rPr>
        <w:t>i</w:t>
      </w:r>
      <w:r w:rsidRPr="00377EEE">
        <w:rPr>
          <w:rFonts w:ascii="Arial" w:hAnsi="Arial" w:cs="Arial"/>
          <w:spacing w:val="-1"/>
          <w:sz w:val="24"/>
          <w:szCs w:val="24"/>
        </w:rPr>
        <w:t>o</w:t>
      </w:r>
      <w:r w:rsidRPr="00377EEE">
        <w:rPr>
          <w:rFonts w:ascii="Arial" w:hAnsi="Arial" w:cs="Arial"/>
          <w:sz w:val="24"/>
          <w:szCs w:val="24"/>
        </w:rPr>
        <w:t>n</w:t>
      </w:r>
    </w:p>
    <w:p w14:paraId="7DD6A71E" w14:textId="64760A7D" w:rsidR="00F91730" w:rsidRPr="00377EEE" w:rsidRDefault="00F91730" w:rsidP="00F91730">
      <w:pPr>
        <w:spacing w:after="0" w:line="240" w:lineRule="auto"/>
        <w:jc w:val="right"/>
        <w:rPr>
          <w:rFonts w:ascii="Arial" w:hAnsi="Arial" w:cs="Arial"/>
          <w:w w:val="94"/>
          <w:sz w:val="24"/>
          <w:szCs w:val="24"/>
        </w:rPr>
      </w:pPr>
      <w:r w:rsidRPr="00377EEE">
        <w:rPr>
          <w:rFonts w:ascii="Arial" w:hAnsi="Arial" w:cs="Arial"/>
          <w:spacing w:val="1"/>
          <w:w w:val="94"/>
          <w:sz w:val="24"/>
          <w:szCs w:val="24"/>
        </w:rPr>
        <w:t>A</w:t>
      </w:r>
      <w:r w:rsidRPr="00377EEE">
        <w:rPr>
          <w:rFonts w:ascii="Arial" w:hAnsi="Arial" w:cs="Arial"/>
          <w:spacing w:val="2"/>
          <w:w w:val="94"/>
          <w:sz w:val="24"/>
          <w:szCs w:val="24"/>
        </w:rPr>
        <w:t>v</w:t>
      </w:r>
      <w:r w:rsidRPr="00377EEE">
        <w:rPr>
          <w:rFonts w:ascii="Arial" w:hAnsi="Arial" w:cs="Arial"/>
          <w:w w:val="94"/>
          <w:sz w:val="24"/>
          <w:szCs w:val="24"/>
        </w:rPr>
        <w:t>ai</w:t>
      </w:r>
      <w:r w:rsidRPr="00377EEE">
        <w:rPr>
          <w:rFonts w:ascii="Arial" w:hAnsi="Arial" w:cs="Arial"/>
          <w:spacing w:val="2"/>
          <w:w w:val="94"/>
          <w:sz w:val="24"/>
          <w:szCs w:val="24"/>
        </w:rPr>
        <w:t>l</w:t>
      </w:r>
      <w:r w:rsidRPr="00377EEE">
        <w:rPr>
          <w:rFonts w:ascii="Arial" w:hAnsi="Arial" w:cs="Arial"/>
          <w:w w:val="94"/>
          <w:sz w:val="24"/>
          <w:szCs w:val="24"/>
        </w:rPr>
        <w:t>a</w:t>
      </w:r>
      <w:r w:rsidRPr="00377EEE">
        <w:rPr>
          <w:rFonts w:ascii="Arial" w:hAnsi="Arial" w:cs="Arial"/>
          <w:spacing w:val="1"/>
          <w:w w:val="94"/>
          <w:sz w:val="24"/>
          <w:szCs w:val="24"/>
        </w:rPr>
        <w:t>b</w:t>
      </w:r>
      <w:r w:rsidRPr="00377EEE">
        <w:rPr>
          <w:rFonts w:ascii="Arial" w:hAnsi="Arial" w:cs="Arial"/>
          <w:spacing w:val="-1"/>
          <w:w w:val="94"/>
          <w:sz w:val="24"/>
          <w:szCs w:val="24"/>
        </w:rPr>
        <w:t>l</w:t>
      </w:r>
      <w:r w:rsidRPr="00377EEE">
        <w:rPr>
          <w:rFonts w:ascii="Arial" w:hAnsi="Arial" w:cs="Arial"/>
          <w:w w:val="94"/>
          <w:sz w:val="24"/>
          <w:szCs w:val="24"/>
        </w:rPr>
        <w:t xml:space="preserve">e on the CDE State Accountability Report Card Web Page </w:t>
      </w:r>
      <w:r w:rsidRPr="00377EEE">
        <w:rPr>
          <w:rFonts w:ascii="Arial" w:hAnsi="Arial" w:cs="Arial"/>
          <w:spacing w:val="2"/>
          <w:w w:val="94"/>
          <w:sz w:val="24"/>
          <w:szCs w:val="24"/>
        </w:rPr>
        <w:t>a</w:t>
      </w:r>
      <w:r w:rsidRPr="00377EEE">
        <w:rPr>
          <w:rFonts w:ascii="Arial" w:hAnsi="Arial" w:cs="Arial"/>
          <w:spacing w:val="1"/>
          <w:w w:val="94"/>
          <w:sz w:val="24"/>
          <w:szCs w:val="24"/>
        </w:rPr>
        <w:t>t</w:t>
      </w:r>
      <w:r w:rsidRPr="00377EEE">
        <w:rPr>
          <w:rFonts w:ascii="Arial" w:hAnsi="Arial" w:cs="Arial"/>
          <w:w w:val="94"/>
          <w:sz w:val="24"/>
          <w:szCs w:val="24"/>
        </w:rPr>
        <w:t>:</w:t>
      </w:r>
    </w:p>
    <w:p w14:paraId="130F3326" w14:textId="168996BE" w:rsidR="00F91730" w:rsidRPr="00377EEE" w:rsidRDefault="00066318" w:rsidP="00F91730">
      <w:pPr>
        <w:spacing w:after="0" w:line="240" w:lineRule="auto"/>
        <w:jc w:val="right"/>
        <w:rPr>
          <w:rFonts w:ascii="Arial" w:hAnsi="Arial" w:cs="Arial"/>
          <w:sz w:val="24"/>
          <w:szCs w:val="24"/>
        </w:rPr>
      </w:pPr>
      <w:hyperlink r:id="rId12" w:tooltip="State Accountability Report Card Web Page" w:history="1">
        <w:r w:rsidR="00F91730" w:rsidRPr="00377EEE">
          <w:rPr>
            <w:rStyle w:val="Hyperlink"/>
            <w:rFonts w:ascii="Arial" w:hAnsi="Arial" w:cs="Arial"/>
            <w:sz w:val="24"/>
            <w:szCs w:val="24"/>
          </w:rPr>
          <w:t>https://www.cde.ca.gov/ta/ac/sc/index.asp</w:t>
        </w:r>
      </w:hyperlink>
      <w:r w:rsidR="00F91730" w:rsidRPr="00377EEE">
        <w:rPr>
          <w:rFonts w:ascii="Arial" w:hAnsi="Arial" w:cs="Arial"/>
          <w:sz w:val="24"/>
          <w:szCs w:val="24"/>
        </w:rPr>
        <w:t xml:space="preserve"> </w:t>
      </w:r>
    </w:p>
    <w:p w14:paraId="56F9B1E4" w14:textId="058D21E5" w:rsidR="00F91730" w:rsidRPr="00377EEE" w:rsidRDefault="00092283" w:rsidP="00F91730">
      <w:pPr>
        <w:spacing w:after="0" w:line="240" w:lineRule="auto"/>
        <w:jc w:val="right"/>
        <w:rPr>
          <w:rFonts w:ascii="Arial" w:hAnsi="Arial" w:cs="Arial"/>
          <w:b/>
          <w:szCs w:val="24"/>
        </w:rPr>
      </w:pPr>
      <w:r w:rsidRPr="00377EEE">
        <w:rPr>
          <w:rFonts w:ascii="Arial" w:hAnsi="Arial" w:cs="Arial"/>
          <w:noProof/>
          <w:sz w:val="24"/>
          <w:szCs w:val="24"/>
        </w:rPr>
        <mc:AlternateContent>
          <mc:Choice Requires="wpg">
            <w:drawing>
              <wp:anchor distT="0" distB="0" distL="114300" distR="114300" simplePos="0" relativeHeight="251658241" behindDoc="1" locked="0" layoutInCell="1" allowOverlap="1" wp14:anchorId="0F0186AC" wp14:editId="489833A6">
                <wp:simplePos x="0" y="0"/>
                <wp:positionH relativeFrom="margin">
                  <wp:align>center</wp:align>
                </wp:positionH>
                <wp:positionV relativeFrom="paragraph">
                  <wp:posOffset>308202</wp:posOffset>
                </wp:positionV>
                <wp:extent cx="6661150" cy="121285"/>
                <wp:effectExtent l="0" t="38100" r="44450" b="0"/>
                <wp:wrapNone/>
                <wp:docPr id="877492357" name="Group 2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1198393924"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6C2E9A"/>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344CAA16" id="Group 2768" o:spid="_x0000_s1026" alt="&quot;&quot;" style="position:absolute;margin-left:0;margin-top:24.25pt;width:524.5pt;height:9.55pt;z-index:-251656191;mso-position-horizontal:center;mso-position-horizontal-relative:margin" coordorigin="3663,1243" coordsize="7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">
                <v:shape id="Freeform 2769" o:spid="_x0000_s1027" style="position:absolute;left:3663;top:1243;width:7168;height:2;visibility:visible;mso-wrap-style:square;v-text-anchor:top" coordsize="7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" path="m,l7168,e" filled="f" strokecolor="#6c2e9a" strokeweight="6pt">
                  <v:stroke joinstyle="miter"/>
                  <v:path arrowok="t" o:connecttype="custom" o:connectlocs="0,0;7168,0" o:connectangles="0,0"/>
                </v:shape>
                <w10:wrap anchorx="margin"/>
              </v:group>
            </w:pict>
          </mc:Fallback>
        </mc:AlternateContent>
      </w:r>
      <w:r w:rsidR="00211A61">
        <w:rPr>
          <w:rFonts w:ascii="Arial" w:hAnsi="Arial" w:cs="Arial"/>
          <w:b/>
          <w:sz w:val="24"/>
          <w:szCs w:val="24"/>
        </w:rPr>
        <w:t>April</w:t>
      </w:r>
      <w:r w:rsidRPr="00377EEE">
        <w:rPr>
          <w:rFonts w:ascii="Arial" w:hAnsi="Arial" w:cs="Arial"/>
          <w:b/>
          <w:sz w:val="24"/>
          <w:szCs w:val="24"/>
        </w:rPr>
        <w:t xml:space="preserve"> </w:t>
      </w:r>
      <w:bookmarkEnd w:id="5"/>
      <w:r w:rsidR="00F91730" w:rsidRPr="00377EEE">
        <w:rPr>
          <w:rFonts w:ascii="Arial" w:hAnsi="Arial" w:cs="Arial"/>
          <w:b/>
          <w:bCs/>
          <w:sz w:val="24"/>
          <w:szCs w:val="24"/>
        </w:rPr>
        <w:t>202</w:t>
      </w:r>
      <w:r w:rsidRPr="00377EEE">
        <w:rPr>
          <w:rFonts w:ascii="Arial" w:hAnsi="Arial" w:cs="Arial"/>
          <w:b/>
          <w:bCs/>
          <w:sz w:val="24"/>
          <w:szCs w:val="24"/>
        </w:rPr>
        <w:t>5</w:t>
      </w:r>
      <w:r w:rsidR="00F91730" w:rsidRPr="00552E3E">
        <w:rPr>
          <w:rFonts w:ascii="Arial" w:eastAsia="Arial" w:hAnsi="Arial" w:cs="Arial"/>
          <w:color w:val="7030A0"/>
        </w:rPr>
        <w:br w:type="page"/>
      </w:r>
    </w:p>
    <w:sdt>
      <w:sdtPr>
        <w:rPr>
          <w:rFonts w:ascii="Calibri" w:eastAsia="Calibri" w:hAnsi="Calibri" w:cs="Times New Roman"/>
          <w:color w:val="auto"/>
          <w:sz w:val="22"/>
          <w:szCs w:val="22"/>
        </w:rPr>
        <w:id w:val="808526484"/>
        <w:docPartObj>
          <w:docPartGallery w:val="Table of Contents"/>
          <w:docPartUnique/>
        </w:docPartObj>
      </w:sdtPr>
      <w:sdtEndPr>
        <w:rPr>
          <w:b/>
          <w:bCs/>
          <w:noProof/>
        </w:rPr>
      </w:sdtEndPr>
      <w:sdtContent>
        <w:p w14:paraId="1CEBFE3E" w14:textId="6DCACCA0" w:rsidR="00D03788" w:rsidRDefault="00D03788">
          <w:pPr>
            <w:pStyle w:val="TOCHeading"/>
          </w:pPr>
          <w:r>
            <w:t>Table of Contents</w:t>
          </w:r>
        </w:p>
        <w:p w14:paraId="272E62BF" w14:textId="5C5AFF87" w:rsidR="00D03788" w:rsidRDefault="00D03788">
          <w:pPr>
            <w:pStyle w:val="TOC1"/>
            <w:tabs>
              <w:tab w:val="right" w:leader="dot" w:pos="9350"/>
            </w:tabs>
            <w:rPr>
              <w:rFonts w:asciiTheme="minorHAnsi" w:eastAsiaTheme="minorEastAsia" w:hAnsiTheme="minorHAnsi" w:cstheme="minorBidi"/>
              <w:noProof/>
              <w:color w:val="auto"/>
              <w:kern w:val="2"/>
              <w:szCs w:val="24"/>
              <w14:ligatures w14:val="standardContextual"/>
            </w:rPr>
          </w:pPr>
          <w:r>
            <w:fldChar w:fldCharType="begin"/>
          </w:r>
          <w:r>
            <w:instrText xml:space="preserve"> TOC \h \z \u \t "Heading 2,1,Heading 3,2,Heading 4,3,Heading 5,4" </w:instrText>
          </w:r>
          <w:r>
            <w:fldChar w:fldCharType="separate"/>
          </w:r>
          <w:hyperlink w:anchor="_Toc194671789" w:history="1">
            <w:r w:rsidRPr="00AB4A01">
              <w:rPr>
                <w:rStyle w:val="Hyperlink"/>
                <w:rFonts w:eastAsia="Arial" w:cs="Arial"/>
                <w:noProof/>
              </w:rPr>
              <w:t>State Accountability System</w:t>
            </w:r>
            <w:r>
              <w:rPr>
                <w:noProof/>
                <w:webHidden/>
              </w:rPr>
              <w:tab/>
            </w:r>
            <w:r>
              <w:rPr>
                <w:noProof/>
                <w:webHidden/>
              </w:rPr>
              <w:fldChar w:fldCharType="begin"/>
            </w:r>
            <w:r>
              <w:rPr>
                <w:noProof/>
                <w:webHidden/>
              </w:rPr>
              <w:instrText xml:space="preserve"> PAGEREF _Toc194671789 \h </w:instrText>
            </w:r>
            <w:r>
              <w:rPr>
                <w:noProof/>
                <w:webHidden/>
              </w:rPr>
            </w:r>
            <w:r>
              <w:rPr>
                <w:noProof/>
                <w:webHidden/>
              </w:rPr>
              <w:fldChar w:fldCharType="separate"/>
            </w:r>
            <w:r>
              <w:rPr>
                <w:noProof/>
                <w:webHidden/>
              </w:rPr>
              <w:t>2</w:t>
            </w:r>
            <w:r>
              <w:rPr>
                <w:noProof/>
                <w:webHidden/>
              </w:rPr>
              <w:fldChar w:fldCharType="end"/>
            </w:r>
          </w:hyperlink>
        </w:p>
        <w:p w14:paraId="398F103B" w14:textId="5C5FDFB0" w:rsidR="00D03788" w:rsidRPr="00D03788" w:rsidRDefault="00066318" w:rsidP="00D03788">
          <w:pPr>
            <w:pStyle w:val="TOC2"/>
            <w:rPr>
              <w:rFonts w:asciiTheme="minorHAnsi" w:eastAsiaTheme="minorEastAsia" w:hAnsiTheme="minorHAnsi" w:cstheme="minorBidi"/>
              <w:kern w:val="2"/>
              <w:szCs w:val="24"/>
              <w14:ligatures w14:val="standardContextual"/>
            </w:rPr>
          </w:pPr>
          <w:hyperlink w:anchor="_Toc194671790" w:history="1">
            <w:r w:rsidR="00D03788" w:rsidRPr="00D03788">
              <w:rPr>
                <w:rStyle w:val="Hyperlink"/>
              </w:rPr>
              <w:t>Subgroups</w:t>
            </w:r>
            <w:r w:rsidR="00D03788" w:rsidRPr="00D03788">
              <w:rPr>
                <w:webHidden/>
              </w:rPr>
              <w:tab/>
            </w:r>
            <w:r w:rsidR="00D03788" w:rsidRPr="00D03788">
              <w:rPr>
                <w:webHidden/>
              </w:rPr>
              <w:fldChar w:fldCharType="begin"/>
            </w:r>
            <w:r w:rsidR="00D03788" w:rsidRPr="00D03788">
              <w:rPr>
                <w:webHidden/>
              </w:rPr>
              <w:instrText xml:space="preserve"> PAGEREF _Toc194671790 \h </w:instrText>
            </w:r>
            <w:r w:rsidR="00D03788" w:rsidRPr="00D03788">
              <w:rPr>
                <w:webHidden/>
              </w:rPr>
            </w:r>
            <w:r w:rsidR="00D03788" w:rsidRPr="00D03788">
              <w:rPr>
                <w:webHidden/>
              </w:rPr>
              <w:fldChar w:fldCharType="separate"/>
            </w:r>
            <w:r w:rsidR="00D03788" w:rsidRPr="00D03788">
              <w:rPr>
                <w:webHidden/>
              </w:rPr>
              <w:t>3</w:t>
            </w:r>
            <w:r w:rsidR="00D03788" w:rsidRPr="00D03788">
              <w:rPr>
                <w:webHidden/>
              </w:rPr>
              <w:fldChar w:fldCharType="end"/>
            </w:r>
          </w:hyperlink>
        </w:p>
        <w:p w14:paraId="406E6EEA" w14:textId="6D41FCE0" w:rsidR="00D03788" w:rsidRDefault="00066318" w:rsidP="00D03788">
          <w:pPr>
            <w:pStyle w:val="TOC2"/>
            <w:rPr>
              <w:rFonts w:asciiTheme="minorHAnsi" w:eastAsiaTheme="minorEastAsia" w:hAnsiTheme="minorHAnsi" w:cstheme="minorBidi"/>
              <w:kern w:val="2"/>
              <w:szCs w:val="24"/>
              <w14:ligatures w14:val="standardContextual"/>
            </w:rPr>
          </w:pPr>
          <w:hyperlink w:anchor="_Toc194671791" w:history="1">
            <w:r w:rsidR="00D03788" w:rsidRPr="00AB4A01">
              <w:rPr>
                <w:rStyle w:val="Hyperlink"/>
              </w:rPr>
              <w:t>Minimum number of students</w:t>
            </w:r>
            <w:r w:rsidR="00D03788">
              <w:rPr>
                <w:webHidden/>
              </w:rPr>
              <w:tab/>
            </w:r>
            <w:r w:rsidR="00D03788">
              <w:rPr>
                <w:webHidden/>
              </w:rPr>
              <w:fldChar w:fldCharType="begin"/>
            </w:r>
            <w:r w:rsidR="00D03788">
              <w:rPr>
                <w:webHidden/>
              </w:rPr>
              <w:instrText xml:space="preserve"> PAGEREF _Toc194671791 \h </w:instrText>
            </w:r>
            <w:r w:rsidR="00D03788">
              <w:rPr>
                <w:webHidden/>
              </w:rPr>
            </w:r>
            <w:r w:rsidR="00D03788">
              <w:rPr>
                <w:webHidden/>
              </w:rPr>
              <w:fldChar w:fldCharType="separate"/>
            </w:r>
            <w:r w:rsidR="00D03788">
              <w:rPr>
                <w:webHidden/>
              </w:rPr>
              <w:t>4</w:t>
            </w:r>
            <w:r w:rsidR="00D03788">
              <w:rPr>
                <w:webHidden/>
              </w:rPr>
              <w:fldChar w:fldCharType="end"/>
            </w:r>
          </w:hyperlink>
        </w:p>
        <w:p w14:paraId="67A1EBC9" w14:textId="1580A688" w:rsidR="00D03788" w:rsidRDefault="00066318">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194671792" w:history="1">
            <w:r w:rsidR="00D03788" w:rsidRPr="00AB4A01">
              <w:rPr>
                <w:rStyle w:val="Hyperlink"/>
                <w:rFonts w:eastAsia="Arial" w:cs="Arial"/>
                <w:noProof/>
              </w:rPr>
              <w:t>Long-Term Goals and Measurements of Interim Progress</w:t>
            </w:r>
            <w:r w:rsidR="00D03788">
              <w:rPr>
                <w:noProof/>
                <w:webHidden/>
              </w:rPr>
              <w:tab/>
            </w:r>
            <w:r w:rsidR="00D03788">
              <w:rPr>
                <w:noProof/>
                <w:webHidden/>
              </w:rPr>
              <w:fldChar w:fldCharType="begin"/>
            </w:r>
            <w:r w:rsidR="00D03788">
              <w:rPr>
                <w:noProof/>
                <w:webHidden/>
              </w:rPr>
              <w:instrText xml:space="preserve"> PAGEREF _Toc194671792 \h </w:instrText>
            </w:r>
            <w:r w:rsidR="00D03788">
              <w:rPr>
                <w:noProof/>
                <w:webHidden/>
              </w:rPr>
            </w:r>
            <w:r w:rsidR="00D03788">
              <w:rPr>
                <w:noProof/>
                <w:webHidden/>
              </w:rPr>
              <w:fldChar w:fldCharType="separate"/>
            </w:r>
            <w:r w:rsidR="00D03788">
              <w:rPr>
                <w:noProof/>
                <w:webHidden/>
              </w:rPr>
              <w:t>5</w:t>
            </w:r>
            <w:r w:rsidR="00D03788">
              <w:rPr>
                <w:noProof/>
                <w:webHidden/>
              </w:rPr>
              <w:fldChar w:fldCharType="end"/>
            </w:r>
          </w:hyperlink>
        </w:p>
        <w:p w14:paraId="49DF639F" w14:textId="34C1FC45" w:rsidR="00D03788" w:rsidRDefault="00066318" w:rsidP="00D03788">
          <w:pPr>
            <w:pStyle w:val="TOC2"/>
            <w:rPr>
              <w:rFonts w:asciiTheme="minorHAnsi" w:eastAsiaTheme="minorEastAsia" w:hAnsiTheme="minorHAnsi" w:cstheme="minorBidi"/>
              <w:kern w:val="2"/>
              <w:szCs w:val="24"/>
              <w14:ligatures w14:val="standardContextual"/>
            </w:rPr>
          </w:pPr>
          <w:hyperlink w:anchor="_Toc194671793" w:history="1">
            <w:r w:rsidR="00D03788" w:rsidRPr="00AB4A01">
              <w:rPr>
                <w:rStyle w:val="Hyperlink"/>
              </w:rPr>
              <w:t>Academic Achievement</w:t>
            </w:r>
            <w:r w:rsidR="00D03788">
              <w:rPr>
                <w:webHidden/>
              </w:rPr>
              <w:tab/>
            </w:r>
            <w:r w:rsidR="00D03788">
              <w:rPr>
                <w:webHidden/>
              </w:rPr>
              <w:fldChar w:fldCharType="begin"/>
            </w:r>
            <w:r w:rsidR="00D03788">
              <w:rPr>
                <w:webHidden/>
              </w:rPr>
              <w:instrText xml:space="preserve"> PAGEREF _Toc194671793 \h </w:instrText>
            </w:r>
            <w:r w:rsidR="00D03788">
              <w:rPr>
                <w:webHidden/>
              </w:rPr>
            </w:r>
            <w:r w:rsidR="00D03788">
              <w:rPr>
                <w:webHidden/>
              </w:rPr>
              <w:fldChar w:fldCharType="separate"/>
            </w:r>
            <w:r w:rsidR="00D03788">
              <w:rPr>
                <w:webHidden/>
              </w:rPr>
              <w:t>5</w:t>
            </w:r>
            <w:r w:rsidR="00D03788">
              <w:rPr>
                <w:webHidden/>
              </w:rPr>
              <w:fldChar w:fldCharType="end"/>
            </w:r>
          </w:hyperlink>
        </w:p>
        <w:p w14:paraId="19FDB04B" w14:textId="23616BAD" w:rsidR="00D03788" w:rsidRDefault="00066318" w:rsidP="00D03788">
          <w:pPr>
            <w:pStyle w:val="TOC2"/>
            <w:rPr>
              <w:rFonts w:asciiTheme="minorHAnsi" w:eastAsiaTheme="minorEastAsia" w:hAnsiTheme="minorHAnsi" w:cstheme="minorBidi"/>
              <w:kern w:val="2"/>
              <w:szCs w:val="24"/>
              <w14:ligatures w14:val="standardContextual"/>
            </w:rPr>
          </w:pPr>
          <w:hyperlink w:anchor="_Toc194671794" w:history="1">
            <w:r w:rsidR="00D03788" w:rsidRPr="00AB4A01">
              <w:rPr>
                <w:rStyle w:val="Hyperlink"/>
              </w:rPr>
              <w:t>High School Graduation Rate</w:t>
            </w:r>
            <w:r w:rsidR="00D03788">
              <w:rPr>
                <w:webHidden/>
              </w:rPr>
              <w:tab/>
            </w:r>
            <w:r w:rsidR="00D03788">
              <w:rPr>
                <w:webHidden/>
              </w:rPr>
              <w:fldChar w:fldCharType="begin"/>
            </w:r>
            <w:r w:rsidR="00D03788">
              <w:rPr>
                <w:webHidden/>
              </w:rPr>
              <w:instrText xml:space="preserve"> PAGEREF _Toc194671794 \h </w:instrText>
            </w:r>
            <w:r w:rsidR="00D03788">
              <w:rPr>
                <w:webHidden/>
              </w:rPr>
            </w:r>
            <w:r w:rsidR="00D03788">
              <w:rPr>
                <w:webHidden/>
              </w:rPr>
              <w:fldChar w:fldCharType="separate"/>
            </w:r>
            <w:r w:rsidR="00D03788">
              <w:rPr>
                <w:webHidden/>
              </w:rPr>
              <w:t>7</w:t>
            </w:r>
            <w:r w:rsidR="00D03788">
              <w:rPr>
                <w:webHidden/>
              </w:rPr>
              <w:fldChar w:fldCharType="end"/>
            </w:r>
          </w:hyperlink>
        </w:p>
        <w:p w14:paraId="3460E571" w14:textId="2AB30634" w:rsidR="00D03788" w:rsidRDefault="00066318" w:rsidP="00D03788">
          <w:pPr>
            <w:pStyle w:val="TOC2"/>
            <w:rPr>
              <w:rFonts w:asciiTheme="minorHAnsi" w:eastAsiaTheme="minorEastAsia" w:hAnsiTheme="minorHAnsi" w:cstheme="minorBidi"/>
              <w:kern w:val="2"/>
              <w:szCs w:val="24"/>
              <w14:ligatures w14:val="standardContextual"/>
            </w:rPr>
          </w:pPr>
          <w:hyperlink w:anchor="_Toc194671795" w:history="1">
            <w:r w:rsidR="00D03788" w:rsidRPr="00AB4A01">
              <w:rPr>
                <w:rStyle w:val="Hyperlink"/>
                <w:rFonts w:eastAsia="Arial"/>
              </w:rPr>
              <w:t>Chronic Absenteeism</w:t>
            </w:r>
            <w:r w:rsidR="00D03788">
              <w:rPr>
                <w:webHidden/>
              </w:rPr>
              <w:tab/>
            </w:r>
            <w:r w:rsidR="00D03788">
              <w:rPr>
                <w:webHidden/>
              </w:rPr>
              <w:fldChar w:fldCharType="begin"/>
            </w:r>
            <w:r w:rsidR="00D03788">
              <w:rPr>
                <w:webHidden/>
              </w:rPr>
              <w:instrText xml:space="preserve"> PAGEREF _Toc194671795 \h </w:instrText>
            </w:r>
            <w:r w:rsidR="00D03788">
              <w:rPr>
                <w:webHidden/>
              </w:rPr>
            </w:r>
            <w:r w:rsidR="00D03788">
              <w:rPr>
                <w:webHidden/>
              </w:rPr>
              <w:fldChar w:fldCharType="separate"/>
            </w:r>
            <w:r w:rsidR="00D03788">
              <w:rPr>
                <w:webHidden/>
              </w:rPr>
              <w:t>8</w:t>
            </w:r>
            <w:r w:rsidR="00D03788">
              <w:rPr>
                <w:webHidden/>
              </w:rPr>
              <w:fldChar w:fldCharType="end"/>
            </w:r>
          </w:hyperlink>
        </w:p>
        <w:p w14:paraId="044F02BC" w14:textId="0FAC4E6D" w:rsidR="00D03788" w:rsidRDefault="00066318" w:rsidP="00D03788">
          <w:pPr>
            <w:pStyle w:val="TOC2"/>
            <w:rPr>
              <w:rFonts w:asciiTheme="minorHAnsi" w:eastAsiaTheme="minorEastAsia" w:hAnsiTheme="minorHAnsi" w:cstheme="minorBidi"/>
              <w:kern w:val="2"/>
              <w:szCs w:val="24"/>
              <w14:ligatures w14:val="standardContextual"/>
            </w:rPr>
          </w:pPr>
          <w:hyperlink w:anchor="_Toc194671796" w:history="1">
            <w:r w:rsidR="00D03788" w:rsidRPr="00AB4A01">
              <w:rPr>
                <w:rStyle w:val="Hyperlink"/>
                <w:rFonts w:eastAsia="Arial"/>
              </w:rPr>
              <w:t>Suspension Rate</w:t>
            </w:r>
            <w:r w:rsidR="00D03788">
              <w:rPr>
                <w:webHidden/>
              </w:rPr>
              <w:tab/>
            </w:r>
            <w:r w:rsidR="00D03788">
              <w:rPr>
                <w:webHidden/>
              </w:rPr>
              <w:fldChar w:fldCharType="begin"/>
            </w:r>
            <w:r w:rsidR="00D03788">
              <w:rPr>
                <w:webHidden/>
              </w:rPr>
              <w:instrText xml:space="preserve"> PAGEREF _Toc194671796 \h </w:instrText>
            </w:r>
            <w:r w:rsidR="00D03788">
              <w:rPr>
                <w:webHidden/>
              </w:rPr>
            </w:r>
            <w:r w:rsidR="00D03788">
              <w:rPr>
                <w:webHidden/>
              </w:rPr>
              <w:fldChar w:fldCharType="separate"/>
            </w:r>
            <w:r w:rsidR="00D03788">
              <w:rPr>
                <w:webHidden/>
              </w:rPr>
              <w:t>8</w:t>
            </w:r>
            <w:r w:rsidR="00D03788">
              <w:rPr>
                <w:webHidden/>
              </w:rPr>
              <w:fldChar w:fldCharType="end"/>
            </w:r>
          </w:hyperlink>
        </w:p>
        <w:p w14:paraId="6628A23D" w14:textId="6A38A96D" w:rsidR="00D03788" w:rsidRDefault="00066318" w:rsidP="00D03788">
          <w:pPr>
            <w:pStyle w:val="TOC2"/>
            <w:rPr>
              <w:rFonts w:asciiTheme="minorHAnsi" w:eastAsiaTheme="minorEastAsia" w:hAnsiTheme="minorHAnsi" w:cstheme="minorBidi"/>
              <w:kern w:val="2"/>
              <w:szCs w:val="24"/>
              <w14:ligatures w14:val="standardContextual"/>
            </w:rPr>
          </w:pPr>
          <w:hyperlink w:anchor="_Toc194671797" w:history="1">
            <w:r w:rsidR="00D03788" w:rsidRPr="00AB4A01">
              <w:rPr>
                <w:rStyle w:val="Hyperlink"/>
              </w:rPr>
              <w:t>College/Career Indicator</w:t>
            </w:r>
            <w:r w:rsidR="00D03788">
              <w:rPr>
                <w:webHidden/>
              </w:rPr>
              <w:tab/>
            </w:r>
            <w:r w:rsidR="00D03788">
              <w:rPr>
                <w:webHidden/>
              </w:rPr>
              <w:fldChar w:fldCharType="begin"/>
            </w:r>
            <w:r w:rsidR="00D03788">
              <w:rPr>
                <w:webHidden/>
              </w:rPr>
              <w:instrText xml:space="preserve"> PAGEREF _Toc194671797 \h </w:instrText>
            </w:r>
            <w:r w:rsidR="00D03788">
              <w:rPr>
                <w:webHidden/>
              </w:rPr>
            </w:r>
            <w:r w:rsidR="00D03788">
              <w:rPr>
                <w:webHidden/>
              </w:rPr>
              <w:fldChar w:fldCharType="separate"/>
            </w:r>
            <w:r w:rsidR="00D03788">
              <w:rPr>
                <w:webHidden/>
              </w:rPr>
              <w:t>8</w:t>
            </w:r>
            <w:r w:rsidR="00D03788">
              <w:rPr>
                <w:webHidden/>
              </w:rPr>
              <w:fldChar w:fldCharType="end"/>
            </w:r>
          </w:hyperlink>
        </w:p>
        <w:p w14:paraId="3FE4E3FD" w14:textId="7988B3CA" w:rsidR="00D03788" w:rsidRDefault="00066318" w:rsidP="00D03788">
          <w:pPr>
            <w:pStyle w:val="TOC2"/>
            <w:rPr>
              <w:rFonts w:asciiTheme="minorHAnsi" w:eastAsiaTheme="minorEastAsia" w:hAnsiTheme="minorHAnsi" w:cstheme="minorBidi"/>
              <w:kern w:val="2"/>
              <w:szCs w:val="24"/>
              <w14:ligatures w14:val="standardContextual"/>
            </w:rPr>
          </w:pPr>
          <w:hyperlink w:anchor="_Toc194671798" w:history="1">
            <w:r w:rsidR="00D03788" w:rsidRPr="00AB4A01">
              <w:rPr>
                <w:rStyle w:val="Hyperlink"/>
                <w:rFonts w:eastAsia="Times New Roman"/>
              </w:rPr>
              <w:t>English Learner Progress Indicator</w:t>
            </w:r>
            <w:r w:rsidR="00D03788">
              <w:rPr>
                <w:webHidden/>
              </w:rPr>
              <w:tab/>
            </w:r>
            <w:r w:rsidR="00D03788">
              <w:rPr>
                <w:webHidden/>
              </w:rPr>
              <w:fldChar w:fldCharType="begin"/>
            </w:r>
            <w:r w:rsidR="00D03788">
              <w:rPr>
                <w:webHidden/>
              </w:rPr>
              <w:instrText xml:space="preserve"> PAGEREF _Toc194671798 \h </w:instrText>
            </w:r>
            <w:r w:rsidR="00D03788">
              <w:rPr>
                <w:webHidden/>
              </w:rPr>
            </w:r>
            <w:r w:rsidR="00D03788">
              <w:rPr>
                <w:webHidden/>
              </w:rPr>
              <w:fldChar w:fldCharType="separate"/>
            </w:r>
            <w:r w:rsidR="00D03788">
              <w:rPr>
                <w:webHidden/>
              </w:rPr>
              <w:t>9</w:t>
            </w:r>
            <w:r w:rsidR="00D03788">
              <w:rPr>
                <w:webHidden/>
              </w:rPr>
              <w:fldChar w:fldCharType="end"/>
            </w:r>
          </w:hyperlink>
        </w:p>
        <w:p w14:paraId="4B0B34FB" w14:textId="32D84E2E" w:rsidR="00D03788" w:rsidRDefault="00066318">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194671799" w:history="1">
            <w:r w:rsidR="00D03788" w:rsidRPr="00AB4A01">
              <w:rPr>
                <w:rStyle w:val="Hyperlink"/>
                <w:rFonts w:cs="Arial"/>
                <w:noProof/>
              </w:rPr>
              <w:t>Comprehensive Support and Improvement (CSI)</w:t>
            </w:r>
            <w:r w:rsidR="00D03788">
              <w:rPr>
                <w:noProof/>
                <w:webHidden/>
              </w:rPr>
              <w:tab/>
            </w:r>
            <w:r w:rsidR="00D03788">
              <w:rPr>
                <w:noProof/>
                <w:webHidden/>
              </w:rPr>
              <w:fldChar w:fldCharType="begin"/>
            </w:r>
            <w:r w:rsidR="00D03788">
              <w:rPr>
                <w:noProof/>
                <w:webHidden/>
              </w:rPr>
              <w:instrText xml:space="preserve"> PAGEREF _Toc194671799 \h </w:instrText>
            </w:r>
            <w:r w:rsidR="00D03788">
              <w:rPr>
                <w:noProof/>
                <w:webHidden/>
              </w:rPr>
            </w:r>
            <w:r w:rsidR="00D03788">
              <w:rPr>
                <w:noProof/>
                <w:webHidden/>
              </w:rPr>
              <w:fldChar w:fldCharType="separate"/>
            </w:r>
            <w:r w:rsidR="00D03788">
              <w:rPr>
                <w:noProof/>
                <w:webHidden/>
              </w:rPr>
              <w:t>10</w:t>
            </w:r>
            <w:r w:rsidR="00D03788">
              <w:rPr>
                <w:noProof/>
                <w:webHidden/>
              </w:rPr>
              <w:fldChar w:fldCharType="end"/>
            </w:r>
          </w:hyperlink>
        </w:p>
        <w:p w14:paraId="07FC5362" w14:textId="7937648A" w:rsidR="00D03788" w:rsidRDefault="00066318" w:rsidP="00D03788">
          <w:pPr>
            <w:pStyle w:val="TOC2"/>
            <w:rPr>
              <w:rFonts w:asciiTheme="minorHAnsi" w:eastAsiaTheme="minorEastAsia" w:hAnsiTheme="minorHAnsi" w:cstheme="minorBidi"/>
              <w:kern w:val="2"/>
              <w:szCs w:val="24"/>
              <w14:ligatures w14:val="standardContextual"/>
            </w:rPr>
          </w:pPr>
          <w:hyperlink w:anchor="_Toc194671800" w:history="1">
            <w:r w:rsidR="00D03788" w:rsidRPr="00AB4A01">
              <w:rPr>
                <w:rStyle w:val="Hyperlink"/>
                <w:rFonts w:eastAsia="Times New Roman"/>
              </w:rPr>
              <w:t>Identification – Low Performing</w:t>
            </w:r>
            <w:r w:rsidR="00D03788">
              <w:rPr>
                <w:webHidden/>
              </w:rPr>
              <w:tab/>
            </w:r>
            <w:r w:rsidR="00D03788">
              <w:rPr>
                <w:webHidden/>
              </w:rPr>
              <w:fldChar w:fldCharType="begin"/>
            </w:r>
            <w:r w:rsidR="00D03788">
              <w:rPr>
                <w:webHidden/>
              </w:rPr>
              <w:instrText xml:space="preserve"> PAGEREF _Toc194671800 \h </w:instrText>
            </w:r>
            <w:r w:rsidR="00D03788">
              <w:rPr>
                <w:webHidden/>
              </w:rPr>
            </w:r>
            <w:r w:rsidR="00D03788">
              <w:rPr>
                <w:webHidden/>
              </w:rPr>
              <w:fldChar w:fldCharType="separate"/>
            </w:r>
            <w:r w:rsidR="00D03788">
              <w:rPr>
                <w:webHidden/>
              </w:rPr>
              <w:t>10</w:t>
            </w:r>
            <w:r w:rsidR="00D03788">
              <w:rPr>
                <w:webHidden/>
              </w:rPr>
              <w:fldChar w:fldCharType="end"/>
            </w:r>
          </w:hyperlink>
        </w:p>
        <w:p w14:paraId="7617940A" w14:textId="319C1EF1" w:rsidR="00D03788" w:rsidRDefault="00066318" w:rsidP="00D03788">
          <w:pPr>
            <w:pStyle w:val="TOC2"/>
            <w:rPr>
              <w:rFonts w:asciiTheme="minorHAnsi" w:eastAsiaTheme="minorEastAsia" w:hAnsiTheme="minorHAnsi" w:cstheme="minorBidi"/>
              <w:kern w:val="2"/>
              <w:szCs w:val="24"/>
              <w14:ligatures w14:val="standardContextual"/>
            </w:rPr>
          </w:pPr>
          <w:hyperlink w:anchor="_Toc194671801" w:history="1">
            <w:r w:rsidR="00D03788" w:rsidRPr="00AB4A01">
              <w:rPr>
                <w:rStyle w:val="Hyperlink"/>
                <w:rFonts w:eastAsia="Times New Roman"/>
              </w:rPr>
              <w:t>Identification – Low Graduation</w:t>
            </w:r>
            <w:r w:rsidR="00D03788">
              <w:rPr>
                <w:webHidden/>
              </w:rPr>
              <w:tab/>
            </w:r>
            <w:r w:rsidR="00D03788">
              <w:rPr>
                <w:webHidden/>
              </w:rPr>
              <w:fldChar w:fldCharType="begin"/>
            </w:r>
            <w:r w:rsidR="00D03788">
              <w:rPr>
                <w:webHidden/>
              </w:rPr>
              <w:instrText xml:space="preserve"> PAGEREF _Toc194671801 \h </w:instrText>
            </w:r>
            <w:r w:rsidR="00D03788">
              <w:rPr>
                <w:webHidden/>
              </w:rPr>
            </w:r>
            <w:r w:rsidR="00D03788">
              <w:rPr>
                <w:webHidden/>
              </w:rPr>
              <w:fldChar w:fldCharType="separate"/>
            </w:r>
            <w:r w:rsidR="00D03788">
              <w:rPr>
                <w:webHidden/>
              </w:rPr>
              <w:t>10</w:t>
            </w:r>
            <w:r w:rsidR="00D03788">
              <w:rPr>
                <w:webHidden/>
              </w:rPr>
              <w:fldChar w:fldCharType="end"/>
            </w:r>
          </w:hyperlink>
        </w:p>
        <w:p w14:paraId="019741BE" w14:textId="3476495B" w:rsidR="00D03788" w:rsidRDefault="00066318" w:rsidP="00D03788">
          <w:pPr>
            <w:pStyle w:val="TOC2"/>
            <w:rPr>
              <w:rFonts w:asciiTheme="minorHAnsi" w:eastAsiaTheme="minorEastAsia" w:hAnsiTheme="minorHAnsi" w:cstheme="minorBidi"/>
              <w:kern w:val="2"/>
              <w:szCs w:val="24"/>
              <w14:ligatures w14:val="standardContextual"/>
            </w:rPr>
          </w:pPr>
          <w:hyperlink w:anchor="_Toc194671802" w:history="1">
            <w:r w:rsidR="00D03788" w:rsidRPr="00AB4A01">
              <w:rPr>
                <w:rStyle w:val="Hyperlink"/>
                <w:rFonts w:eastAsia="Times New Roman"/>
              </w:rPr>
              <w:t>Exit Criteria – CSI</w:t>
            </w:r>
            <w:r w:rsidR="00D03788">
              <w:rPr>
                <w:webHidden/>
              </w:rPr>
              <w:tab/>
            </w:r>
            <w:r w:rsidR="00D03788">
              <w:rPr>
                <w:webHidden/>
              </w:rPr>
              <w:fldChar w:fldCharType="begin"/>
            </w:r>
            <w:r w:rsidR="00D03788">
              <w:rPr>
                <w:webHidden/>
              </w:rPr>
              <w:instrText xml:space="preserve"> PAGEREF _Toc194671802 \h </w:instrText>
            </w:r>
            <w:r w:rsidR="00D03788">
              <w:rPr>
                <w:webHidden/>
              </w:rPr>
            </w:r>
            <w:r w:rsidR="00D03788">
              <w:rPr>
                <w:webHidden/>
              </w:rPr>
              <w:fldChar w:fldCharType="separate"/>
            </w:r>
            <w:r w:rsidR="00D03788">
              <w:rPr>
                <w:webHidden/>
              </w:rPr>
              <w:t>11</w:t>
            </w:r>
            <w:r w:rsidR="00D03788">
              <w:rPr>
                <w:webHidden/>
              </w:rPr>
              <w:fldChar w:fldCharType="end"/>
            </w:r>
          </w:hyperlink>
        </w:p>
        <w:p w14:paraId="22C1BE1D" w14:textId="1F33EC42" w:rsidR="00D03788" w:rsidRDefault="00066318">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194671803" w:history="1">
            <w:r w:rsidR="00D03788" w:rsidRPr="00AB4A01">
              <w:rPr>
                <w:rStyle w:val="Hyperlink"/>
                <w:rFonts w:cs="Arial"/>
                <w:noProof/>
              </w:rPr>
              <w:t>Additional Targeted Support and Improvement (ATSI)</w:t>
            </w:r>
            <w:r w:rsidR="00D03788">
              <w:rPr>
                <w:noProof/>
                <w:webHidden/>
              </w:rPr>
              <w:tab/>
            </w:r>
            <w:r w:rsidR="00D03788">
              <w:rPr>
                <w:noProof/>
                <w:webHidden/>
              </w:rPr>
              <w:fldChar w:fldCharType="begin"/>
            </w:r>
            <w:r w:rsidR="00D03788">
              <w:rPr>
                <w:noProof/>
                <w:webHidden/>
              </w:rPr>
              <w:instrText xml:space="preserve"> PAGEREF _Toc194671803 \h </w:instrText>
            </w:r>
            <w:r w:rsidR="00D03788">
              <w:rPr>
                <w:noProof/>
                <w:webHidden/>
              </w:rPr>
            </w:r>
            <w:r w:rsidR="00D03788">
              <w:rPr>
                <w:noProof/>
                <w:webHidden/>
              </w:rPr>
              <w:fldChar w:fldCharType="separate"/>
            </w:r>
            <w:r w:rsidR="00D03788">
              <w:rPr>
                <w:noProof/>
                <w:webHidden/>
              </w:rPr>
              <w:t>11</w:t>
            </w:r>
            <w:r w:rsidR="00D03788">
              <w:rPr>
                <w:noProof/>
                <w:webHidden/>
              </w:rPr>
              <w:fldChar w:fldCharType="end"/>
            </w:r>
          </w:hyperlink>
        </w:p>
        <w:p w14:paraId="7DA718D4" w14:textId="5D9FC4E4" w:rsidR="00D03788" w:rsidRDefault="00066318" w:rsidP="00D03788">
          <w:pPr>
            <w:pStyle w:val="TOC2"/>
            <w:rPr>
              <w:rFonts w:asciiTheme="minorHAnsi" w:eastAsiaTheme="minorEastAsia" w:hAnsiTheme="minorHAnsi" w:cstheme="minorBidi"/>
              <w:kern w:val="2"/>
              <w:szCs w:val="24"/>
              <w14:ligatures w14:val="standardContextual"/>
            </w:rPr>
          </w:pPr>
          <w:hyperlink w:anchor="_Toc194671804" w:history="1">
            <w:r w:rsidR="00D03788" w:rsidRPr="00AB4A01">
              <w:rPr>
                <w:rStyle w:val="Hyperlink"/>
                <w:rFonts w:eastAsia="Times New Roman"/>
              </w:rPr>
              <w:t>Exit Criteria – ATSI</w:t>
            </w:r>
            <w:r w:rsidR="00D03788">
              <w:rPr>
                <w:webHidden/>
              </w:rPr>
              <w:tab/>
            </w:r>
            <w:r w:rsidR="00D03788">
              <w:rPr>
                <w:webHidden/>
              </w:rPr>
              <w:fldChar w:fldCharType="begin"/>
            </w:r>
            <w:r w:rsidR="00D03788">
              <w:rPr>
                <w:webHidden/>
              </w:rPr>
              <w:instrText xml:space="preserve"> PAGEREF _Toc194671804 \h </w:instrText>
            </w:r>
            <w:r w:rsidR="00D03788">
              <w:rPr>
                <w:webHidden/>
              </w:rPr>
            </w:r>
            <w:r w:rsidR="00D03788">
              <w:rPr>
                <w:webHidden/>
              </w:rPr>
              <w:fldChar w:fldCharType="separate"/>
            </w:r>
            <w:r w:rsidR="00D03788">
              <w:rPr>
                <w:webHidden/>
              </w:rPr>
              <w:t>11</w:t>
            </w:r>
            <w:r w:rsidR="00D03788">
              <w:rPr>
                <w:webHidden/>
              </w:rPr>
              <w:fldChar w:fldCharType="end"/>
            </w:r>
          </w:hyperlink>
        </w:p>
        <w:p w14:paraId="0E706E7F" w14:textId="49E972CA" w:rsidR="00D03788" w:rsidRDefault="00066318">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194671805" w:history="1">
            <w:r w:rsidR="00D03788" w:rsidRPr="00AB4A01">
              <w:rPr>
                <w:rStyle w:val="Hyperlink"/>
                <w:rFonts w:eastAsia="Times New Roman" w:cs="Arial"/>
                <w:noProof/>
              </w:rPr>
              <w:t>Additional Resources</w:t>
            </w:r>
            <w:r w:rsidR="00D03788">
              <w:rPr>
                <w:noProof/>
                <w:webHidden/>
              </w:rPr>
              <w:tab/>
            </w:r>
            <w:r w:rsidR="00D03788">
              <w:rPr>
                <w:noProof/>
                <w:webHidden/>
              </w:rPr>
              <w:fldChar w:fldCharType="begin"/>
            </w:r>
            <w:r w:rsidR="00D03788">
              <w:rPr>
                <w:noProof/>
                <w:webHidden/>
              </w:rPr>
              <w:instrText xml:space="preserve"> PAGEREF _Toc194671805 \h </w:instrText>
            </w:r>
            <w:r w:rsidR="00D03788">
              <w:rPr>
                <w:noProof/>
                <w:webHidden/>
              </w:rPr>
            </w:r>
            <w:r w:rsidR="00D03788">
              <w:rPr>
                <w:noProof/>
                <w:webHidden/>
              </w:rPr>
              <w:fldChar w:fldCharType="separate"/>
            </w:r>
            <w:r w:rsidR="00D03788">
              <w:rPr>
                <w:noProof/>
                <w:webHidden/>
              </w:rPr>
              <w:t>12</w:t>
            </w:r>
            <w:r w:rsidR="00D03788">
              <w:rPr>
                <w:noProof/>
                <w:webHidden/>
              </w:rPr>
              <w:fldChar w:fldCharType="end"/>
            </w:r>
          </w:hyperlink>
        </w:p>
        <w:p w14:paraId="24855A68" w14:textId="0A4BC88B" w:rsidR="00D03788" w:rsidRDefault="00D03788">
          <w:r>
            <w:rPr>
              <w:rFonts w:ascii="Arial" w:hAnsi="Arial"/>
              <w:color w:val="0000FF"/>
              <w:sz w:val="24"/>
            </w:rPr>
            <w:fldChar w:fldCharType="end"/>
          </w:r>
        </w:p>
      </w:sdtContent>
    </w:sdt>
    <w:p w14:paraId="279FD261" w14:textId="28233661" w:rsidR="00F91730" w:rsidRPr="00552E3E" w:rsidRDefault="00F91730">
      <w:pPr>
        <w:widowControl/>
        <w:spacing w:after="160" w:line="278" w:lineRule="auto"/>
        <w:rPr>
          <w:rFonts w:ascii="Arial" w:eastAsia="Arial" w:hAnsi="Arial" w:cs="Arial"/>
          <w:color w:val="7030A0"/>
          <w:kern w:val="2"/>
          <w:sz w:val="32"/>
          <w:szCs w:val="32"/>
          <w14:ligatures w14:val="standardContextual"/>
        </w:rPr>
      </w:pPr>
      <w:r w:rsidRPr="00552E3E">
        <w:rPr>
          <w:rFonts w:ascii="Arial" w:eastAsia="Arial" w:hAnsi="Arial" w:cs="Arial"/>
          <w:color w:val="7030A0"/>
          <w:kern w:val="2"/>
          <w:sz w:val="32"/>
          <w:szCs w:val="32"/>
          <w14:ligatures w14:val="standardContextual"/>
        </w:rPr>
        <w:br w:type="page"/>
      </w:r>
    </w:p>
    <w:p w14:paraId="53881A48" w14:textId="442A58DC" w:rsidR="006326B1" w:rsidRPr="00552E3E" w:rsidRDefault="00873E93" w:rsidP="006326B1">
      <w:pPr>
        <w:pStyle w:val="Heading2"/>
        <w:rPr>
          <w:rFonts w:ascii="Arial" w:eastAsia="Arial" w:hAnsi="Arial" w:cs="Arial"/>
          <w:color w:val="7030A0"/>
        </w:rPr>
      </w:pPr>
      <w:bookmarkStart w:id="6" w:name="_Toc194671789"/>
      <w:r w:rsidRPr="00552E3E">
        <w:rPr>
          <w:rFonts w:ascii="Arial" w:eastAsia="Arial" w:hAnsi="Arial" w:cs="Arial"/>
          <w:color w:val="7030A0"/>
        </w:rPr>
        <w:lastRenderedPageBreak/>
        <w:t>State Accountability System</w:t>
      </w:r>
      <w:bookmarkEnd w:id="6"/>
    </w:p>
    <w:p w14:paraId="6E611406" w14:textId="77777777" w:rsidR="00002068" w:rsidRPr="00552E3E" w:rsidRDefault="00002068" w:rsidP="00E06913">
      <w:pPr>
        <w:widowControl/>
        <w:spacing w:after="120" w:line="240" w:lineRule="auto"/>
        <w:rPr>
          <w:rFonts w:ascii="Arial" w:hAnsi="Arial" w:cs="Arial"/>
          <w:sz w:val="24"/>
          <w:szCs w:val="24"/>
        </w:rPr>
      </w:pPr>
      <w:r w:rsidRPr="00552E3E">
        <w:rPr>
          <w:rFonts w:ascii="Arial" w:hAnsi="Arial" w:cs="Arial"/>
          <w:sz w:val="24"/>
          <w:szCs w:val="24"/>
        </w:rPr>
        <w:t xml:space="preserve">California's accountability system is based on a multiple measures system that assess how local educational agencies (LEAs) and schools are meeting the needs of their students. Performance on these measures is reported through the California School Dashboard (Dashboard). </w:t>
      </w:r>
    </w:p>
    <w:p w14:paraId="6F0646E8" w14:textId="27FC6C5C" w:rsidR="006326B1" w:rsidRPr="00552E3E" w:rsidRDefault="00A3486D" w:rsidP="00E06913">
      <w:pPr>
        <w:widowControl/>
        <w:spacing w:after="120" w:line="240" w:lineRule="auto"/>
        <w:rPr>
          <w:rFonts w:ascii="Arial" w:hAnsi="Arial" w:cs="Arial"/>
          <w:sz w:val="24"/>
          <w:szCs w:val="24"/>
        </w:rPr>
      </w:pPr>
      <w:r w:rsidRPr="00552E3E">
        <w:rPr>
          <w:rFonts w:ascii="Arial" w:hAnsi="Arial" w:cs="Arial"/>
          <w:sz w:val="24"/>
          <w:szCs w:val="24"/>
        </w:rPr>
        <w:t>This accountability system</w:t>
      </w:r>
      <w:r w:rsidR="003736C1" w:rsidRPr="00552E3E">
        <w:rPr>
          <w:rFonts w:ascii="Arial" w:hAnsi="Arial" w:cs="Arial"/>
          <w:sz w:val="24"/>
          <w:szCs w:val="24"/>
        </w:rPr>
        <w:t xml:space="preserve"> </w:t>
      </w:r>
      <w:r w:rsidR="006326B1" w:rsidRPr="00552E3E">
        <w:rPr>
          <w:rFonts w:ascii="Arial" w:hAnsi="Arial" w:cs="Arial"/>
          <w:sz w:val="24"/>
          <w:szCs w:val="24"/>
        </w:rPr>
        <w:t xml:space="preserve">uses percentile distributions to create a five-by-five grid. This five-by-five grid provides 25 results that combine “Status” and “Change” to make an overall determination for each of </w:t>
      </w:r>
      <w:r w:rsidR="009B1C58">
        <w:rPr>
          <w:rFonts w:ascii="Arial" w:hAnsi="Arial" w:cs="Arial"/>
          <w:sz w:val="24"/>
          <w:szCs w:val="24"/>
        </w:rPr>
        <w:t>the</w:t>
      </w:r>
      <w:r w:rsidR="009B1C58" w:rsidRPr="00552E3E">
        <w:rPr>
          <w:rFonts w:ascii="Arial" w:hAnsi="Arial" w:cs="Arial"/>
          <w:sz w:val="24"/>
          <w:szCs w:val="24"/>
        </w:rPr>
        <w:t xml:space="preserve"> </w:t>
      </w:r>
      <w:r w:rsidR="006326B1" w:rsidRPr="00552E3E">
        <w:rPr>
          <w:rFonts w:ascii="Arial" w:hAnsi="Arial" w:cs="Arial"/>
          <w:sz w:val="24"/>
          <w:szCs w:val="24"/>
        </w:rPr>
        <w:t>Dashboard indicators. “Status” and “Change” receive equal weight in determining overall performance.</w:t>
      </w:r>
    </w:p>
    <w:p w14:paraId="5EDB1C01" w14:textId="77777777" w:rsidR="006326B1" w:rsidRPr="00552E3E" w:rsidRDefault="006326B1" w:rsidP="00E06913">
      <w:pPr>
        <w:widowControl/>
        <w:spacing w:after="120" w:line="240" w:lineRule="auto"/>
        <w:rPr>
          <w:rFonts w:ascii="Arial" w:hAnsi="Arial" w:cs="Arial"/>
          <w:sz w:val="24"/>
          <w:szCs w:val="24"/>
        </w:rPr>
      </w:pPr>
      <w:r w:rsidRPr="00552E3E">
        <w:rPr>
          <w:rFonts w:ascii="Arial" w:hAnsi="Arial" w:cs="Arial"/>
          <w:sz w:val="24"/>
          <w:szCs w:val="24"/>
        </w:rPr>
        <w:t>“Status” is determined using the current year performance (i.e., current year graduation rate), and “Change” is the difference between performance from the current year and the prior year, or between the current year and a multi-year weighted average.</w:t>
      </w:r>
    </w:p>
    <w:p w14:paraId="003784E9" w14:textId="3173BD42" w:rsidR="006326B1" w:rsidRPr="00552E3E" w:rsidRDefault="006326B1" w:rsidP="00E06913">
      <w:pPr>
        <w:widowControl/>
        <w:spacing w:after="120" w:line="240" w:lineRule="auto"/>
        <w:rPr>
          <w:rFonts w:ascii="Arial" w:hAnsi="Arial" w:cs="Arial"/>
          <w:sz w:val="24"/>
          <w:szCs w:val="24"/>
        </w:rPr>
      </w:pPr>
      <w:r w:rsidRPr="00552E3E">
        <w:rPr>
          <w:rFonts w:ascii="Arial" w:hAnsi="Arial" w:cs="Arial"/>
          <w:sz w:val="24"/>
          <w:szCs w:val="24"/>
        </w:rPr>
        <w:t xml:space="preserve">To determine the percentile cut scores for “Status,” </w:t>
      </w:r>
      <w:r w:rsidR="0056099B" w:rsidRPr="00552E3E">
        <w:rPr>
          <w:rFonts w:ascii="Arial" w:hAnsi="Arial" w:cs="Arial"/>
          <w:sz w:val="24"/>
          <w:szCs w:val="24"/>
        </w:rPr>
        <w:t>LEA</w:t>
      </w:r>
      <w:r w:rsidRPr="00552E3E">
        <w:rPr>
          <w:rFonts w:ascii="Arial" w:hAnsi="Arial" w:cs="Arial"/>
          <w:sz w:val="24"/>
          <w:szCs w:val="24"/>
        </w:rPr>
        <w:t xml:space="preserve">s and schools were ordered from highest to lowest and four cut points were selected based on the distribution. </w:t>
      </w:r>
    </w:p>
    <w:p w14:paraId="6CF28515" w14:textId="77777777" w:rsidR="006326B1" w:rsidRPr="00552E3E" w:rsidRDefault="006326B1" w:rsidP="00E06913">
      <w:pPr>
        <w:widowControl/>
        <w:spacing w:after="120" w:line="240" w:lineRule="auto"/>
        <w:rPr>
          <w:rFonts w:ascii="Arial" w:hAnsi="Arial" w:cs="Arial"/>
          <w:sz w:val="24"/>
          <w:szCs w:val="24"/>
        </w:rPr>
      </w:pPr>
      <w:r w:rsidRPr="00552E3E">
        <w:rPr>
          <w:rFonts w:ascii="Arial" w:hAnsi="Arial" w:cs="Arial"/>
          <w:sz w:val="24"/>
          <w:szCs w:val="24"/>
        </w:rPr>
        <w:t>These cut points created five “Status” levels:</w:t>
      </w:r>
    </w:p>
    <w:p w14:paraId="2EE85770" w14:textId="7C548AB5"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Very High</w:t>
      </w:r>
    </w:p>
    <w:p w14:paraId="226F3FA0" w14:textId="6566986A"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High</w:t>
      </w:r>
    </w:p>
    <w:p w14:paraId="20E8B219" w14:textId="6D4B5B09"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Medium</w:t>
      </w:r>
    </w:p>
    <w:p w14:paraId="1A051BD0" w14:textId="516C23E8"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Low</w:t>
      </w:r>
    </w:p>
    <w:p w14:paraId="54DE693E" w14:textId="33A32649"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Very Low</w:t>
      </w:r>
    </w:p>
    <w:p w14:paraId="7378605D" w14:textId="77777777" w:rsidR="006326B1" w:rsidRPr="00552E3E" w:rsidRDefault="006326B1" w:rsidP="00E06913">
      <w:pPr>
        <w:widowControl/>
        <w:spacing w:after="120" w:line="240" w:lineRule="auto"/>
        <w:rPr>
          <w:rFonts w:ascii="Arial" w:hAnsi="Arial" w:cs="Arial"/>
          <w:sz w:val="24"/>
          <w:szCs w:val="24"/>
        </w:rPr>
      </w:pPr>
      <w:r w:rsidRPr="00552E3E">
        <w:rPr>
          <w:rFonts w:ascii="Arial" w:hAnsi="Arial" w:cs="Arial"/>
          <w:sz w:val="24"/>
          <w:szCs w:val="24"/>
        </w:rPr>
        <w:t>For “Change” cut scores, LEAs and schools were ordered separately from highest to lowest for positive change and lowest to highest for negative change. These cuts points created five “Change” levels:</w:t>
      </w:r>
    </w:p>
    <w:p w14:paraId="6C15BEC0" w14:textId="6B22AB70"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Increased significantly</w:t>
      </w:r>
    </w:p>
    <w:p w14:paraId="1943CC68" w14:textId="2B8F8E81"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Increased</w:t>
      </w:r>
    </w:p>
    <w:p w14:paraId="5905609C" w14:textId="5E7B1C16"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Maintained</w:t>
      </w:r>
    </w:p>
    <w:p w14:paraId="3E582EAB" w14:textId="4ED6E7C7"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Declined</w:t>
      </w:r>
    </w:p>
    <w:p w14:paraId="0B4E5952" w14:textId="3A60427E"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Declined significantly</w:t>
      </w:r>
    </w:p>
    <w:p w14:paraId="57C55EB4" w14:textId="18597071" w:rsidR="006326B1" w:rsidRPr="00552E3E" w:rsidRDefault="006326B1" w:rsidP="00E06913">
      <w:pPr>
        <w:widowControl/>
        <w:spacing w:after="120" w:line="240" w:lineRule="auto"/>
        <w:rPr>
          <w:rFonts w:ascii="Arial" w:hAnsi="Arial" w:cs="Arial"/>
          <w:sz w:val="24"/>
          <w:szCs w:val="24"/>
        </w:rPr>
      </w:pPr>
      <w:r w:rsidRPr="00552E3E">
        <w:rPr>
          <w:rFonts w:ascii="Arial" w:hAnsi="Arial" w:cs="Arial"/>
          <w:sz w:val="24"/>
          <w:szCs w:val="24"/>
        </w:rPr>
        <w:t>Each indicator has its own unique set of cut points for “Status” and “Change,” which are determined in consultation with the CDE’s Technical Design Group to ensure validity and reliability in the indicator’s measurement</w:t>
      </w:r>
      <w:r w:rsidR="00376778" w:rsidRPr="00552E3E">
        <w:rPr>
          <w:rFonts w:ascii="Arial" w:hAnsi="Arial" w:cs="Arial"/>
          <w:sz w:val="24"/>
          <w:szCs w:val="24"/>
        </w:rPr>
        <w:t xml:space="preserve"> and is approved by the </w:t>
      </w:r>
      <w:r w:rsidR="5370709C" w:rsidRPr="00552E3E">
        <w:rPr>
          <w:rFonts w:ascii="Arial" w:hAnsi="Arial" w:cs="Arial"/>
          <w:sz w:val="24"/>
          <w:szCs w:val="24"/>
        </w:rPr>
        <w:t xml:space="preserve">California </w:t>
      </w:r>
      <w:r w:rsidR="00376778" w:rsidRPr="00552E3E">
        <w:rPr>
          <w:rFonts w:ascii="Arial" w:hAnsi="Arial" w:cs="Arial"/>
          <w:sz w:val="24"/>
          <w:szCs w:val="24"/>
        </w:rPr>
        <w:t>State Board of Education (SBE)</w:t>
      </w:r>
      <w:r w:rsidRPr="00552E3E">
        <w:rPr>
          <w:rFonts w:ascii="Arial" w:hAnsi="Arial" w:cs="Arial"/>
          <w:sz w:val="24"/>
          <w:szCs w:val="24"/>
        </w:rPr>
        <w:t>. The cut points will generally remain in place for seven years, although the</w:t>
      </w:r>
      <w:r w:rsidR="006A000A" w:rsidRPr="00552E3E">
        <w:rPr>
          <w:rFonts w:ascii="Arial" w:hAnsi="Arial" w:cs="Arial"/>
          <w:sz w:val="24"/>
          <w:szCs w:val="24"/>
        </w:rPr>
        <w:t xml:space="preserve"> SBE </w:t>
      </w:r>
      <w:r w:rsidRPr="00552E3E">
        <w:rPr>
          <w:rFonts w:ascii="Arial" w:hAnsi="Arial" w:cs="Arial"/>
          <w:sz w:val="24"/>
          <w:szCs w:val="24"/>
        </w:rPr>
        <w:t>may adjust the cut points earlier if statewide data demonstrate that the existing cut points no longer support meaningful differentiation of schools. By combining the results of both “Status” and “Change,” one of five color-coded “Performance Levels” can be assigned for each indicator:</w:t>
      </w:r>
    </w:p>
    <w:p w14:paraId="49CEF6E8" w14:textId="0C11CE36"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Blue</w:t>
      </w:r>
    </w:p>
    <w:p w14:paraId="23E3021E" w14:textId="5B4F0AAE"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Green</w:t>
      </w:r>
    </w:p>
    <w:p w14:paraId="56D4F896" w14:textId="41A0AE15"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Yellow</w:t>
      </w:r>
    </w:p>
    <w:p w14:paraId="43517B78" w14:textId="4ADCD475"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Orange</w:t>
      </w:r>
    </w:p>
    <w:p w14:paraId="27FA706E" w14:textId="725CBDBC"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Red</w:t>
      </w:r>
    </w:p>
    <w:p w14:paraId="4DB7EA87" w14:textId="1052DCE3" w:rsidR="006326B1" w:rsidRPr="00552E3E" w:rsidRDefault="006326B1" w:rsidP="002B7634">
      <w:pPr>
        <w:widowControl/>
        <w:spacing w:after="0" w:line="240" w:lineRule="auto"/>
        <w:ind w:left="-270"/>
        <w:rPr>
          <w:rFonts w:ascii="Arial" w:eastAsia="Times New Roman" w:hAnsi="Arial" w:cs="Arial"/>
          <w:b/>
          <w:sz w:val="24"/>
          <w:szCs w:val="24"/>
        </w:rPr>
      </w:pPr>
      <w:r w:rsidRPr="00552E3E">
        <w:rPr>
          <w:rFonts w:ascii="Arial" w:eastAsia="Times New Roman" w:hAnsi="Arial" w:cs="Arial"/>
          <w:b/>
          <w:sz w:val="24"/>
          <w:szCs w:val="24"/>
        </w:rPr>
        <w:lastRenderedPageBreak/>
        <w:t xml:space="preserve">Table </w:t>
      </w:r>
      <w:r w:rsidR="002B7634" w:rsidRPr="00552E3E">
        <w:rPr>
          <w:rFonts w:ascii="Arial" w:eastAsia="Times New Roman" w:hAnsi="Arial" w:cs="Arial"/>
          <w:b/>
          <w:sz w:val="24"/>
          <w:szCs w:val="24"/>
        </w:rPr>
        <w:t>1</w:t>
      </w:r>
      <w:r w:rsidRPr="00552E3E">
        <w:rPr>
          <w:rFonts w:ascii="Arial" w:eastAsia="Times New Roman" w:hAnsi="Arial" w:cs="Arial"/>
          <w:b/>
          <w:sz w:val="24"/>
          <w:szCs w:val="24"/>
        </w:rPr>
        <w:t>. Sample Five-by-Five Grid</w:t>
      </w:r>
    </w:p>
    <w:tbl>
      <w:tblPr>
        <w:tblStyle w:val="TableGrid"/>
        <w:tblW w:w="0" w:type="auto"/>
        <w:tblLook w:val="04A0" w:firstRow="1" w:lastRow="0" w:firstColumn="1" w:lastColumn="0" w:noHBand="0" w:noVBand="1"/>
        <w:tblDescription w:val="This table displays a sample of a Five-by-Five Grid."/>
      </w:tblPr>
      <w:tblGrid>
        <w:gridCol w:w="1491"/>
        <w:gridCol w:w="1643"/>
        <w:gridCol w:w="1505"/>
        <w:gridCol w:w="1544"/>
        <w:gridCol w:w="1524"/>
        <w:gridCol w:w="1643"/>
      </w:tblGrid>
      <w:tr w:rsidR="006326B1" w:rsidRPr="00552E3E" w14:paraId="05090A38" w14:textId="77777777" w:rsidTr="001B4E22">
        <w:trPr>
          <w:cantSplit/>
          <w:tblHeader/>
        </w:trPr>
        <w:tc>
          <w:tcPr>
            <w:tcW w:w="1558" w:type="dxa"/>
            <w:vAlign w:val="center"/>
          </w:tcPr>
          <w:p w14:paraId="23AD0A39"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Levels</w:t>
            </w:r>
          </w:p>
        </w:tc>
        <w:tc>
          <w:tcPr>
            <w:tcW w:w="1558" w:type="dxa"/>
            <w:vAlign w:val="center"/>
          </w:tcPr>
          <w:p w14:paraId="406DE3A1"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Change: Declined Significantly</w:t>
            </w:r>
          </w:p>
        </w:tc>
        <w:tc>
          <w:tcPr>
            <w:tcW w:w="1558" w:type="dxa"/>
            <w:vAlign w:val="center"/>
          </w:tcPr>
          <w:p w14:paraId="52C276CC"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Change: Declined</w:t>
            </w:r>
          </w:p>
        </w:tc>
        <w:tc>
          <w:tcPr>
            <w:tcW w:w="1558" w:type="dxa"/>
            <w:vAlign w:val="center"/>
          </w:tcPr>
          <w:p w14:paraId="09544BC0"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Change: Maintained</w:t>
            </w:r>
          </w:p>
        </w:tc>
        <w:tc>
          <w:tcPr>
            <w:tcW w:w="1559" w:type="dxa"/>
            <w:vAlign w:val="center"/>
          </w:tcPr>
          <w:p w14:paraId="01EABDD9"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Change: Increased</w:t>
            </w:r>
          </w:p>
        </w:tc>
        <w:tc>
          <w:tcPr>
            <w:tcW w:w="1559" w:type="dxa"/>
            <w:vAlign w:val="center"/>
          </w:tcPr>
          <w:p w14:paraId="2581F10B"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Change: Increased Significantly</w:t>
            </w:r>
          </w:p>
        </w:tc>
      </w:tr>
      <w:tr w:rsidR="006326B1" w:rsidRPr="00552E3E" w14:paraId="16622713" w14:textId="77777777" w:rsidTr="001B4E22">
        <w:trPr>
          <w:cantSplit/>
          <w:tblHeader/>
        </w:trPr>
        <w:tc>
          <w:tcPr>
            <w:tcW w:w="1558" w:type="dxa"/>
            <w:vAlign w:val="center"/>
          </w:tcPr>
          <w:p w14:paraId="46D9BAF1"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Status: Very High</w:t>
            </w:r>
          </w:p>
        </w:tc>
        <w:tc>
          <w:tcPr>
            <w:tcW w:w="1558" w:type="dxa"/>
            <w:shd w:val="clear" w:color="auto" w:fill="FFFF00"/>
            <w:vAlign w:val="center"/>
          </w:tcPr>
          <w:p w14:paraId="29E59D06"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Yellow</w:t>
            </w:r>
          </w:p>
        </w:tc>
        <w:tc>
          <w:tcPr>
            <w:tcW w:w="1558" w:type="dxa"/>
            <w:shd w:val="clear" w:color="auto" w:fill="006500"/>
            <w:vAlign w:val="center"/>
          </w:tcPr>
          <w:p w14:paraId="68C5B11D"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Green</w:t>
            </w:r>
          </w:p>
        </w:tc>
        <w:tc>
          <w:tcPr>
            <w:tcW w:w="1558" w:type="dxa"/>
            <w:shd w:val="clear" w:color="auto" w:fill="0000FF"/>
            <w:vAlign w:val="center"/>
          </w:tcPr>
          <w:p w14:paraId="03289FBF"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Blue</w:t>
            </w:r>
          </w:p>
        </w:tc>
        <w:tc>
          <w:tcPr>
            <w:tcW w:w="1559" w:type="dxa"/>
            <w:shd w:val="clear" w:color="auto" w:fill="0000FF"/>
            <w:vAlign w:val="center"/>
          </w:tcPr>
          <w:p w14:paraId="48851FAE"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Blue</w:t>
            </w:r>
          </w:p>
        </w:tc>
        <w:tc>
          <w:tcPr>
            <w:tcW w:w="1559" w:type="dxa"/>
            <w:shd w:val="clear" w:color="auto" w:fill="0000FF"/>
            <w:vAlign w:val="center"/>
          </w:tcPr>
          <w:p w14:paraId="361D2005"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Blue</w:t>
            </w:r>
          </w:p>
        </w:tc>
      </w:tr>
      <w:tr w:rsidR="006326B1" w:rsidRPr="00552E3E" w14:paraId="049A3B56" w14:textId="77777777" w:rsidTr="001B4E22">
        <w:trPr>
          <w:cantSplit/>
          <w:tblHeader/>
        </w:trPr>
        <w:tc>
          <w:tcPr>
            <w:tcW w:w="1558" w:type="dxa"/>
            <w:vAlign w:val="center"/>
          </w:tcPr>
          <w:p w14:paraId="4E81D3C6"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Status: High</w:t>
            </w:r>
          </w:p>
        </w:tc>
        <w:tc>
          <w:tcPr>
            <w:tcW w:w="1558" w:type="dxa"/>
            <w:shd w:val="clear" w:color="auto" w:fill="FFA500"/>
            <w:vAlign w:val="center"/>
          </w:tcPr>
          <w:p w14:paraId="65A644E5"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Orange</w:t>
            </w:r>
          </w:p>
        </w:tc>
        <w:tc>
          <w:tcPr>
            <w:tcW w:w="1558" w:type="dxa"/>
            <w:shd w:val="clear" w:color="auto" w:fill="FFFF00"/>
            <w:vAlign w:val="center"/>
          </w:tcPr>
          <w:p w14:paraId="36ADE999"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Yellow</w:t>
            </w:r>
          </w:p>
        </w:tc>
        <w:tc>
          <w:tcPr>
            <w:tcW w:w="1558" w:type="dxa"/>
            <w:shd w:val="clear" w:color="auto" w:fill="006500"/>
            <w:vAlign w:val="center"/>
          </w:tcPr>
          <w:p w14:paraId="48E75558"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Green</w:t>
            </w:r>
          </w:p>
        </w:tc>
        <w:tc>
          <w:tcPr>
            <w:tcW w:w="1559" w:type="dxa"/>
            <w:shd w:val="clear" w:color="auto" w:fill="006500"/>
            <w:vAlign w:val="center"/>
          </w:tcPr>
          <w:p w14:paraId="6DC1E4BC"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Green</w:t>
            </w:r>
          </w:p>
        </w:tc>
        <w:tc>
          <w:tcPr>
            <w:tcW w:w="1559" w:type="dxa"/>
            <w:shd w:val="clear" w:color="auto" w:fill="0000FF"/>
            <w:vAlign w:val="center"/>
          </w:tcPr>
          <w:p w14:paraId="42710359"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Blue</w:t>
            </w:r>
          </w:p>
        </w:tc>
      </w:tr>
      <w:tr w:rsidR="006326B1" w:rsidRPr="00552E3E" w14:paraId="24E1DE2B" w14:textId="77777777" w:rsidTr="001B4E22">
        <w:trPr>
          <w:cantSplit/>
          <w:tblHeader/>
        </w:trPr>
        <w:tc>
          <w:tcPr>
            <w:tcW w:w="1558" w:type="dxa"/>
            <w:vAlign w:val="center"/>
          </w:tcPr>
          <w:p w14:paraId="2BE30917"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Status: Medium</w:t>
            </w:r>
          </w:p>
        </w:tc>
        <w:tc>
          <w:tcPr>
            <w:tcW w:w="1558" w:type="dxa"/>
            <w:shd w:val="clear" w:color="auto" w:fill="FFA500"/>
            <w:vAlign w:val="center"/>
          </w:tcPr>
          <w:p w14:paraId="3FE08FB2"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Orange</w:t>
            </w:r>
          </w:p>
        </w:tc>
        <w:tc>
          <w:tcPr>
            <w:tcW w:w="1558" w:type="dxa"/>
            <w:shd w:val="clear" w:color="auto" w:fill="FFA500"/>
            <w:vAlign w:val="center"/>
          </w:tcPr>
          <w:p w14:paraId="24F57F6D"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Orange</w:t>
            </w:r>
          </w:p>
        </w:tc>
        <w:tc>
          <w:tcPr>
            <w:tcW w:w="1558" w:type="dxa"/>
            <w:shd w:val="clear" w:color="auto" w:fill="FFFF00"/>
            <w:vAlign w:val="center"/>
          </w:tcPr>
          <w:p w14:paraId="79263151"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Yellow</w:t>
            </w:r>
          </w:p>
        </w:tc>
        <w:tc>
          <w:tcPr>
            <w:tcW w:w="1559" w:type="dxa"/>
            <w:shd w:val="clear" w:color="auto" w:fill="006500"/>
            <w:vAlign w:val="center"/>
          </w:tcPr>
          <w:p w14:paraId="493EDD85"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Green</w:t>
            </w:r>
          </w:p>
        </w:tc>
        <w:tc>
          <w:tcPr>
            <w:tcW w:w="1559" w:type="dxa"/>
            <w:shd w:val="clear" w:color="auto" w:fill="006500"/>
            <w:vAlign w:val="center"/>
          </w:tcPr>
          <w:p w14:paraId="0BC52324"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Green</w:t>
            </w:r>
          </w:p>
        </w:tc>
      </w:tr>
      <w:tr w:rsidR="006326B1" w:rsidRPr="00552E3E" w14:paraId="4173BE0F" w14:textId="77777777" w:rsidTr="001B4E22">
        <w:trPr>
          <w:cantSplit/>
          <w:tblHeader/>
        </w:trPr>
        <w:tc>
          <w:tcPr>
            <w:tcW w:w="1558" w:type="dxa"/>
            <w:vAlign w:val="center"/>
          </w:tcPr>
          <w:p w14:paraId="0814D30B"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Status: Low</w:t>
            </w:r>
          </w:p>
        </w:tc>
        <w:tc>
          <w:tcPr>
            <w:tcW w:w="1558" w:type="dxa"/>
            <w:shd w:val="clear" w:color="auto" w:fill="A20000"/>
            <w:vAlign w:val="center"/>
          </w:tcPr>
          <w:p w14:paraId="21F1020C"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Red</w:t>
            </w:r>
          </w:p>
        </w:tc>
        <w:tc>
          <w:tcPr>
            <w:tcW w:w="1558" w:type="dxa"/>
            <w:shd w:val="clear" w:color="auto" w:fill="FFA500"/>
            <w:vAlign w:val="center"/>
          </w:tcPr>
          <w:p w14:paraId="35E850EA"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Orange</w:t>
            </w:r>
          </w:p>
        </w:tc>
        <w:tc>
          <w:tcPr>
            <w:tcW w:w="1558" w:type="dxa"/>
            <w:shd w:val="clear" w:color="auto" w:fill="FFA500"/>
            <w:vAlign w:val="center"/>
          </w:tcPr>
          <w:p w14:paraId="2C74F095"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Orange</w:t>
            </w:r>
          </w:p>
        </w:tc>
        <w:tc>
          <w:tcPr>
            <w:tcW w:w="1559" w:type="dxa"/>
            <w:shd w:val="clear" w:color="auto" w:fill="FFFF00"/>
            <w:vAlign w:val="center"/>
          </w:tcPr>
          <w:p w14:paraId="1D3E5A39"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Yellow</w:t>
            </w:r>
          </w:p>
        </w:tc>
        <w:tc>
          <w:tcPr>
            <w:tcW w:w="1559" w:type="dxa"/>
            <w:shd w:val="clear" w:color="auto" w:fill="FFFF00"/>
            <w:vAlign w:val="center"/>
          </w:tcPr>
          <w:p w14:paraId="7C180B3B"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Yellow</w:t>
            </w:r>
          </w:p>
        </w:tc>
      </w:tr>
      <w:tr w:rsidR="006326B1" w:rsidRPr="00552E3E" w14:paraId="332C4728" w14:textId="77777777" w:rsidTr="001B4E22">
        <w:trPr>
          <w:cantSplit/>
          <w:tblHeader/>
        </w:trPr>
        <w:tc>
          <w:tcPr>
            <w:tcW w:w="1558" w:type="dxa"/>
            <w:vAlign w:val="center"/>
          </w:tcPr>
          <w:p w14:paraId="104F2762"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Status: Very Low</w:t>
            </w:r>
          </w:p>
        </w:tc>
        <w:tc>
          <w:tcPr>
            <w:tcW w:w="1558" w:type="dxa"/>
            <w:shd w:val="clear" w:color="auto" w:fill="A20000"/>
            <w:vAlign w:val="center"/>
          </w:tcPr>
          <w:p w14:paraId="47A69D96"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Red</w:t>
            </w:r>
          </w:p>
        </w:tc>
        <w:tc>
          <w:tcPr>
            <w:tcW w:w="1558" w:type="dxa"/>
            <w:shd w:val="clear" w:color="auto" w:fill="A20000"/>
            <w:vAlign w:val="center"/>
          </w:tcPr>
          <w:p w14:paraId="5DF86C2A"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Red</w:t>
            </w:r>
          </w:p>
        </w:tc>
        <w:tc>
          <w:tcPr>
            <w:tcW w:w="1558" w:type="dxa"/>
            <w:shd w:val="clear" w:color="auto" w:fill="A20000"/>
            <w:vAlign w:val="center"/>
          </w:tcPr>
          <w:p w14:paraId="1E5A7DF2"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Red</w:t>
            </w:r>
          </w:p>
        </w:tc>
        <w:tc>
          <w:tcPr>
            <w:tcW w:w="1559" w:type="dxa"/>
            <w:shd w:val="clear" w:color="auto" w:fill="FFA500"/>
            <w:vAlign w:val="center"/>
          </w:tcPr>
          <w:p w14:paraId="109E7BF7"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Orange</w:t>
            </w:r>
          </w:p>
        </w:tc>
        <w:tc>
          <w:tcPr>
            <w:tcW w:w="1559" w:type="dxa"/>
            <w:shd w:val="clear" w:color="auto" w:fill="FFFF00"/>
            <w:vAlign w:val="center"/>
          </w:tcPr>
          <w:p w14:paraId="2B067E69"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Yellow</w:t>
            </w:r>
          </w:p>
        </w:tc>
      </w:tr>
    </w:tbl>
    <w:p w14:paraId="44B2882C" w14:textId="77777777" w:rsidR="006326B1" w:rsidRPr="00552E3E" w:rsidRDefault="006326B1" w:rsidP="006326B1">
      <w:pPr>
        <w:rPr>
          <w:rFonts w:ascii="Arial" w:hAnsi="Arial" w:cs="Arial"/>
          <w:sz w:val="24"/>
          <w:szCs w:val="24"/>
        </w:rPr>
      </w:pPr>
    </w:p>
    <w:p w14:paraId="101ED422" w14:textId="77777777" w:rsidR="006326B1" w:rsidRPr="00552E3E" w:rsidRDefault="006326B1" w:rsidP="0016596B">
      <w:pPr>
        <w:spacing w:after="120" w:line="240" w:lineRule="auto"/>
        <w:rPr>
          <w:rFonts w:ascii="Arial" w:hAnsi="Arial" w:cs="Arial"/>
          <w:sz w:val="24"/>
          <w:szCs w:val="24"/>
        </w:rPr>
      </w:pPr>
      <w:r w:rsidRPr="00552E3E">
        <w:rPr>
          <w:rFonts w:ascii="Arial" w:hAnsi="Arial" w:cs="Arial"/>
          <w:sz w:val="24"/>
          <w:szCs w:val="24"/>
        </w:rPr>
        <w:t>Schools receive a color-coded performance level for all students and each student group with at least 30 students on each indicator that applies based on the grades served by the school.</w:t>
      </w:r>
    </w:p>
    <w:p w14:paraId="09BCCF28" w14:textId="2A95C547" w:rsidR="006326B1" w:rsidRPr="00552E3E" w:rsidRDefault="006326B1" w:rsidP="0016596B">
      <w:pPr>
        <w:spacing w:after="120" w:line="240" w:lineRule="auto"/>
        <w:rPr>
          <w:rFonts w:ascii="Arial" w:hAnsi="Arial" w:cs="Arial"/>
          <w:sz w:val="24"/>
          <w:szCs w:val="24"/>
        </w:rPr>
      </w:pPr>
      <w:r w:rsidRPr="00552E3E">
        <w:rPr>
          <w:rFonts w:ascii="Arial" w:hAnsi="Arial" w:cs="Arial"/>
          <w:sz w:val="24"/>
          <w:szCs w:val="24"/>
        </w:rPr>
        <w:t xml:space="preserve">The differing possible combinations of colors on the indicators allow </w:t>
      </w:r>
      <w:r w:rsidR="47A8AA6E" w:rsidRPr="00552E3E">
        <w:rPr>
          <w:rFonts w:ascii="Arial" w:hAnsi="Arial" w:cs="Arial"/>
          <w:sz w:val="24"/>
          <w:szCs w:val="24"/>
        </w:rPr>
        <w:t xml:space="preserve">for </w:t>
      </w:r>
      <w:r w:rsidRPr="00552E3E">
        <w:rPr>
          <w:rFonts w:ascii="Arial" w:hAnsi="Arial" w:cs="Arial"/>
          <w:sz w:val="24"/>
          <w:szCs w:val="24"/>
        </w:rPr>
        <w:t>meaningful differentiation of performance for all s</w:t>
      </w:r>
      <w:r w:rsidR="77B9CBDE" w:rsidRPr="00552E3E">
        <w:rPr>
          <w:rFonts w:ascii="Arial" w:hAnsi="Arial" w:cs="Arial"/>
          <w:sz w:val="24"/>
          <w:szCs w:val="24"/>
        </w:rPr>
        <w:t>chool</w:t>
      </w:r>
      <w:r w:rsidRPr="00552E3E">
        <w:rPr>
          <w:rFonts w:ascii="Arial" w:hAnsi="Arial" w:cs="Arial"/>
          <w:sz w:val="24"/>
          <w:szCs w:val="24"/>
        </w:rPr>
        <w:t xml:space="preserve">s and each student group. For example, a school with all </w:t>
      </w:r>
      <w:proofErr w:type="gramStart"/>
      <w:r w:rsidRPr="00552E3E">
        <w:rPr>
          <w:rFonts w:ascii="Arial" w:hAnsi="Arial" w:cs="Arial"/>
          <w:sz w:val="24"/>
          <w:szCs w:val="24"/>
        </w:rPr>
        <w:t>Green</w:t>
      </w:r>
      <w:proofErr w:type="gramEnd"/>
      <w:r w:rsidRPr="00552E3E">
        <w:rPr>
          <w:rFonts w:ascii="Arial" w:hAnsi="Arial" w:cs="Arial"/>
          <w:sz w:val="24"/>
          <w:szCs w:val="24"/>
        </w:rPr>
        <w:t xml:space="preserve"> indicators is higher performing than another school with all Yellow indicators, but lower performing than a third school with all Green indicators except for one Blue indicator.</w:t>
      </w:r>
    </w:p>
    <w:p w14:paraId="2B63EADA" w14:textId="77777777" w:rsidR="006326B1" w:rsidRPr="00552E3E" w:rsidRDefault="006326B1" w:rsidP="0016596B">
      <w:pPr>
        <w:spacing w:after="120" w:line="240" w:lineRule="auto"/>
        <w:rPr>
          <w:rFonts w:ascii="Arial" w:hAnsi="Arial" w:cs="Arial"/>
          <w:sz w:val="24"/>
          <w:szCs w:val="24"/>
        </w:rPr>
      </w:pPr>
      <w:r w:rsidRPr="00552E3E">
        <w:rPr>
          <w:rFonts w:ascii="Arial" w:hAnsi="Arial" w:cs="Arial"/>
          <w:sz w:val="24"/>
          <w:szCs w:val="24"/>
        </w:rPr>
        <w:t>Similarly, the five distinct levels within Status and Change allow meaningful differentiation within each component used to determine overall performance.</w:t>
      </w:r>
    </w:p>
    <w:p w14:paraId="0AD2FF71" w14:textId="5C4F69E8" w:rsidR="00873E93" w:rsidRPr="00377EEE" w:rsidRDefault="00873E93" w:rsidP="0016596B">
      <w:pPr>
        <w:pStyle w:val="Heading3"/>
        <w:spacing w:line="240" w:lineRule="auto"/>
        <w:rPr>
          <w:rFonts w:ascii="Arial" w:eastAsia="Calibri" w:hAnsi="Arial" w:cs="Arial"/>
          <w:color w:val="auto"/>
          <w:kern w:val="0"/>
          <w:sz w:val="24"/>
          <w:szCs w:val="24"/>
          <w14:ligatures w14:val="none"/>
        </w:rPr>
      </w:pPr>
      <w:bookmarkStart w:id="7" w:name="_Toc194671790"/>
      <w:r w:rsidRPr="00377EEE">
        <w:rPr>
          <w:rFonts w:ascii="Arial" w:hAnsi="Arial" w:cs="Arial"/>
          <w:color w:val="7030A0"/>
        </w:rPr>
        <w:t>Subgroups</w:t>
      </w:r>
      <w:bookmarkEnd w:id="7"/>
    </w:p>
    <w:p w14:paraId="19DF5FDD" w14:textId="324712E7" w:rsidR="00873E93" w:rsidRPr="00377EEE" w:rsidRDefault="00873E93" w:rsidP="0016596B">
      <w:pPr>
        <w:spacing w:line="240" w:lineRule="auto"/>
        <w:rPr>
          <w:rFonts w:ascii="Arial" w:hAnsi="Arial" w:cs="Arial"/>
          <w:sz w:val="24"/>
          <w:szCs w:val="24"/>
        </w:rPr>
      </w:pPr>
      <w:r w:rsidRPr="00377EEE">
        <w:rPr>
          <w:rFonts w:ascii="Arial" w:hAnsi="Arial" w:cs="Arial"/>
          <w:sz w:val="24"/>
          <w:szCs w:val="24"/>
        </w:rPr>
        <w:t xml:space="preserve">In California, </w:t>
      </w:r>
      <w:r w:rsidR="00AA1773">
        <w:rPr>
          <w:rFonts w:ascii="Arial" w:hAnsi="Arial" w:cs="Arial"/>
          <w:sz w:val="24"/>
          <w:szCs w:val="24"/>
        </w:rPr>
        <w:t xml:space="preserve">for federal accountability purposes, </w:t>
      </w:r>
      <w:r w:rsidRPr="00377EEE">
        <w:rPr>
          <w:rFonts w:ascii="Arial" w:hAnsi="Arial" w:cs="Arial"/>
          <w:sz w:val="24"/>
          <w:szCs w:val="24"/>
        </w:rPr>
        <w:t>the racial/ethnic student groups are the following:</w:t>
      </w:r>
    </w:p>
    <w:p w14:paraId="296D5703" w14:textId="27E5481C" w:rsidR="00873E93" w:rsidRPr="00552E3E" w:rsidRDefault="00873E93" w:rsidP="0016596B">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Black or African American</w:t>
      </w:r>
    </w:p>
    <w:p w14:paraId="62AFCAA1" w14:textId="21B83B0E" w:rsidR="00873E93" w:rsidRPr="00552E3E" w:rsidRDefault="00873E93" w:rsidP="0016596B">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Asian</w:t>
      </w:r>
    </w:p>
    <w:p w14:paraId="0CFD79B4" w14:textId="02959056" w:rsidR="00873E93" w:rsidRPr="00552E3E" w:rsidRDefault="00873E93" w:rsidP="0016596B">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Filipino</w:t>
      </w:r>
    </w:p>
    <w:p w14:paraId="7332A17D" w14:textId="5DE8AC67" w:rsidR="00873E93" w:rsidRPr="00552E3E" w:rsidRDefault="00873E93" w:rsidP="0016596B">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lastRenderedPageBreak/>
        <w:t>Hispanic or Latino</w:t>
      </w:r>
    </w:p>
    <w:p w14:paraId="786A33F7" w14:textId="0039FEB4" w:rsidR="00873E93" w:rsidRPr="00552E3E" w:rsidRDefault="00873E93" w:rsidP="0016596B">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American Indian or Alaska Native</w:t>
      </w:r>
    </w:p>
    <w:p w14:paraId="1D5878CD" w14:textId="13791073" w:rsidR="00873E93" w:rsidRPr="00552E3E" w:rsidRDefault="00873E93" w:rsidP="0016596B">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Native Hawaiian or Pacific Islander</w:t>
      </w:r>
    </w:p>
    <w:p w14:paraId="661F23DE" w14:textId="45D26242" w:rsidR="00873E93" w:rsidRPr="00552E3E" w:rsidRDefault="00873E93" w:rsidP="0016596B">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Two or More Races</w:t>
      </w:r>
    </w:p>
    <w:p w14:paraId="026AA300" w14:textId="6840982B" w:rsidR="00873E93" w:rsidRPr="00552E3E" w:rsidRDefault="00873E93" w:rsidP="0016596B">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White</w:t>
      </w:r>
    </w:p>
    <w:p w14:paraId="461FE616" w14:textId="0B5BA12C" w:rsidR="02727E42" w:rsidRPr="00552E3E" w:rsidRDefault="02727E42" w:rsidP="0016596B">
      <w:pPr>
        <w:spacing w:line="240" w:lineRule="auto"/>
        <w:rPr>
          <w:rFonts w:ascii="Arial" w:eastAsia="Times New Roman" w:hAnsi="Arial" w:cs="Arial"/>
          <w:sz w:val="24"/>
          <w:szCs w:val="24"/>
        </w:rPr>
      </w:pPr>
      <w:r w:rsidRPr="00552E3E">
        <w:rPr>
          <w:rFonts w:ascii="Arial" w:eastAsia="Times New Roman" w:hAnsi="Arial" w:cs="Arial"/>
          <w:sz w:val="24"/>
          <w:szCs w:val="24"/>
        </w:rPr>
        <w:t>The program student groups in California are the following:</w:t>
      </w:r>
    </w:p>
    <w:p w14:paraId="2BE6F81D" w14:textId="51E0921F" w:rsidR="180EE759" w:rsidRPr="00552E3E" w:rsidRDefault="180EE759" w:rsidP="0016596B">
      <w:pPr>
        <w:pStyle w:val="ListParagraph"/>
        <w:numPr>
          <w:ilvl w:val="0"/>
          <w:numId w:val="1"/>
        </w:numPr>
        <w:spacing w:line="240" w:lineRule="auto"/>
        <w:rPr>
          <w:rFonts w:ascii="Arial" w:hAnsi="Arial" w:cs="Arial"/>
        </w:rPr>
      </w:pPr>
      <w:r w:rsidRPr="00552E3E">
        <w:rPr>
          <w:rFonts w:ascii="Arial" w:hAnsi="Arial" w:cs="Arial"/>
        </w:rPr>
        <w:t>Socioeconomically Disadvantaged</w:t>
      </w:r>
    </w:p>
    <w:p w14:paraId="7F3E6309" w14:textId="792F4190" w:rsidR="02727E42" w:rsidRPr="00552E3E" w:rsidRDefault="02727E42" w:rsidP="0016596B">
      <w:pPr>
        <w:pStyle w:val="ListParagraph"/>
        <w:numPr>
          <w:ilvl w:val="0"/>
          <w:numId w:val="1"/>
        </w:numPr>
        <w:spacing w:line="240" w:lineRule="auto"/>
        <w:rPr>
          <w:rFonts w:ascii="Arial" w:hAnsi="Arial" w:cs="Arial"/>
        </w:rPr>
      </w:pPr>
      <w:r w:rsidRPr="00552E3E">
        <w:rPr>
          <w:rFonts w:ascii="Arial" w:hAnsi="Arial" w:cs="Arial"/>
        </w:rPr>
        <w:t>English Learners</w:t>
      </w:r>
    </w:p>
    <w:p w14:paraId="504923D1" w14:textId="1EED5988" w:rsidR="02727E42" w:rsidRPr="00552E3E" w:rsidRDefault="02727E42" w:rsidP="0016596B">
      <w:pPr>
        <w:pStyle w:val="ListParagraph"/>
        <w:numPr>
          <w:ilvl w:val="0"/>
          <w:numId w:val="1"/>
        </w:numPr>
        <w:spacing w:line="240" w:lineRule="auto"/>
        <w:rPr>
          <w:rFonts w:ascii="Arial" w:hAnsi="Arial" w:cs="Arial"/>
        </w:rPr>
      </w:pPr>
      <w:r w:rsidRPr="00552E3E">
        <w:rPr>
          <w:rFonts w:ascii="Arial" w:hAnsi="Arial" w:cs="Arial"/>
        </w:rPr>
        <w:t>Students with Disabilities</w:t>
      </w:r>
    </w:p>
    <w:p w14:paraId="0AD1337D" w14:textId="4ABDA188" w:rsidR="02727E42" w:rsidRPr="00552E3E" w:rsidRDefault="02727E42" w:rsidP="0016596B">
      <w:pPr>
        <w:pStyle w:val="ListParagraph"/>
        <w:numPr>
          <w:ilvl w:val="0"/>
          <w:numId w:val="1"/>
        </w:numPr>
        <w:spacing w:line="240" w:lineRule="auto"/>
        <w:rPr>
          <w:rFonts w:ascii="Arial" w:hAnsi="Arial" w:cs="Arial"/>
        </w:rPr>
      </w:pPr>
      <w:r w:rsidRPr="00552E3E">
        <w:rPr>
          <w:rFonts w:ascii="Arial" w:hAnsi="Arial" w:cs="Arial"/>
        </w:rPr>
        <w:t>Foster Youth</w:t>
      </w:r>
    </w:p>
    <w:p w14:paraId="4B15C57E" w14:textId="4227CF9B" w:rsidR="6AC9E1AF" w:rsidRPr="00552E3E" w:rsidRDefault="02727E42" w:rsidP="0016596B">
      <w:pPr>
        <w:pStyle w:val="ListParagraph"/>
        <w:numPr>
          <w:ilvl w:val="0"/>
          <w:numId w:val="1"/>
        </w:numPr>
        <w:spacing w:line="240" w:lineRule="auto"/>
        <w:rPr>
          <w:rFonts w:ascii="Arial" w:hAnsi="Arial" w:cs="Arial"/>
        </w:rPr>
      </w:pPr>
      <w:r w:rsidRPr="00552E3E">
        <w:rPr>
          <w:rFonts w:ascii="Arial" w:hAnsi="Arial" w:cs="Arial"/>
        </w:rPr>
        <w:t>Homeless</w:t>
      </w:r>
    </w:p>
    <w:p w14:paraId="1D0D2448" w14:textId="3FEBBED0" w:rsidR="00713AFF" w:rsidRPr="00377EEE" w:rsidRDefault="00713AFF" w:rsidP="0016596B">
      <w:pPr>
        <w:pStyle w:val="Heading3"/>
        <w:spacing w:line="240" w:lineRule="auto"/>
        <w:rPr>
          <w:rFonts w:ascii="Arial" w:eastAsia="Arial" w:hAnsi="Arial" w:cs="Arial"/>
          <w:color w:val="7030A0"/>
        </w:rPr>
      </w:pPr>
      <w:bookmarkStart w:id="8" w:name="_Toc194671791"/>
      <w:r w:rsidRPr="00377EEE">
        <w:rPr>
          <w:rFonts w:ascii="Arial" w:hAnsi="Arial" w:cs="Arial"/>
          <w:color w:val="7030A0"/>
        </w:rPr>
        <w:t>Minimum number of students</w:t>
      </w:r>
      <w:bookmarkEnd w:id="8"/>
    </w:p>
    <w:p w14:paraId="4F6876C8" w14:textId="1CE86F6F" w:rsidR="00713AFF" w:rsidRPr="00552E3E" w:rsidRDefault="00713AFF" w:rsidP="0016596B">
      <w:pPr>
        <w:spacing w:after="120" w:line="240" w:lineRule="auto"/>
        <w:rPr>
          <w:rFonts w:ascii="Arial" w:hAnsi="Arial" w:cs="Arial"/>
          <w:sz w:val="24"/>
          <w:szCs w:val="24"/>
        </w:rPr>
      </w:pPr>
      <w:r w:rsidRPr="00552E3E">
        <w:rPr>
          <w:rFonts w:ascii="Arial" w:hAnsi="Arial" w:cs="Arial"/>
          <w:sz w:val="24"/>
          <w:szCs w:val="24"/>
        </w:rPr>
        <w:t>California’s accountability system will be applied to all schools, including charter schools, and all student groups with 30 or more students.</w:t>
      </w:r>
    </w:p>
    <w:p w14:paraId="4F1F03D6" w14:textId="3BDF9078" w:rsidR="00713AFF" w:rsidRPr="00552E3E" w:rsidRDefault="00713AFF" w:rsidP="0016596B">
      <w:pPr>
        <w:spacing w:after="120" w:line="240" w:lineRule="auto"/>
        <w:rPr>
          <w:rFonts w:ascii="Arial" w:hAnsi="Arial" w:cs="Arial"/>
          <w:sz w:val="24"/>
          <w:szCs w:val="24"/>
        </w:rPr>
      </w:pPr>
      <w:r w:rsidRPr="00552E3E">
        <w:rPr>
          <w:rFonts w:ascii="Arial" w:hAnsi="Arial" w:cs="Arial"/>
          <w:sz w:val="24"/>
          <w:szCs w:val="24"/>
        </w:rPr>
        <w:t xml:space="preserve">California will produce an accountability report for every public school in the state. Schools with less than 30 students will receive data; however, they will not receive a performance level (i.e., a color) consistent with the requirement in </w:t>
      </w:r>
      <w:r w:rsidR="00BF2005" w:rsidRPr="00552E3E">
        <w:rPr>
          <w:rFonts w:ascii="Arial" w:hAnsi="Arial" w:cs="Arial"/>
          <w:sz w:val="24"/>
          <w:szCs w:val="24"/>
        </w:rPr>
        <w:t>Every Student Succeeds Act (</w:t>
      </w:r>
      <w:r w:rsidRPr="00552E3E">
        <w:rPr>
          <w:rFonts w:ascii="Arial" w:hAnsi="Arial" w:cs="Arial"/>
          <w:sz w:val="24"/>
          <w:szCs w:val="24"/>
        </w:rPr>
        <w:t>ESSA</w:t>
      </w:r>
      <w:r w:rsidR="00BF2005" w:rsidRPr="00552E3E">
        <w:rPr>
          <w:rFonts w:ascii="Arial" w:hAnsi="Arial" w:cs="Arial"/>
          <w:sz w:val="24"/>
          <w:szCs w:val="24"/>
        </w:rPr>
        <w:t>)</w:t>
      </w:r>
      <w:r w:rsidRPr="00552E3E">
        <w:rPr>
          <w:rFonts w:ascii="Arial" w:hAnsi="Arial" w:cs="Arial"/>
          <w:sz w:val="24"/>
          <w:szCs w:val="24"/>
        </w:rPr>
        <w:t>, Section 1111(c)(3)(A)(i) that the state plan describe a minimum n-size to be used for any provisions requiring disaggregation of performance data by student groups and that the minimum n-size be the same for all students and student groups. This will provide small schools with data that they can use to improve student performance.</w:t>
      </w:r>
    </w:p>
    <w:p w14:paraId="6900679D" w14:textId="4B1CA3D0" w:rsidR="00713AFF" w:rsidRPr="00552E3E" w:rsidRDefault="00713AFF" w:rsidP="0016596B">
      <w:pPr>
        <w:spacing w:after="120" w:line="240" w:lineRule="auto"/>
        <w:rPr>
          <w:rFonts w:ascii="Arial" w:hAnsi="Arial" w:cs="Arial"/>
          <w:sz w:val="24"/>
          <w:szCs w:val="24"/>
        </w:rPr>
      </w:pPr>
      <w:r w:rsidRPr="00552E3E">
        <w:rPr>
          <w:rFonts w:ascii="Arial" w:hAnsi="Arial" w:cs="Arial"/>
          <w:sz w:val="24"/>
          <w:szCs w:val="24"/>
        </w:rPr>
        <w:t>In addition, California’s accountability system includes LEAs. The indicators used for school accountability will also be applied at the LEA level. As a result, the performance of students in schools with less than 30 students will be rolled up to the LEA level and to the state level, and the performance of those students is used for accountability determinations and identification for assistance of LEAs under state law. Schools with less than 30 students will have access to these tools to assist them in their improvement plans. (Note: For privacy purposes results are never displayed for fewer than 11 students.)</w:t>
      </w:r>
    </w:p>
    <w:p w14:paraId="7931264C" w14:textId="66C11E34" w:rsidR="00713AFF" w:rsidRPr="00552E3E" w:rsidRDefault="00713AFF" w:rsidP="0016596B">
      <w:pPr>
        <w:spacing w:after="120" w:line="240" w:lineRule="auto"/>
        <w:rPr>
          <w:rFonts w:ascii="Arial" w:hAnsi="Arial" w:cs="Arial"/>
          <w:sz w:val="24"/>
          <w:szCs w:val="24"/>
        </w:rPr>
      </w:pPr>
      <w:r w:rsidRPr="00552E3E">
        <w:rPr>
          <w:rFonts w:ascii="Arial" w:hAnsi="Arial" w:cs="Arial"/>
          <w:sz w:val="24"/>
          <w:szCs w:val="24"/>
        </w:rPr>
        <w:t>For schools that are so small that they do not receive a color-coded performance level on any indicator within the Dashboard, the CDE will review their performance data and other relevant information annually and shall identify them for comprehensive support and improvement or targeted support and improvement assistance based on any identified performance issues.</w:t>
      </w:r>
    </w:p>
    <w:p w14:paraId="6CF4D15E" w14:textId="6D97193C" w:rsidR="00713AFF" w:rsidRPr="00552E3E" w:rsidRDefault="00713AFF" w:rsidP="0016596B">
      <w:pPr>
        <w:spacing w:after="120" w:line="240" w:lineRule="auto"/>
        <w:rPr>
          <w:rFonts w:ascii="Arial" w:hAnsi="Arial" w:cs="Arial"/>
          <w:sz w:val="24"/>
          <w:szCs w:val="24"/>
        </w:rPr>
      </w:pPr>
      <w:r w:rsidRPr="00552E3E">
        <w:rPr>
          <w:rFonts w:ascii="Arial" w:hAnsi="Arial" w:cs="Arial"/>
          <w:sz w:val="24"/>
          <w:szCs w:val="24"/>
        </w:rPr>
        <w:t>California’s accountability system uses both “Status” and “Change,” which requires two consecutive years of data. Therefore, newly opened schools will not receive performance levels on the state indicators until the second year of data are available. Schools will not be eligible for comprehensive or targeted support until they receive performance levels on the state indicators</w:t>
      </w:r>
    </w:p>
    <w:p w14:paraId="049FBADD" w14:textId="7105A609" w:rsidR="00713AFF" w:rsidRPr="00552E3E" w:rsidRDefault="00553FC6" w:rsidP="0016596B">
      <w:pPr>
        <w:pStyle w:val="Heading2"/>
        <w:spacing w:line="240" w:lineRule="auto"/>
        <w:rPr>
          <w:rFonts w:ascii="Arial" w:eastAsia="Arial" w:hAnsi="Arial" w:cs="Arial"/>
          <w:color w:val="7030A0"/>
        </w:rPr>
      </w:pPr>
      <w:bookmarkStart w:id="9" w:name="_Toc194671792"/>
      <w:r w:rsidRPr="00552E3E">
        <w:rPr>
          <w:rFonts w:ascii="Arial" w:eastAsia="Arial" w:hAnsi="Arial" w:cs="Arial"/>
          <w:color w:val="7030A0"/>
        </w:rPr>
        <w:lastRenderedPageBreak/>
        <w:t>Long-Term Goals</w:t>
      </w:r>
      <w:r w:rsidR="002B7634" w:rsidRPr="00552E3E">
        <w:rPr>
          <w:rFonts w:ascii="Arial" w:eastAsia="Arial" w:hAnsi="Arial" w:cs="Arial"/>
          <w:color w:val="7030A0"/>
        </w:rPr>
        <w:t xml:space="preserve"> and Measurements of Interim Progress</w:t>
      </w:r>
      <w:bookmarkEnd w:id="9"/>
    </w:p>
    <w:p w14:paraId="5BA1E1A0" w14:textId="4C2301CE" w:rsidR="00553FC6" w:rsidRPr="00552E3E" w:rsidRDefault="00553FC6" w:rsidP="0016596B">
      <w:pPr>
        <w:spacing w:after="120" w:line="240" w:lineRule="auto"/>
        <w:rPr>
          <w:rFonts w:ascii="Arial" w:hAnsi="Arial" w:cs="Arial"/>
          <w:sz w:val="24"/>
          <w:szCs w:val="24"/>
        </w:rPr>
      </w:pPr>
      <w:r w:rsidRPr="00552E3E">
        <w:rPr>
          <w:rFonts w:ascii="Arial" w:hAnsi="Arial" w:cs="Arial"/>
          <w:sz w:val="24"/>
          <w:szCs w:val="24"/>
        </w:rPr>
        <w:t>Long-term goals, and the ability for LEAs or schools to determine interim progress goals, are built into the California Model. This system is based on a five-by-five colored grid that produces 25 results. Each of these 25 results represent a combination of current performance (known as “Status”) and how current performance compares to past performance (known as “Change”). Overall performance within the California Model therefore includes whether there has been improvement, and a school and student group’s placement on the grid determines the improvement that is required to maintain the current performance level (color) on the grid or to move to the next performance level. Goals can be established relative to overall performance within the Status and/or Change components of the five-by-five colored grids.</w:t>
      </w:r>
    </w:p>
    <w:p w14:paraId="5F6EFFD1" w14:textId="7652D2BD" w:rsidR="00987245" w:rsidRPr="00552E3E" w:rsidRDefault="00870B8F" w:rsidP="0016596B">
      <w:pPr>
        <w:spacing w:after="120" w:line="240" w:lineRule="auto"/>
        <w:rPr>
          <w:rFonts w:ascii="Arial" w:hAnsi="Arial" w:cs="Arial"/>
          <w:sz w:val="24"/>
          <w:szCs w:val="24"/>
        </w:rPr>
      </w:pPr>
      <w:r w:rsidRPr="00552E3E">
        <w:rPr>
          <w:rFonts w:ascii="Arial" w:hAnsi="Arial" w:cs="Arial"/>
          <w:sz w:val="24"/>
          <w:szCs w:val="24"/>
        </w:rPr>
        <w:t>For each indicator, “Status” and “Change” have equal weight. In addition, each indicator is given equal weight when meaningfully differentiating schools, with ELA and Mathematics assessments considered as two separate indicators for school differentiation.</w:t>
      </w:r>
    </w:p>
    <w:p w14:paraId="71853BDF" w14:textId="00659798" w:rsidR="002B7634" w:rsidRPr="00552E3E" w:rsidRDefault="00553FC6" w:rsidP="0016596B">
      <w:pPr>
        <w:spacing w:after="120" w:line="240" w:lineRule="auto"/>
        <w:rPr>
          <w:rFonts w:ascii="Arial" w:hAnsi="Arial" w:cs="Arial"/>
          <w:sz w:val="24"/>
          <w:szCs w:val="24"/>
        </w:rPr>
      </w:pPr>
      <w:r w:rsidRPr="00552E3E">
        <w:rPr>
          <w:rFonts w:ascii="Arial" w:hAnsi="Arial" w:cs="Arial"/>
          <w:sz w:val="24"/>
          <w:szCs w:val="24"/>
        </w:rPr>
        <w:t xml:space="preserve">An overview of the California accountability model (California Model) is provided on the CDE California Accountability Model &amp; School Dashboard </w:t>
      </w:r>
      <w:r w:rsidR="00675ED0">
        <w:rPr>
          <w:rFonts w:ascii="Arial" w:hAnsi="Arial" w:cs="Arial"/>
          <w:sz w:val="24"/>
          <w:szCs w:val="24"/>
        </w:rPr>
        <w:t>w</w:t>
      </w:r>
      <w:r w:rsidRPr="00552E3E">
        <w:rPr>
          <w:rFonts w:ascii="Arial" w:hAnsi="Arial" w:cs="Arial"/>
          <w:sz w:val="24"/>
          <w:szCs w:val="24"/>
        </w:rPr>
        <w:t xml:space="preserve">eb page at </w:t>
      </w:r>
      <w:hyperlink r:id="rId13" w:tooltip="California Accountability Model &amp; School Dashboard Web page " w:history="1">
        <w:r w:rsidRPr="00552E3E">
          <w:rPr>
            <w:rStyle w:val="Hyperlink"/>
            <w:rFonts w:ascii="Arial" w:hAnsi="Arial" w:cs="Arial"/>
            <w:sz w:val="24"/>
            <w:szCs w:val="24"/>
          </w:rPr>
          <w:t>http://www.cde.ca.gov/ta/ac/cm/</w:t>
        </w:r>
      </w:hyperlink>
      <w:r w:rsidRPr="00552E3E">
        <w:rPr>
          <w:rFonts w:ascii="Arial" w:hAnsi="Arial" w:cs="Arial"/>
          <w:sz w:val="24"/>
          <w:szCs w:val="24"/>
        </w:rPr>
        <w:t xml:space="preserve">. Detailed information on the production of the indicators in the California Model is provided in the California Accountability System: California School Dashboard Technical Guide available on the CDE </w:t>
      </w:r>
      <w:r w:rsidR="00675ED0">
        <w:rPr>
          <w:rFonts w:ascii="Arial" w:hAnsi="Arial" w:cs="Arial"/>
          <w:sz w:val="24"/>
          <w:szCs w:val="24"/>
        </w:rPr>
        <w:t>w</w:t>
      </w:r>
      <w:r w:rsidRPr="00552E3E">
        <w:rPr>
          <w:rFonts w:ascii="Arial" w:hAnsi="Arial" w:cs="Arial"/>
          <w:sz w:val="24"/>
          <w:szCs w:val="24"/>
        </w:rPr>
        <w:t xml:space="preserve">eb page at </w:t>
      </w:r>
      <w:hyperlink r:id="rId14" w:tooltip="California Accountability System: California School Dashboard Technical Guide" w:history="1">
        <w:r w:rsidR="002B7634" w:rsidRPr="00552E3E">
          <w:rPr>
            <w:rStyle w:val="Hyperlink"/>
            <w:rFonts w:ascii="Arial" w:hAnsi="Arial" w:cs="Arial"/>
            <w:sz w:val="24"/>
            <w:szCs w:val="24"/>
          </w:rPr>
          <w:t>https://www.cde.ca.gov/ta/ac/cm/dashboardguide22.asp</w:t>
        </w:r>
      </w:hyperlink>
      <w:r w:rsidR="002B7634" w:rsidRPr="00552E3E">
        <w:rPr>
          <w:rStyle w:val="Hyperlink"/>
          <w:rFonts w:ascii="Arial" w:hAnsi="Arial" w:cs="Arial"/>
          <w:sz w:val="24"/>
          <w:szCs w:val="24"/>
        </w:rPr>
        <w:t>.</w:t>
      </w:r>
    </w:p>
    <w:p w14:paraId="24FD1BF8" w14:textId="185AE162" w:rsidR="00553FC6" w:rsidRPr="00377EEE" w:rsidRDefault="00553FC6" w:rsidP="0016596B">
      <w:pPr>
        <w:pStyle w:val="Heading3"/>
        <w:spacing w:line="240" w:lineRule="auto"/>
        <w:rPr>
          <w:rFonts w:ascii="Arial" w:hAnsi="Arial" w:cs="Arial"/>
          <w:color w:val="7030A0"/>
        </w:rPr>
      </w:pPr>
      <w:bookmarkStart w:id="10" w:name="_Toc194671793"/>
      <w:r w:rsidRPr="00377EEE">
        <w:rPr>
          <w:rFonts w:ascii="Arial" w:hAnsi="Arial" w:cs="Arial"/>
          <w:color w:val="7030A0"/>
        </w:rPr>
        <w:t>Academic Achievement</w:t>
      </w:r>
      <w:bookmarkEnd w:id="10"/>
    </w:p>
    <w:p w14:paraId="057438BE" w14:textId="18BE0FAA" w:rsidR="00553FC6" w:rsidRPr="00552E3E" w:rsidRDefault="27F1D26E" w:rsidP="0016596B">
      <w:pPr>
        <w:spacing w:after="120" w:line="240" w:lineRule="auto"/>
        <w:rPr>
          <w:rFonts w:ascii="Arial" w:hAnsi="Arial" w:cs="Arial"/>
          <w:sz w:val="24"/>
          <w:szCs w:val="24"/>
        </w:rPr>
      </w:pPr>
      <w:r w:rsidRPr="00552E3E">
        <w:rPr>
          <w:rFonts w:ascii="Arial" w:hAnsi="Arial" w:cs="Arial"/>
          <w:sz w:val="24"/>
          <w:szCs w:val="24"/>
        </w:rPr>
        <w:t>Academic</w:t>
      </w:r>
      <w:r w:rsidR="00553FC6" w:rsidRPr="00552E3E">
        <w:rPr>
          <w:rFonts w:ascii="Arial" w:hAnsi="Arial" w:cs="Arial"/>
          <w:sz w:val="24"/>
          <w:szCs w:val="24"/>
        </w:rPr>
        <w:t xml:space="preserve"> </w:t>
      </w:r>
      <w:r w:rsidR="564CB5CD" w:rsidRPr="00552E3E">
        <w:rPr>
          <w:rFonts w:ascii="Arial" w:hAnsi="Arial" w:cs="Arial"/>
          <w:sz w:val="24"/>
          <w:szCs w:val="24"/>
        </w:rPr>
        <w:t xml:space="preserve">achievement </w:t>
      </w:r>
      <w:r w:rsidR="00553FC6" w:rsidRPr="00552E3E">
        <w:rPr>
          <w:rFonts w:ascii="Arial" w:hAnsi="Arial" w:cs="Arial"/>
          <w:sz w:val="24"/>
          <w:szCs w:val="24"/>
        </w:rPr>
        <w:t xml:space="preserve">is measured by </w:t>
      </w:r>
      <w:r w:rsidR="00697CAF" w:rsidRPr="00552E3E">
        <w:rPr>
          <w:rFonts w:ascii="Arial" w:hAnsi="Arial" w:cs="Arial"/>
          <w:sz w:val="24"/>
          <w:szCs w:val="24"/>
        </w:rPr>
        <w:t>comparing</w:t>
      </w:r>
      <w:r w:rsidR="00553FC6" w:rsidRPr="00552E3E">
        <w:rPr>
          <w:rFonts w:ascii="Arial" w:hAnsi="Arial" w:cs="Arial"/>
          <w:sz w:val="24"/>
          <w:szCs w:val="24"/>
        </w:rPr>
        <w:t xml:space="preserve"> how far above or below students are from the lowest possible scale score to achieve Level 3 (Standard Met) on the Smarter Balanced assessments, which indicates proficiency under ESSA.</w:t>
      </w:r>
    </w:p>
    <w:p w14:paraId="3353DEFC" w14:textId="4E6BB3DD" w:rsidR="00553FC6" w:rsidRPr="00552E3E" w:rsidRDefault="00553FC6" w:rsidP="0016596B">
      <w:pPr>
        <w:spacing w:after="120" w:line="240" w:lineRule="auto"/>
        <w:rPr>
          <w:rFonts w:ascii="Arial" w:hAnsi="Arial" w:cs="Arial"/>
          <w:sz w:val="24"/>
          <w:szCs w:val="24"/>
        </w:rPr>
      </w:pPr>
      <w:r w:rsidRPr="00552E3E">
        <w:rPr>
          <w:rFonts w:ascii="Arial" w:hAnsi="Arial" w:cs="Arial"/>
          <w:sz w:val="24"/>
          <w:szCs w:val="24"/>
        </w:rPr>
        <w:t>For grades 3-8, the goal for all schools and all student groups is to reach the “High” Status, as shown in the five-by-five colored grids. This means that the goal is for all students and student groups to be at least 10 points above the lowest possible scale score to achieve Level 3 (Standard Met) for E</w:t>
      </w:r>
      <w:r w:rsidR="00180E30" w:rsidRPr="00552E3E">
        <w:rPr>
          <w:rFonts w:ascii="Arial" w:hAnsi="Arial" w:cs="Arial"/>
          <w:sz w:val="24"/>
          <w:szCs w:val="24"/>
        </w:rPr>
        <w:t xml:space="preserve">nglish </w:t>
      </w:r>
      <w:r w:rsidRPr="00552E3E">
        <w:rPr>
          <w:rFonts w:ascii="Arial" w:hAnsi="Arial" w:cs="Arial"/>
          <w:sz w:val="24"/>
          <w:szCs w:val="24"/>
        </w:rPr>
        <w:t>L</w:t>
      </w:r>
      <w:r w:rsidR="00180E30" w:rsidRPr="00552E3E">
        <w:rPr>
          <w:rFonts w:ascii="Arial" w:hAnsi="Arial" w:cs="Arial"/>
          <w:sz w:val="24"/>
          <w:szCs w:val="24"/>
        </w:rPr>
        <w:t xml:space="preserve">anguage </w:t>
      </w:r>
      <w:r w:rsidRPr="00552E3E">
        <w:rPr>
          <w:rFonts w:ascii="Arial" w:hAnsi="Arial" w:cs="Arial"/>
          <w:sz w:val="24"/>
          <w:szCs w:val="24"/>
        </w:rPr>
        <w:t>A</w:t>
      </w:r>
      <w:r w:rsidR="00180E30" w:rsidRPr="00552E3E">
        <w:rPr>
          <w:rFonts w:ascii="Arial" w:hAnsi="Arial" w:cs="Arial"/>
          <w:sz w:val="24"/>
          <w:szCs w:val="24"/>
        </w:rPr>
        <w:t>rts (ELA)</w:t>
      </w:r>
      <w:r w:rsidRPr="00552E3E">
        <w:rPr>
          <w:rFonts w:ascii="Arial" w:hAnsi="Arial" w:cs="Arial"/>
          <w:sz w:val="24"/>
          <w:szCs w:val="24"/>
        </w:rPr>
        <w:t>. For mathematics, the goal is for all students and student groups to be at the scale score to achieve Level 3 (Standard Met).</w:t>
      </w:r>
    </w:p>
    <w:p w14:paraId="5FD2E888" w14:textId="3FD0E949" w:rsidR="00553FC6" w:rsidRPr="00552E3E" w:rsidRDefault="00553FC6" w:rsidP="0016596B">
      <w:pPr>
        <w:spacing w:after="120" w:line="240" w:lineRule="auto"/>
        <w:rPr>
          <w:rFonts w:ascii="Arial" w:hAnsi="Arial" w:cs="Arial"/>
          <w:sz w:val="24"/>
          <w:szCs w:val="24"/>
        </w:rPr>
      </w:pPr>
      <w:r w:rsidRPr="00552E3E">
        <w:rPr>
          <w:rFonts w:ascii="Arial" w:hAnsi="Arial" w:cs="Arial"/>
          <w:sz w:val="24"/>
          <w:szCs w:val="24"/>
        </w:rPr>
        <w:t>For grade 11, the goal for all schools and student groups is to reach the “High” Status, as shown in the five-by-five colored grids. This means that the goal for all students and student groups is to be at least 30 points above the lowest possible scale score and to achieve Level 3 (Standard Met) for ELA. For mathematics, the goal for all students and student groups is to be at the scale score to achieve Level 3 (Standard Met).</w:t>
      </w:r>
    </w:p>
    <w:p w14:paraId="1831341C" w14:textId="77777777" w:rsidR="003A482C" w:rsidRPr="00552E3E" w:rsidRDefault="00553FC6" w:rsidP="0016596B">
      <w:pPr>
        <w:spacing w:after="120" w:line="240" w:lineRule="auto"/>
        <w:rPr>
          <w:rFonts w:ascii="Arial" w:hAnsi="Arial" w:cs="Arial"/>
          <w:sz w:val="24"/>
          <w:szCs w:val="24"/>
        </w:rPr>
      </w:pPr>
      <w:r w:rsidRPr="00552E3E">
        <w:rPr>
          <w:rFonts w:ascii="Arial" w:hAnsi="Arial" w:cs="Arial"/>
          <w:sz w:val="24"/>
          <w:szCs w:val="24"/>
        </w:rPr>
        <w:t xml:space="preserve">The SBE has established a seven-year timeline for schools and student groups to reach the goal. The SBE expects to revise the performance levels for state indicators every seven years based on new distributions and has established an annual review process to assess progress on all indicators statewide. </w:t>
      </w:r>
    </w:p>
    <w:p w14:paraId="36DB101B" w14:textId="29E02D29" w:rsidR="00553FC6" w:rsidRPr="00552E3E" w:rsidRDefault="00553FC6" w:rsidP="0016596B">
      <w:pPr>
        <w:spacing w:after="120" w:line="240" w:lineRule="auto"/>
        <w:rPr>
          <w:rFonts w:ascii="Arial" w:hAnsi="Arial" w:cs="Arial"/>
          <w:sz w:val="24"/>
          <w:szCs w:val="24"/>
        </w:rPr>
      </w:pPr>
      <w:r w:rsidRPr="00552E3E">
        <w:rPr>
          <w:rFonts w:ascii="Arial" w:hAnsi="Arial" w:cs="Arial"/>
          <w:sz w:val="24"/>
          <w:szCs w:val="24"/>
        </w:rPr>
        <w:t xml:space="preserve">Additionally, as approved by the U.S. Department of Education on August 12, 2022, through the 2021–22 Addendum Template for the Consolidated State Plan due to </w:t>
      </w:r>
      <w:r w:rsidRPr="00552E3E">
        <w:rPr>
          <w:rFonts w:ascii="Arial" w:hAnsi="Arial" w:cs="Arial"/>
          <w:sz w:val="24"/>
          <w:szCs w:val="24"/>
        </w:rPr>
        <w:lastRenderedPageBreak/>
        <w:t>COVID-19, California shifted the timeline to measure long-term goals and measurement of interim progress forward by two years as follows:</w:t>
      </w:r>
    </w:p>
    <w:tbl>
      <w:tblPr>
        <w:tblStyle w:val="TableGrid"/>
        <w:tblW w:w="2510" w:type="dxa"/>
        <w:jc w:val="center"/>
        <w:tblLook w:val="04A0" w:firstRow="1" w:lastRow="0" w:firstColumn="1" w:lastColumn="0" w:noHBand="0" w:noVBand="1"/>
        <w:tblDescription w:val="Timeline to measure long-term goals and measurement of interim progress altered due to COVID-19"/>
      </w:tblPr>
      <w:tblGrid>
        <w:gridCol w:w="1260"/>
        <w:gridCol w:w="1250"/>
      </w:tblGrid>
      <w:tr w:rsidR="00553FC6" w:rsidRPr="00552E3E" w14:paraId="23E955AC" w14:textId="77777777" w:rsidTr="001B4E22">
        <w:trPr>
          <w:cantSplit/>
          <w:trHeight w:val="300"/>
          <w:tblHeader/>
          <w:jc w:val="center"/>
        </w:trPr>
        <w:tc>
          <w:tcPr>
            <w:tcW w:w="1260" w:type="dxa"/>
          </w:tcPr>
          <w:p w14:paraId="456051D5" w14:textId="6A2B5E84" w:rsidR="00553FC6" w:rsidRPr="00DE60A9" w:rsidRDefault="00553FC6" w:rsidP="0016596B">
            <w:pPr>
              <w:spacing w:after="0" w:line="240" w:lineRule="auto"/>
              <w:rPr>
                <w:rFonts w:ascii="Arial" w:hAnsi="Arial" w:cs="Arial"/>
                <w:b/>
                <w:bCs/>
                <w:sz w:val="24"/>
                <w:szCs w:val="24"/>
              </w:rPr>
            </w:pPr>
            <w:r w:rsidRPr="00DE60A9">
              <w:rPr>
                <w:rFonts w:ascii="Arial" w:hAnsi="Arial" w:cs="Arial"/>
                <w:b/>
                <w:bCs/>
                <w:sz w:val="24"/>
                <w:szCs w:val="24"/>
              </w:rPr>
              <w:t>Number</w:t>
            </w:r>
          </w:p>
        </w:tc>
        <w:tc>
          <w:tcPr>
            <w:tcW w:w="1250" w:type="dxa"/>
          </w:tcPr>
          <w:p w14:paraId="1B303837" w14:textId="08820FC0" w:rsidR="00553FC6" w:rsidRPr="00DE60A9" w:rsidRDefault="00553FC6" w:rsidP="0016596B">
            <w:pPr>
              <w:spacing w:after="0" w:line="240" w:lineRule="auto"/>
              <w:rPr>
                <w:rFonts w:ascii="Arial" w:hAnsi="Arial" w:cs="Arial"/>
                <w:b/>
                <w:bCs/>
                <w:sz w:val="24"/>
                <w:szCs w:val="24"/>
              </w:rPr>
            </w:pPr>
            <w:r w:rsidRPr="00DE60A9">
              <w:rPr>
                <w:rFonts w:ascii="Arial" w:hAnsi="Arial" w:cs="Arial"/>
                <w:b/>
                <w:bCs/>
                <w:sz w:val="24"/>
                <w:szCs w:val="24"/>
              </w:rPr>
              <w:t>Year</w:t>
            </w:r>
          </w:p>
        </w:tc>
      </w:tr>
      <w:tr w:rsidR="00553FC6" w:rsidRPr="00552E3E" w14:paraId="59F80733" w14:textId="77777777" w:rsidTr="001B4E22">
        <w:trPr>
          <w:cantSplit/>
          <w:trHeight w:val="300"/>
          <w:tblHeader/>
          <w:jc w:val="center"/>
        </w:trPr>
        <w:tc>
          <w:tcPr>
            <w:tcW w:w="1260" w:type="dxa"/>
          </w:tcPr>
          <w:p w14:paraId="0A76AA27" w14:textId="00A2E590" w:rsidR="00553FC6" w:rsidRPr="00552E3E" w:rsidRDefault="00553FC6" w:rsidP="0016596B">
            <w:pPr>
              <w:spacing w:after="0" w:line="240" w:lineRule="auto"/>
              <w:rPr>
                <w:rFonts w:ascii="Arial" w:hAnsi="Arial" w:cs="Arial"/>
                <w:sz w:val="24"/>
                <w:szCs w:val="24"/>
              </w:rPr>
            </w:pPr>
            <w:r w:rsidRPr="00552E3E">
              <w:rPr>
                <w:rFonts w:ascii="Arial" w:hAnsi="Arial" w:cs="Arial"/>
                <w:sz w:val="24"/>
                <w:szCs w:val="24"/>
              </w:rPr>
              <w:t>1</w:t>
            </w:r>
          </w:p>
        </w:tc>
        <w:tc>
          <w:tcPr>
            <w:tcW w:w="1250" w:type="dxa"/>
          </w:tcPr>
          <w:p w14:paraId="056A4C26" w14:textId="7A70AE59" w:rsidR="00553FC6" w:rsidRPr="00552E3E" w:rsidRDefault="00553FC6" w:rsidP="0016596B">
            <w:pPr>
              <w:spacing w:after="0" w:line="240" w:lineRule="auto"/>
              <w:rPr>
                <w:rFonts w:ascii="Arial" w:hAnsi="Arial" w:cs="Arial"/>
                <w:sz w:val="24"/>
                <w:szCs w:val="24"/>
              </w:rPr>
            </w:pPr>
            <w:r w:rsidRPr="00552E3E">
              <w:rPr>
                <w:rFonts w:ascii="Arial" w:hAnsi="Arial" w:cs="Arial"/>
                <w:sz w:val="24"/>
                <w:szCs w:val="24"/>
              </w:rPr>
              <w:t>2017</w:t>
            </w:r>
          </w:p>
        </w:tc>
      </w:tr>
      <w:tr w:rsidR="00553FC6" w:rsidRPr="00552E3E" w14:paraId="6C2523EF" w14:textId="77777777" w:rsidTr="001B4E22">
        <w:trPr>
          <w:cantSplit/>
          <w:trHeight w:val="300"/>
          <w:tblHeader/>
          <w:jc w:val="center"/>
        </w:trPr>
        <w:tc>
          <w:tcPr>
            <w:tcW w:w="1260" w:type="dxa"/>
          </w:tcPr>
          <w:p w14:paraId="49886A18" w14:textId="4FDD899D" w:rsidR="00553FC6" w:rsidRPr="00552E3E" w:rsidRDefault="00553FC6" w:rsidP="0016596B">
            <w:pPr>
              <w:spacing w:after="0" w:line="240" w:lineRule="auto"/>
              <w:rPr>
                <w:rFonts w:ascii="Arial" w:hAnsi="Arial" w:cs="Arial"/>
                <w:sz w:val="24"/>
                <w:szCs w:val="24"/>
              </w:rPr>
            </w:pPr>
            <w:r w:rsidRPr="00552E3E">
              <w:rPr>
                <w:rFonts w:ascii="Arial" w:hAnsi="Arial" w:cs="Arial"/>
                <w:sz w:val="24"/>
                <w:szCs w:val="24"/>
              </w:rPr>
              <w:t>2</w:t>
            </w:r>
          </w:p>
        </w:tc>
        <w:tc>
          <w:tcPr>
            <w:tcW w:w="1250" w:type="dxa"/>
          </w:tcPr>
          <w:p w14:paraId="115B06EB" w14:textId="22DE659F" w:rsidR="00553FC6" w:rsidRPr="00552E3E" w:rsidRDefault="00553FC6" w:rsidP="0016596B">
            <w:pPr>
              <w:spacing w:after="0" w:line="240" w:lineRule="auto"/>
              <w:rPr>
                <w:rFonts w:ascii="Arial" w:hAnsi="Arial" w:cs="Arial"/>
                <w:sz w:val="24"/>
                <w:szCs w:val="24"/>
              </w:rPr>
            </w:pPr>
            <w:r w:rsidRPr="00552E3E">
              <w:rPr>
                <w:rFonts w:ascii="Arial" w:hAnsi="Arial" w:cs="Arial"/>
                <w:sz w:val="24"/>
                <w:szCs w:val="24"/>
              </w:rPr>
              <w:t>2018</w:t>
            </w:r>
          </w:p>
        </w:tc>
      </w:tr>
      <w:tr w:rsidR="00553FC6" w:rsidRPr="00552E3E" w14:paraId="7D4F5D96" w14:textId="77777777" w:rsidTr="001B4E22">
        <w:trPr>
          <w:cantSplit/>
          <w:trHeight w:val="300"/>
          <w:tblHeader/>
          <w:jc w:val="center"/>
        </w:trPr>
        <w:tc>
          <w:tcPr>
            <w:tcW w:w="1260" w:type="dxa"/>
          </w:tcPr>
          <w:p w14:paraId="67E07B5D" w14:textId="48ED46B3" w:rsidR="00553FC6" w:rsidRPr="00552E3E" w:rsidRDefault="00553FC6" w:rsidP="0016596B">
            <w:pPr>
              <w:spacing w:after="0" w:line="240" w:lineRule="auto"/>
              <w:rPr>
                <w:rFonts w:ascii="Arial" w:hAnsi="Arial" w:cs="Arial"/>
                <w:sz w:val="24"/>
                <w:szCs w:val="24"/>
              </w:rPr>
            </w:pPr>
            <w:r w:rsidRPr="00552E3E">
              <w:rPr>
                <w:rFonts w:ascii="Arial" w:hAnsi="Arial" w:cs="Arial"/>
                <w:sz w:val="24"/>
                <w:szCs w:val="24"/>
              </w:rPr>
              <w:t>3</w:t>
            </w:r>
          </w:p>
        </w:tc>
        <w:tc>
          <w:tcPr>
            <w:tcW w:w="1250" w:type="dxa"/>
          </w:tcPr>
          <w:p w14:paraId="29E97C39" w14:textId="790221B6" w:rsidR="00553FC6" w:rsidRPr="00552E3E" w:rsidRDefault="00553FC6" w:rsidP="0016596B">
            <w:pPr>
              <w:spacing w:after="0" w:line="240" w:lineRule="auto"/>
              <w:rPr>
                <w:rFonts w:ascii="Arial" w:hAnsi="Arial" w:cs="Arial"/>
                <w:sz w:val="24"/>
                <w:szCs w:val="24"/>
              </w:rPr>
            </w:pPr>
            <w:r w:rsidRPr="00552E3E">
              <w:rPr>
                <w:rFonts w:ascii="Arial" w:hAnsi="Arial" w:cs="Arial"/>
                <w:sz w:val="24"/>
                <w:szCs w:val="24"/>
              </w:rPr>
              <w:t>2019</w:t>
            </w:r>
          </w:p>
        </w:tc>
      </w:tr>
      <w:tr w:rsidR="00553FC6" w:rsidRPr="00552E3E" w14:paraId="69A36AE7" w14:textId="77777777" w:rsidTr="001B4E22">
        <w:trPr>
          <w:cantSplit/>
          <w:trHeight w:val="300"/>
          <w:tblHeader/>
          <w:jc w:val="center"/>
        </w:trPr>
        <w:tc>
          <w:tcPr>
            <w:tcW w:w="1260" w:type="dxa"/>
          </w:tcPr>
          <w:p w14:paraId="68C63D40" w14:textId="61D4426B" w:rsidR="00553FC6" w:rsidRPr="00552E3E" w:rsidRDefault="00553FC6" w:rsidP="0016596B">
            <w:pPr>
              <w:spacing w:after="0" w:line="240" w:lineRule="auto"/>
              <w:rPr>
                <w:rFonts w:ascii="Arial" w:hAnsi="Arial" w:cs="Arial"/>
                <w:b/>
                <w:bCs/>
                <w:sz w:val="24"/>
                <w:szCs w:val="24"/>
              </w:rPr>
            </w:pPr>
            <w:r w:rsidRPr="00552E3E">
              <w:rPr>
                <w:rFonts w:ascii="Arial" w:hAnsi="Arial" w:cs="Arial"/>
                <w:b/>
                <w:bCs/>
                <w:sz w:val="24"/>
                <w:szCs w:val="24"/>
              </w:rPr>
              <w:t>4</w:t>
            </w:r>
          </w:p>
        </w:tc>
        <w:tc>
          <w:tcPr>
            <w:tcW w:w="1250" w:type="dxa"/>
          </w:tcPr>
          <w:p w14:paraId="1828A089" w14:textId="5CB77A6B" w:rsidR="00553FC6" w:rsidRPr="00552E3E" w:rsidRDefault="00553FC6" w:rsidP="0016596B">
            <w:pPr>
              <w:spacing w:after="0" w:line="240" w:lineRule="auto"/>
              <w:rPr>
                <w:rFonts w:ascii="Arial" w:hAnsi="Arial" w:cs="Arial"/>
                <w:b/>
                <w:bCs/>
                <w:sz w:val="24"/>
                <w:szCs w:val="24"/>
              </w:rPr>
            </w:pPr>
            <w:r w:rsidRPr="00552E3E">
              <w:rPr>
                <w:rFonts w:ascii="Arial" w:hAnsi="Arial" w:cs="Arial"/>
                <w:b/>
                <w:bCs/>
                <w:sz w:val="24"/>
                <w:szCs w:val="24"/>
              </w:rPr>
              <w:t>2022</w:t>
            </w:r>
          </w:p>
        </w:tc>
      </w:tr>
      <w:tr w:rsidR="00553FC6" w:rsidRPr="00552E3E" w14:paraId="5FE1B635" w14:textId="77777777" w:rsidTr="001B4E22">
        <w:trPr>
          <w:cantSplit/>
          <w:trHeight w:val="300"/>
          <w:tblHeader/>
          <w:jc w:val="center"/>
        </w:trPr>
        <w:tc>
          <w:tcPr>
            <w:tcW w:w="1260" w:type="dxa"/>
          </w:tcPr>
          <w:p w14:paraId="3D491688" w14:textId="05E0346A" w:rsidR="00553FC6" w:rsidRPr="00552E3E" w:rsidRDefault="00553FC6" w:rsidP="0016596B">
            <w:pPr>
              <w:spacing w:after="0" w:line="240" w:lineRule="auto"/>
              <w:rPr>
                <w:rFonts w:ascii="Arial" w:hAnsi="Arial" w:cs="Arial"/>
                <w:b/>
                <w:bCs/>
                <w:sz w:val="24"/>
                <w:szCs w:val="24"/>
              </w:rPr>
            </w:pPr>
            <w:r w:rsidRPr="00552E3E">
              <w:rPr>
                <w:rFonts w:ascii="Arial" w:hAnsi="Arial" w:cs="Arial"/>
                <w:b/>
                <w:bCs/>
                <w:sz w:val="24"/>
                <w:szCs w:val="24"/>
              </w:rPr>
              <w:t>5</w:t>
            </w:r>
          </w:p>
        </w:tc>
        <w:tc>
          <w:tcPr>
            <w:tcW w:w="1250" w:type="dxa"/>
          </w:tcPr>
          <w:p w14:paraId="37F2277D" w14:textId="08D133D0" w:rsidR="00553FC6" w:rsidRPr="00552E3E" w:rsidRDefault="00553FC6" w:rsidP="0016596B">
            <w:pPr>
              <w:spacing w:after="0" w:line="240" w:lineRule="auto"/>
              <w:rPr>
                <w:rFonts w:ascii="Arial" w:hAnsi="Arial" w:cs="Arial"/>
                <w:b/>
                <w:bCs/>
                <w:sz w:val="24"/>
                <w:szCs w:val="24"/>
              </w:rPr>
            </w:pPr>
            <w:r w:rsidRPr="00552E3E">
              <w:rPr>
                <w:rFonts w:ascii="Arial" w:hAnsi="Arial" w:cs="Arial"/>
                <w:b/>
                <w:bCs/>
                <w:sz w:val="24"/>
                <w:szCs w:val="24"/>
              </w:rPr>
              <w:t>2023</w:t>
            </w:r>
          </w:p>
        </w:tc>
      </w:tr>
      <w:tr w:rsidR="00553FC6" w:rsidRPr="00552E3E" w14:paraId="4E9601C1" w14:textId="77777777" w:rsidTr="001B4E22">
        <w:trPr>
          <w:cantSplit/>
          <w:trHeight w:val="300"/>
          <w:tblHeader/>
          <w:jc w:val="center"/>
        </w:trPr>
        <w:tc>
          <w:tcPr>
            <w:tcW w:w="1260" w:type="dxa"/>
          </w:tcPr>
          <w:p w14:paraId="7117FA40" w14:textId="5CBD5DDF" w:rsidR="00553FC6" w:rsidRPr="00552E3E" w:rsidRDefault="00553FC6" w:rsidP="0016596B">
            <w:pPr>
              <w:spacing w:after="0" w:line="240" w:lineRule="auto"/>
              <w:rPr>
                <w:rFonts w:ascii="Arial" w:hAnsi="Arial" w:cs="Arial"/>
                <w:b/>
                <w:bCs/>
                <w:sz w:val="24"/>
                <w:szCs w:val="24"/>
              </w:rPr>
            </w:pPr>
            <w:r w:rsidRPr="00552E3E">
              <w:rPr>
                <w:rFonts w:ascii="Arial" w:hAnsi="Arial" w:cs="Arial"/>
                <w:b/>
                <w:bCs/>
                <w:sz w:val="24"/>
                <w:szCs w:val="24"/>
              </w:rPr>
              <w:t>6</w:t>
            </w:r>
          </w:p>
        </w:tc>
        <w:tc>
          <w:tcPr>
            <w:tcW w:w="1250" w:type="dxa"/>
          </w:tcPr>
          <w:p w14:paraId="3FE851C6" w14:textId="6EC6EFA4" w:rsidR="00553FC6" w:rsidRPr="00552E3E" w:rsidRDefault="00553FC6" w:rsidP="0016596B">
            <w:pPr>
              <w:spacing w:after="0" w:line="240" w:lineRule="auto"/>
              <w:rPr>
                <w:rFonts w:ascii="Arial" w:hAnsi="Arial" w:cs="Arial"/>
                <w:b/>
                <w:bCs/>
                <w:sz w:val="24"/>
                <w:szCs w:val="24"/>
              </w:rPr>
            </w:pPr>
            <w:r w:rsidRPr="00552E3E">
              <w:rPr>
                <w:rFonts w:ascii="Arial" w:hAnsi="Arial" w:cs="Arial"/>
                <w:b/>
                <w:bCs/>
                <w:sz w:val="24"/>
                <w:szCs w:val="24"/>
              </w:rPr>
              <w:t>2024</w:t>
            </w:r>
          </w:p>
        </w:tc>
      </w:tr>
      <w:tr w:rsidR="00553FC6" w:rsidRPr="00552E3E" w14:paraId="6CC28A13" w14:textId="77777777" w:rsidTr="001B4E22">
        <w:trPr>
          <w:cantSplit/>
          <w:trHeight w:val="300"/>
          <w:tblHeader/>
          <w:jc w:val="center"/>
        </w:trPr>
        <w:tc>
          <w:tcPr>
            <w:tcW w:w="1260" w:type="dxa"/>
          </w:tcPr>
          <w:p w14:paraId="6BCE275F" w14:textId="60E44775" w:rsidR="00553FC6" w:rsidRPr="00552E3E" w:rsidRDefault="00553FC6" w:rsidP="0016596B">
            <w:pPr>
              <w:spacing w:after="0" w:line="240" w:lineRule="auto"/>
              <w:rPr>
                <w:rFonts w:ascii="Arial" w:hAnsi="Arial" w:cs="Arial"/>
                <w:b/>
                <w:bCs/>
                <w:sz w:val="24"/>
                <w:szCs w:val="24"/>
              </w:rPr>
            </w:pPr>
            <w:r w:rsidRPr="00552E3E">
              <w:rPr>
                <w:rFonts w:ascii="Arial" w:hAnsi="Arial" w:cs="Arial"/>
                <w:b/>
                <w:bCs/>
                <w:sz w:val="24"/>
                <w:szCs w:val="24"/>
              </w:rPr>
              <w:t>7</w:t>
            </w:r>
          </w:p>
        </w:tc>
        <w:tc>
          <w:tcPr>
            <w:tcW w:w="1250" w:type="dxa"/>
          </w:tcPr>
          <w:p w14:paraId="5EC954AE" w14:textId="1FE0BA1D" w:rsidR="00553FC6" w:rsidRPr="00552E3E" w:rsidRDefault="00553FC6" w:rsidP="0016596B">
            <w:pPr>
              <w:spacing w:after="0" w:line="240" w:lineRule="auto"/>
              <w:rPr>
                <w:rFonts w:ascii="Arial" w:hAnsi="Arial" w:cs="Arial"/>
                <w:b/>
                <w:bCs/>
                <w:sz w:val="24"/>
                <w:szCs w:val="24"/>
              </w:rPr>
            </w:pPr>
            <w:r w:rsidRPr="00552E3E">
              <w:rPr>
                <w:rFonts w:ascii="Arial" w:hAnsi="Arial" w:cs="Arial"/>
                <w:b/>
                <w:bCs/>
                <w:sz w:val="24"/>
                <w:szCs w:val="24"/>
              </w:rPr>
              <w:t>2025</w:t>
            </w:r>
          </w:p>
        </w:tc>
      </w:tr>
    </w:tbl>
    <w:p w14:paraId="0D05A88A" w14:textId="77777777" w:rsidR="00553FC6" w:rsidRPr="00552E3E" w:rsidRDefault="00553FC6" w:rsidP="0016596B">
      <w:pPr>
        <w:spacing w:line="240" w:lineRule="auto"/>
        <w:rPr>
          <w:rFonts w:ascii="Arial" w:hAnsi="Arial" w:cs="Arial"/>
          <w:sz w:val="24"/>
          <w:szCs w:val="24"/>
        </w:rPr>
      </w:pPr>
    </w:p>
    <w:p w14:paraId="10B51256" w14:textId="35D26EEA" w:rsidR="002B7634" w:rsidRPr="00552E3E" w:rsidRDefault="00553FC6" w:rsidP="0016596B">
      <w:pPr>
        <w:spacing w:after="120" w:line="240" w:lineRule="auto"/>
        <w:rPr>
          <w:rFonts w:ascii="Arial" w:hAnsi="Arial" w:cs="Arial"/>
          <w:sz w:val="24"/>
          <w:szCs w:val="24"/>
        </w:rPr>
      </w:pPr>
      <w:r w:rsidRPr="00552E3E">
        <w:rPr>
          <w:rFonts w:ascii="Arial" w:hAnsi="Arial" w:cs="Arial"/>
          <w:sz w:val="24"/>
          <w:szCs w:val="24"/>
        </w:rPr>
        <w:t>The CDE has produced a report that indicates where schools and student groups are on the five-by-five colored grid, allowing schools to determine how much improvement is needed to reach the goal. These reports are available on the CDE California Model</w:t>
      </w:r>
      <w:r w:rsidR="00927BA1">
        <w:rPr>
          <w:rFonts w:ascii="Arial" w:hAnsi="Arial" w:cs="Arial"/>
          <w:sz w:val="24"/>
          <w:szCs w:val="24"/>
        </w:rPr>
        <w:t xml:space="preserve"> </w:t>
      </w:r>
      <w:r w:rsidRPr="00552E3E">
        <w:rPr>
          <w:rFonts w:ascii="Arial" w:hAnsi="Arial" w:cs="Arial"/>
          <w:sz w:val="24"/>
          <w:szCs w:val="24"/>
        </w:rPr>
        <w:t xml:space="preserve">Five-by-Five Placement Reports &amp; Data </w:t>
      </w:r>
      <w:r w:rsidR="00675ED0">
        <w:rPr>
          <w:rFonts w:ascii="Arial" w:hAnsi="Arial" w:cs="Arial"/>
          <w:sz w:val="24"/>
          <w:szCs w:val="24"/>
        </w:rPr>
        <w:t>w</w:t>
      </w:r>
      <w:r w:rsidRPr="00552E3E">
        <w:rPr>
          <w:rFonts w:ascii="Arial" w:hAnsi="Arial" w:cs="Arial"/>
          <w:sz w:val="24"/>
          <w:szCs w:val="24"/>
        </w:rPr>
        <w:t xml:space="preserve">eb page at </w:t>
      </w:r>
      <w:hyperlink r:id="rId15" w:tooltip="CDE California Model Five-by-Five Placement Reports &amp; Data Web page" w:history="1">
        <w:r w:rsidRPr="00552E3E">
          <w:rPr>
            <w:rStyle w:val="Hyperlink"/>
            <w:rFonts w:ascii="Arial" w:hAnsi="Arial" w:cs="Arial"/>
            <w:sz w:val="24"/>
            <w:szCs w:val="24"/>
          </w:rPr>
          <w:t>https://www6.cde.ca.gov/californiamodel/</w:t>
        </w:r>
      </w:hyperlink>
      <w:r w:rsidRPr="00552E3E">
        <w:rPr>
          <w:rFonts w:ascii="Arial" w:hAnsi="Arial" w:cs="Arial"/>
          <w:sz w:val="24"/>
          <w:szCs w:val="24"/>
        </w:rPr>
        <w:t>.</w:t>
      </w:r>
    </w:p>
    <w:p w14:paraId="710A7578" w14:textId="4624A8FF" w:rsidR="002B7634" w:rsidRPr="00552E3E" w:rsidRDefault="002B7634" w:rsidP="00767FAE">
      <w:pPr>
        <w:widowControl/>
        <w:spacing w:after="120" w:line="240" w:lineRule="auto"/>
        <w:rPr>
          <w:rFonts w:ascii="Arial" w:hAnsi="Arial" w:cs="Arial"/>
          <w:sz w:val="24"/>
          <w:szCs w:val="24"/>
        </w:rPr>
      </w:pPr>
      <w:r w:rsidRPr="00552E3E">
        <w:rPr>
          <w:rFonts w:ascii="Arial" w:eastAsia="Times New Roman" w:hAnsi="Arial" w:cs="Arial"/>
          <w:sz w:val="24"/>
          <w:szCs w:val="24"/>
        </w:rPr>
        <w:t xml:space="preserve">The ability for LEAs or schools to determine interim progress goals, including for lower performing student groups, is built into the California Model. </w:t>
      </w:r>
      <w:r w:rsidRPr="00552E3E">
        <w:rPr>
          <w:rFonts w:ascii="Arial" w:hAnsi="Arial" w:cs="Arial"/>
          <w:sz w:val="24"/>
          <w:szCs w:val="24"/>
        </w:rPr>
        <w:t xml:space="preserve">In addition, the CDE has produced a report that indicates where schools and student groups are on the five-by-five colored grid, allowing schools to target improvement strategies to reach the goal for each student group. These reports are available on the </w:t>
      </w:r>
      <w:bookmarkStart w:id="11" w:name="_Hlk194670160"/>
      <w:r w:rsidRPr="00552E3E">
        <w:rPr>
          <w:rFonts w:ascii="Arial" w:hAnsi="Arial" w:cs="Arial"/>
          <w:sz w:val="24"/>
          <w:szCs w:val="24"/>
        </w:rPr>
        <w:t xml:space="preserve">CDE California Model Five-by-Five Placement Reports &amp; Data </w:t>
      </w:r>
      <w:r w:rsidR="00675ED0">
        <w:rPr>
          <w:rFonts w:ascii="Arial" w:hAnsi="Arial" w:cs="Arial"/>
          <w:sz w:val="24"/>
          <w:szCs w:val="24"/>
        </w:rPr>
        <w:t>w</w:t>
      </w:r>
      <w:r w:rsidRPr="00552E3E">
        <w:rPr>
          <w:rFonts w:ascii="Arial" w:hAnsi="Arial" w:cs="Arial"/>
          <w:sz w:val="24"/>
          <w:szCs w:val="24"/>
        </w:rPr>
        <w:t>eb page</w:t>
      </w:r>
      <w:bookmarkEnd w:id="11"/>
      <w:r w:rsidRPr="00552E3E">
        <w:rPr>
          <w:rFonts w:ascii="Arial" w:hAnsi="Arial" w:cs="Arial"/>
          <w:sz w:val="24"/>
          <w:szCs w:val="24"/>
        </w:rPr>
        <w:t xml:space="preserve"> at </w:t>
      </w:r>
      <w:hyperlink r:id="rId16" w:tooltip="Five-by-Five Placement Reports &amp; Data" w:history="1">
        <w:r w:rsidRPr="00BE666B">
          <w:rPr>
            <w:rFonts w:ascii="Arial" w:hAnsi="Arial" w:cs="Arial"/>
            <w:color w:val="0000FF"/>
            <w:sz w:val="24"/>
            <w:szCs w:val="24"/>
            <w:u w:val="single"/>
          </w:rPr>
          <w:t>https://www6.cde.ca.gov/californiamodel/</w:t>
        </w:r>
      </w:hyperlink>
      <w:r w:rsidRPr="00552E3E">
        <w:rPr>
          <w:rFonts w:ascii="Arial" w:hAnsi="Arial" w:cs="Arial"/>
          <w:sz w:val="24"/>
          <w:szCs w:val="24"/>
        </w:rPr>
        <w:t>.</w:t>
      </w:r>
    </w:p>
    <w:p w14:paraId="39496259" w14:textId="77777777" w:rsidR="002B7634" w:rsidRPr="00552E3E" w:rsidRDefault="002B7634" w:rsidP="00767FAE">
      <w:pPr>
        <w:widowControl/>
        <w:spacing w:after="120" w:line="240" w:lineRule="auto"/>
        <w:rPr>
          <w:rFonts w:ascii="Arial" w:eastAsia="Times New Roman" w:hAnsi="Arial" w:cs="Arial"/>
          <w:sz w:val="24"/>
          <w:szCs w:val="24"/>
        </w:rPr>
      </w:pPr>
      <w:r w:rsidRPr="00552E3E">
        <w:rPr>
          <w:rFonts w:ascii="Arial" w:eastAsia="Times New Roman" w:hAnsi="Arial" w:cs="Arial"/>
          <w:sz w:val="24"/>
          <w:szCs w:val="24"/>
        </w:rPr>
        <w:t xml:space="preserve">Additionally, under state law, every LEA must adopt and annually update a Local Control and Accountability Plan (LCAP). In the LCAP, the LEA must establish goals for all students and the statutory student groups across priority areas defined in statute. The LEA must also describe actions and services, and related expenditures, to meet the goals for student performance. </w:t>
      </w:r>
    </w:p>
    <w:p w14:paraId="4F4EBD95" w14:textId="77777777" w:rsidR="002B7634" w:rsidRPr="00552E3E" w:rsidRDefault="002B7634" w:rsidP="00767FAE">
      <w:pPr>
        <w:widowControl/>
        <w:spacing w:after="120" w:line="240" w:lineRule="auto"/>
        <w:rPr>
          <w:rFonts w:ascii="Arial" w:eastAsia="Times New Roman" w:hAnsi="Arial" w:cs="Arial"/>
          <w:sz w:val="24"/>
          <w:szCs w:val="24"/>
        </w:rPr>
      </w:pPr>
      <w:r w:rsidRPr="00552E3E">
        <w:rPr>
          <w:rFonts w:ascii="Arial" w:eastAsia="Times New Roman" w:hAnsi="Arial" w:cs="Arial"/>
          <w:sz w:val="24"/>
          <w:szCs w:val="24"/>
        </w:rPr>
        <w:t>The template LEAs must use for LCAPs includes a summary in which LEAs must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14:paraId="1ACBE163" w14:textId="77777777" w:rsidR="002B7634" w:rsidRPr="00552E3E" w:rsidRDefault="002B7634" w:rsidP="00767FAE">
      <w:pPr>
        <w:widowControl/>
        <w:spacing w:after="120" w:line="240" w:lineRule="auto"/>
        <w:rPr>
          <w:rFonts w:ascii="Arial" w:hAnsi="Arial" w:cs="Arial"/>
          <w:sz w:val="24"/>
          <w:szCs w:val="24"/>
        </w:rPr>
      </w:pPr>
      <w:r w:rsidRPr="00552E3E">
        <w:rPr>
          <w:rFonts w:ascii="Arial" w:eastAsia="Times New Roman" w:hAnsi="Arial" w:cs="Arial"/>
          <w:sz w:val="24"/>
          <w:szCs w:val="24"/>
        </w:rPr>
        <w:t>LEAs must therefore annually review and update their overarching plans for educational programming to address areas where the LEA is not making progress in addressing performance gaps among student groups.</w:t>
      </w:r>
    </w:p>
    <w:p w14:paraId="53074499" w14:textId="72760756" w:rsidR="002B7634" w:rsidRPr="00552E3E" w:rsidRDefault="002B7634" w:rsidP="0016596B">
      <w:pPr>
        <w:widowControl/>
        <w:spacing w:after="120" w:line="240" w:lineRule="auto"/>
        <w:rPr>
          <w:rFonts w:ascii="Arial" w:eastAsia="Times New Roman" w:hAnsi="Arial" w:cs="Arial"/>
          <w:sz w:val="24"/>
          <w:szCs w:val="24"/>
        </w:rPr>
      </w:pPr>
      <w:r w:rsidRPr="00552E3E">
        <w:rPr>
          <w:rFonts w:ascii="Arial" w:eastAsia="Times New Roman" w:hAnsi="Arial" w:cs="Arial"/>
          <w:sz w:val="24"/>
          <w:szCs w:val="24"/>
        </w:rPr>
        <w:t xml:space="preserve">This statewide system to assist LEAs to leverage change is an important component to helping narrow statewide proficiency gaps. </w:t>
      </w:r>
    </w:p>
    <w:p w14:paraId="7AB7CF3A" w14:textId="02E21211" w:rsidR="006008D8" w:rsidRPr="00377EEE" w:rsidRDefault="006008D8" w:rsidP="0016596B">
      <w:pPr>
        <w:pStyle w:val="Heading3"/>
        <w:spacing w:line="240" w:lineRule="auto"/>
        <w:rPr>
          <w:rFonts w:ascii="Arial" w:hAnsi="Arial" w:cs="Arial"/>
          <w:color w:val="7030A0"/>
        </w:rPr>
      </w:pPr>
      <w:bookmarkStart w:id="12" w:name="_Toc194671794"/>
      <w:r w:rsidRPr="00377EEE">
        <w:rPr>
          <w:rFonts w:ascii="Arial" w:hAnsi="Arial" w:cs="Arial"/>
          <w:color w:val="7030A0"/>
        </w:rPr>
        <w:lastRenderedPageBreak/>
        <w:t>High School Graduation Rate</w:t>
      </w:r>
      <w:bookmarkEnd w:id="12"/>
    </w:p>
    <w:p w14:paraId="21E0E6F6" w14:textId="11DA8798" w:rsidR="002B7634" w:rsidRPr="00552E3E" w:rsidRDefault="002B7634" w:rsidP="0016596B">
      <w:pPr>
        <w:widowControl/>
        <w:spacing w:after="120" w:line="240" w:lineRule="auto"/>
        <w:rPr>
          <w:rFonts w:ascii="Arial" w:eastAsia="Times New Roman" w:hAnsi="Arial" w:cs="Arial"/>
          <w:sz w:val="24"/>
          <w:szCs w:val="24"/>
        </w:rPr>
      </w:pPr>
      <w:r w:rsidRPr="00552E3E">
        <w:rPr>
          <w:rFonts w:ascii="Arial" w:eastAsia="Times New Roman" w:hAnsi="Arial" w:cs="Arial"/>
          <w:sz w:val="24"/>
          <w:szCs w:val="24"/>
        </w:rPr>
        <w:t>In July 2019, the SBE adopted an extended-year graduation rate that now includes</w:t>
      </w:r>
      <w:r w:rsidRPr="00552E3E">
        <w:rPr>
          <w:rFonts w:ascii="Arial" w:eastAsia="Times New Roman" w:hAnsi="Arial" w:cs="Arial"/>
          <w:sz w:val="24"/>
          <w:szCs w:val="24"/>
          <w:vertAlign w:val="superscript"/>
        </w:rPr>
        <w:t xml:space="preserve"> </w:t>
      </w:r>
      <w:r w:rsidRPr="00552E3E">
        <w:rPr>
          <w:rFonts w:ascii="Arial" w:eastAsia="Times New Roman" w:hAnsi="Arial" w:cs="Arial"/>
          <w:sz w:val="24"/>
          <w:szCs w:val="24"/>
        </w:rPr>
        <w:t>fifth year graduates. Because the goal for extended graduation rates must be higher than the four-year cohort graduation rate, the SBE increased the goal from 90 percent to 90.5 percent. The goal for all students and student groups is to reach the “High” Status</w:t>
      </w:r>
      <w:r w:rsidR="00B24AA5" w:rsidRPr="00552E3E">
        <w:rPr>
          <w:rFonts w:ascii="Arial" w:eastAsia="Times New Roman" w:hAnsi="Arial" w:cs="Arial"/>
          <w:sz w:val="24"/>
          <w:szCs w:val="24"/>
        </w:rPr>
        <w:t>.</w:t>
      </w:r>
      <w:r w:rsidR="00A52079" w:rsidRPr="00552E3E">
        <w:rPr>
          <w:rFonts w:ascii="Arial" w:eastAsia="Times New Roman" w:hAnsi="Arial" w:cs="Arial"/>
          <w:sz w:val="24"/>
          <w:szCs w:val="24"/>
        </w:rPr>
        <w:t xml:space="preserve"> </w:t>
      </w:r>
      <w:r w:rsidRPr="00552E3E">
        <w:rPr>
          <w:rFonts w:ascii="Arial" w:eastAsia="Times New Roman" w:hAnsi="Arial" w:cs="Arial"/>
          <w:sz w:val="24"/>
          <w:szCs w:val="24"/>
        </w:rPr>
        <w:t xml:space="preserve">This means the goal is to have an extended-graduation rate of at least 90.5 percent. </w:t>
      </w:r>
    </w:p>
    <w:p w14:paraId="4C09347F" w14:textId="74F1F8FB" w:rsidR="002B7634" w:rsidRPr="00552E3E" w:rsidRDefault="002B7634" w:rsidP="0016596B">
      <w:pPr>
        <w:widowControl/>
        <w:spacing w:after="120" w:line="240" w:lineRule="auto"/>
        <w:rPr>
          <w:rFonts w:ascii="Arial" w:eastAsia="Times New Roman" w:hAnsi="Arial" w:cs="Arial"/>
          <w:sz w:val="24"/>
          <w:szCs w:val="24"/>
        </w:rPr>
      </w:pPr>
      <w:r w:rsidRPr="00552E3E">
        <w:rPr>
          <w:rFonts w:ascii="Arial" w:eastAsia="Times New Roman" w:hAnsi="Arial" w:cs="Arial"/>
          <w:sz w:val="24"/>
          <w:szCs w:val="24"/>
        </w:rPr>
        <w:t>In addition, because the extended graduation rate has a much more positive impact for schools in the lower percentiles, the SBE approved raised the graduation rate threshold for the “Very Low” Status level from below 67 percent to below 68 percent. Therefore, any school with a</w:t>
      </w:r>
      <w:r w:rsidR="71B58E51" w:rsidRPr="00552E3E">
        <w:rPr>
          <w:rFonts w:ascii="Arial" w:eastAsia="Times New Roman" w:hAnsi="Arial" w:cs="Arial"/>
          <w:sz w:val="24"/>
          <w:szCs w:val="24"/>
        </w:rPr>
        <w:t>n average</w:t>
      </w:r>
      <w:r w:rsidRPr="00552E3E">
        <w:rPr>
          <w:rFonts w:ascii="Arial" w:eastAsia="Times New Roman" w:hAnsi="Arial" w:cs="Arial"/>
          <w:sz w:val="24"/>
          <w:szCs w:val="24"/>
        </w:rPr>
        <w:t xml:space="preserve"> graduation rate below 68 percent</w:t>
      </w:r>
      <w:r w:rsidR="51EB8E5E" w:rsidRPr="00552E3E">
        <w:rPr>
          <w:rFonts w:ascii="Arial" w:eastAsia="Times New Roman" w:hAnsi="Arial" w:cs="Arial"/>
          <w:sz w:val="24"/>
          <w:szCs w:val="24"/>
        </w:rPr>
        <w:t xml:space="preserve"> over the past three years</w:t>
      </w:r>
      <w:r w:rsidRPr="00552E3E">
        <w:rPr>
          <w:rFonts w:ascii="Arial" w:eastAsia="Times New Roman" w:hAnsi="Arial" w:cs="Arial"/>
          <w:sz w:val="24"/>
          <w:szCs w:val="24"/>
        </w:rPr>
        <w:t xml:space="preserve"> will be identified for </w:t>
      </w:r>
      <w:r w:rsidR="00415AB0" w:rsidRPr="00552E3E">
        <w:rPr>
          <w:rFonts w:ascii="Arial" w:hAnsi="Arial" w:cs="Arial"/>
          <w:sz w:val="24"/>
          <w:szCs w:val="24"/>
        </w:rPr>
        <w:t>Comprehensive Support and Improvement</w:t>
      </w:r>
      <w:r w:rsidR="00415AB0" w:rsidRPr="00552E3E">
        <w:rPr>
          <w:rFonts w:ascii="Arial" w:eastAsia="Times New Roman" w:hAnsi="Arial" w:cs="Arial"/>
          <w:sz w:val="24"/>
          <w:szCs w:val="24"/>
        </w:rPr>
        <w:t xml:space="preserve"> (CSI)</w:t>
      </w:r>
      <w:r w:rsidRPr="00552E3E">
        <w:rPr>
          <w:rFonts w:ascii="Arial" w:eastAsia="Times New Roman" w:hAnsi="Arial" w:cs="Arial"/>
          <w:sz w:val="24"/>
          <w:szCs w:val="24"/>
        </w:rPr>
        <w:t xml:space="preserve"> </w:t>
      </w:r>
    </w:p>
    <w:p w14:paraId="12207CBE" w14:textId="77777777" w:rsidR="002B7634" w:rsidRPr="00552E3E" w:rsidRDefault="002B7634" w:rsidP="0016596B">
      <w:pPr>
        <w:widowControl/>
        <w:spacing w:after="120" w:line="240" w:lineRule="auto"/>
        <w:rPr>
          <w:rFonts w:ascii="Arial" w:eastAsia="Times New Roman" w:hAnsi="Arial" w:cs="Arial"/>
          <w:sz w:val="24"/>
          <w:szCs w:val="24"/>
        </w:rPr>
      </w:pPr>
      <w:r w:rsidRPr="00552E3E">
        <w:rPr>
          <w:rFonts w:ascii="Arial" w:eastAsia="Times New Roman" w:hAnsi="Arial" w:cs="Arial"/>
          <w:sz w:val="24"/>
        </w:rPr>
        <w:t xml:space="preserve">The SBE has established a seven-year timeline for reaching the goal. The SBE expects to revise the performance levels for state indicators every seven years and has established an annual review process to assess progress on all indicators statewide. </w:t>
      </w:r>
      <w:r w:rsidRPr="00552E3E">
        <w:rPr>
          <w:rFonts w:ascii="Arial" w:eastAsia="Times New Roman" w:hAnsi="Arial" w:cs="Arial"/>
          <w:sz w:val="24"/>
          <w:szCs w:val="24"/>
        </w:rPr>
        <w:t>Additionally, as approved by the U.S. Department of Education on August 12, 2022, through the 2021–22 Addendum Template for the Consolidated State Plan due to COVID-19, California shifted the timeline to measure long-term goals and measurement of interim progress forward by two years as follows:</w:t>
      </w:r>
    </w:p>
    <w:tbl>
      <w:tblPr>
        <w:tblW w:w="3690" w:type="dxa"/>
        <w:jc w:val="center"/>
        <w:shd w:val="clear" w:color="auto" w:fill="FFFFFF"/>
        <w:tblCellMar>
          <w:top w:w="15" w:type="dxa"/>
          <w:left w:w="15" w:type="dxa"/>
          <w:bottom w:w="15" w:type="dxa"/>
          <w:right w:w="15" w:type="dxa"/>
        </w:tblCellMar>
        <w:tblLook w:val="04A0" w:firstRow="1" w:lastRow="0" w:firstColumn="1" w:lastColumn="0" w:noHBand="0" w:noVBand="1"/>
        <w:tblDescription w:val="Table outlining each number year for the timeline, beginning in 2017 and skipping 2020 and 2021. "/>
      </w:tblPr>
      <w:tblGrid>
        <w:gridCol w:w="1845"/>
        <w:gridCol w:w="1845"/>
      </w:tblGrid>
      <w:tr w:rsidR="002B7634" w:rsidRPr="00552E3E" w14:paraId="4BFDFE3D" w14:textId="77777777" w:rsidTr="001B4E22">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0433D316" w14:textId="77777777" w:rsidR="002B7634" w:rsidRPr="00DE60A9" w:rsidRDefault="002B7634" w:rsidP="002B7634">
            <w:pPr>
              <w:widowControl/>
              <w:spacing w:after="0" w:line="240" w:lineRule="auto"/>
              <w:ind w:left="547"/>
              <w:rPr>
                <w:rFonts w:ascii="Arial" w:eastAsia="Times New Roman" w:hAnsi="Arial" w:cs="Arial"/>
                <w:b/>
                <w:bCs/>
                <w:sz w:val="24"/>
                <w:szCs w:val="24"/>
              </w:rPr>
            </w:pPr>
            <w:r w:rsidRPr="00DE60A9">
              <w:rPr>
                <w:rFonts w:ascii="Arial" w:eastAsia="Times New Roman" w:hAnsi="Arial" w:cs="Arial"/>
                <w:b/>
                <w:bCs/>
                <w:sz w:val="24"/>
                <w:szCs w:val="24"/>
              </w:rPr>
              <w:t>Number</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5335A4BE" w14:textId="77777777" w:rsidR="002B7634" w:rsidRPr="00DE60A9" w:rsidRDefault="002B7634" w:rsidP="002B7634">
            <w:pPr>
              <w:widowControl/>
              <w:spacing w:after="0" w:line="240" w:lineRule="auto"/>
              <w:ind w:left="547"/>
              <w:rPr>
                <w:rFonts w:ascii="Arial" w:eastAsia="Times New Roman" w:hAnsi="Arial" w:cs="Arial"/>
                <w:b/>
                <w:bCs/>
                <w:sz w:val="24"/>
                <w:szCs w:val="24"/>
              </w:rPr>
            </w:pPr>
            <w:r w:rsidRPr="00DE60A9">
              <w:rPr>
                <w:rFonts w:ascii="Arial" w:eastAsia="Times New Roman" w:hAnsi="Arial" w:cs="Arial"/>
                <w:b/>
                <w:bCs/>
                <w:sz w:val="24"/>
                <w:szCs w:val="24"/>
              </w:rPr>
              <w:t>Year</w:t>
            </w:r>
          </w:p>
        </w:tc>
      </w:tr>
      <w:tr w:rsidR="002B7634" w:rsidRPr="00552E3E" w14:paraId="57A8252E" w14:textId="77777777" w:rsidTr="001B4E22">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6A0F559B" w14:textId="77777777" w:rsidR="002B7634" w:rsidRPr="00552E3E" w:rsidRDefault="002B7634" w:rsidP="002B7634">
            <w:pPr>
              <w:widowControl/>
              <w:spacing w:after="0" w:line="240" w:lineRule="auto"/>
              <w:ind w:left="547"/>
              <w:rPr>
                <w:rFonts w:ascii="Arial" w:eastAsia="Times New Roman" w:hAnsi="Arial" w:cs="Arial"/>
                <w:sz w:val="24"/>
                <w:szCs w:val="24"/>
              </w:rPr>
            </w:pPr>
            <w:r w:rsidRPr="00552E3E">
              <w:rPr>
                <w:rFonts w:ascii="Arial" w:eastAsia="Times New Roman" w:hAnsi="Arial" w:cs="Arial"/>
                <w:sz w:val="24"/>
                <w:szCs w:val="24"/>
              </w:rPr>
              <w:t>1</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69540747" w14:textId="77777777" w:rsidR="002B7634" w:rsidRPr="00552E3E" w:rsidRDefault="002B7634" w:rsidP="002B7634">
            <w:pPr>
              <w:widowControl/>
              <w:spacing w:after="0" w:line="240" w:lineRule="auto"/>
              <w:ind w:left="547"/>
              <w:rPr>
                <w:rFonts w:ascii="Arial" w:eastAsia="Times New Roman" w:hAnsi="Arial" w:cs="Arial"/>
                <w:sz w:val="24"/>
                <w:szCs w:val="24"/>
              </w:rPr>
            </w:pPr>
            <w:r w:rsidRPr="00552E3E">
              <w:rPr>
                <w:rFonts w:ascii="Arial" w:eastAsia="Times New Roman" w:hAnsi="Arial" w:cs="Arial"/>
                <w:sz w:val="24"/>
                <w:szCs w:val="24"/>
              </w:rPr>
              <w:t>2017</w:t>
            </w:r>
          </w:p>
        </w:tc>
      </w:tr>
      <w:tr w:rsidR="002B7634" w:rsidRPr="00552E3E" w14:paraId="714D5404" w14:textId="77777777" w:rsidTr="001B4E22">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68A72F40" w14:textId="77777777" w:rsidR="002B7634" w:rsidRPr="00552E3E" w:rsidRDefault="002B7634" w:rsidP="002B7634">
            <w:pPr>
              <w:widowControl/>
              <w:spacing w:after="0" w:line="240" w:lineRule="auto"/>
              <w:ind w:left="547"/>
              <w:rPr>
                <w:rFonts w:ascii="Arial" w:eastAsia="Times New Roman" w:hAnsi="Arial" w:cs="Arial"/>
                <w:sz w:val="24"/>
                <w:szCs w:val="24"/>
              </w:rPr>
            </w:pPr>
            <w:r w:rsidRPr="00552E3E">
              <w:rPr>
                <w:rFonts w:ascii="Arial" w:eastAsia="Times New Roman" w:hAnsi="Arial" w:cs="Arial"/>
                <w:sz w:val="24"/>
                <w:szCs w:val="24"/>
              </w:rPr>
              <w:t>2</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70CC8669" w14:textId="77777777" w:rsidR="002B7634" w:rsidRPr="00552E3E" w:rsidRDefault="002B7634" w:rsidP="002B7634">
            <w:pPr>
              <w:widowControl/>
              <w:spacing w:after="0" w:line="240" w:lineRule="auto"/>
              <w:ind w:left="547"/>
              <w:rPr>
                <w:rFonts w:ascii="Arial" w:eastAsia="Times New Roman" w:hAnsi="Arial" w:cs="Arial"/>
                <w:sz w:val="24"/>
                <w:szCs w:val="24"/>
              </w:rPr>
            </w:pPr>
            <w:r w:rsidRPr="00552E3E">
              <w:rPr>
                <w:rFonts w:ascii="Arial" w:eastAsia="Times New Roman" w:hAnsi="Arial" w:cs="Arial"/>
                <w:sz w:val="24"/>
                <w:szCs w:val="24"/>
              </w:rPr>
              <w:t>2018</w:t>
            </w:r>
          </w:p>
        </w:tc>
      </w:tr>
      <w:tr w:rsidR="002B7634" w:rsidRPr="00552E3E" w14:paraId="7294C4AC" w14:textId="77777777" w:rsidTr="001B4E22">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3E9D109E" w14:textId="77777777" w:rsidR="002B7634" w:rsidRPr="00552E3E" w:rsidRDefault="002B7634" w:rsidP="002B7634">
            <w:pPr>
              <w:widowControl/>
              <w:spacing w:after="0" w:line="240" w:lineRule="auto"/>
              <w:ind w:left="547"/>
              <w:rPr>
                <w:rFonts w:ascii="Arial" w:eastAsia="Times New Roman" w:hAnsi="Arial" w:cs="Arial"/>
                <w:sz w:val="24"/>
                <w:szCs w:val="24"/>
              </w:rPr>
            </w:pPr>
            <w:r w:rsidRPr="00552E3E">
              <w:rPr>
                <w:rFonts w:ascii="Arial" w:eastAsia="Times New Roman" w:hAnsi="Arial" w:cs="Arial"/>
                <w:sz w:val="24"/>
                <w:szCs w:val="24"/>
              </w:rPr>
              <w:t>3</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2A935E48" w14:textId="77777777" w:rsidR="002B7634" w:rsidRPr="00552E3E" w:rsidRDefault="002B7634" w:rsidP="002B7634">
            <w:pPr>
              <w:widowControl/>
              <w:spacing w:after="0" w:line="240" w:lineRule="auto"/>
              <w:ind w:left="547"/>
              <w:rPr>
                <w:rFonts w:ascii="Arial" w:eastAsia="Times New Roman" w:hAnsi="Arial" w:cs="Arial"/>
                <w:sz w:val="24"/>
                <w:szCs w:val="24"/>
              </w:rPr>
            </w:pPr>
            <w:r w:rsidRPr="00552E3E">
              <w:rPr>
                <w:rFonts w:ascii="Arial" w:eastAsia="Times New Roman" w:hAnsi="Arial" w:cs="Arial"/>
                <w:sz w:val="24"/>
                <w:szCs w:val="24"/>
              </w:rPr>
              <w:t>2019</w:t>
            </w:r>
          </w:p>
        </w:tc>
      </w:tr>
      <w:tr w:rsidR="002B7634" w:rsidRPr="00552E3E" w14:paraId="57EA070E" w14:textId="77777777" w:rsidTr="001B4E22">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5049F67D" w14:textId="77777777" w:rsidR="002B7634" w:rsidRPr="00552E3E" w:rsidRDefault="002B7634" w:rsidP="002B7634">
            <w:pPr>
              <w:widowControl/>
              <w:spacing w:after="0" w:line="240" w:lineRule="auto"/>
              <w:ind w:left="547"/>
              <w:rPr>
                <w:rFonts w:ascii="Arial" w:eastAsia="Times New Roman" w:hAnsi="Arial" w:cs="Arial"/>
                <w:b/>
                <w:bCs/>
                <w:sz w:val="24"/>
                <w:szCs w:val="24"/>
              </w:rPr>
            </w:pPr>
            <w:r w:rsidRPr="00552E3E">
              <w:rPr>
                <w:rFonts w:ascii="Arial" w:eastAsia="Times New Roman" w:hAnsi="Arial" w:cs="Arial"/>
                <w:b/>
                <w:bCs/>
                <w:sz w:val="24"/>
                <w:szCs w:val="24"/>
              </w:rPr>
              <w:t>4</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40820AED" w14:textId="77777777" w:rsidR="002B7634" w:rsidRPr="00552E3E" w:rsidRDefault="002B7634" w:rsidP="002B7634">
            <w:pPr>
              <w:widowControl/>
              <w:spacing w:after="0" w:line="240" w:lineRule="auto"/>
              <w:ind w:left="547"/>
              <w:rPr>
                <w:rFonts w:ascii="Arial" w:eastAsia="Times New Roman" w:hAnsi="Arial" w:cs="Arial"/>
                <w:b/>
                <w:bCs/>
                <w:sz w:val="24"/>
                <w:szCs w:val="24"/>
              </w:rPr>
            </w:pPr>
            <w:r w:rsidRPr="00552E3E">
              <w:rPr>
                <w:rFonts w:ascii="Arial" w:eastAsia="Times New Roman" w:hAnsi="Arial" w:cs="Arial"/>
                <w:b/>
                <w:bCs/>
                <w:sz w:val="24"/>
                <w:szCs w:val="24"/>
              </w:rPr>
              <w:t>2022</w:t>
            </w:r>
          </w:p>
        </w:tc>
      </w:tr>
      <w:tr w:rsidR="002B7634" w:rsidRPr="00552E3E" w14:paraId="49D47E8D" w14:textId="77777777" w:rsidTr="001B4E22">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481D7F93" w14:textId="77777777" w:rsidR="002B7634" w:rsidRPr="00552E3E" w:rsidRDefault="002B7634" w:rsidP="002B7634">
            <w:pPr>
              <w:widowControl/>
              <w:spacing w:after="0" w:line="240" w:lineRule="auto"/>
              <w:ind w:left="547"/>
              <w:rPr>
                <w:rFonts w:ascii="Arial" w:eastAsia="Times New Roman" w:hAnsi="Arial" w:cs="Arial"/>
                <w:b/>
                <w:bCs/>
                <w:sz w:val="24"/>
                <w:szCs w:val="24"/>
              </w:rPr>
            </w:pPr>
            <w:r w:rsidRPr="00552E3E">
              <w:rPr>
                <w:rFonts w:ascii="Arial" w:eastAsia="Times New Roman" w:hAnsi="Arial" w:cs="Arial"/>
                <w:b/>
                <w:bCs/>
                <w:sz w:val="24"/>
                <w:szCs w:val="24"/>
              </w:rPr>
              <w:t>5</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2EB3FBED" w14:textId="77777777" w:rsidR="002B7634" w:rsidRPr="00552E3E" w:rsidRDefault="002B7634" w:rsidP="002B7634">
            <w:pPr>
              <w:widowControl/>
              <w:spacing w:after="0" w:line="240" w:lineRule="auto"/>
              <w:ind w:left="547"/>
              <w:rPr>
                <w:rFonts w:ascii="Arial" w:eastAsia="Times New Roman" w:hAnsi="Arial" w:cs="Arial"/>
                <w:b/>
                <w:bCs/>
                <w:sz w:val="24"/>
                <w:szCs w:val="24"/>
              </w:rPr>
            </w:pPr>
            <w:r w:rsidRPr="00552E3E">
              <w:rPr>
                <w:rFonts w:ascii="Arial" w:eastAsia="Times New Roman" w:hAnsi="Arial" w:cs="Arial"/>
                <w:b/>
                <w:bCs/>
                <w:sz w:val="24"/>
                <w:szCs w:val="24"/>
              </w:rPr>
              <w:t>2023</w:t>
            </w:r>
          </w:p>
        </w:tc>
      </w:tr>
      <w:tr w:rsidR="002B7634" w:rsidRPr="00552E3E" w14:paraId="4603556E" w14:textId="77777777" w:rsidTr="001B4E22">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7807BDB0" w14:textId="77777777" w:rsidR="002B7634" w:rsidRPr="00552E3E" w:rsidRDefault="002B7634" w:rsidP="002B7634">
            <w:pPr>
              <w:widowControl/>
              <w:spacing w:after="0" w:line="240" w:lineRule="auto"/>
              <w:ind w:left="547"/>
              <w:rPr>
                <w:rFonts w:ascii="Arial" w:eastAsia="Times New Roman" w:hAnsi="Arial" w:cs="Arial"/>
                <w:b/>
                <w:bCs/>
                <w:sz w:val="24"/>
                <w:szCs w:val="24"/>
              </w:rPr>
            </w:pPr>
            <w:r w:rsidRPr="00552E3E">
              <w:rPr>
                <w:rFonts w:ascii="Arial" w:eastAsia="Times New Roman" w:hAnsi="Arial" w:cs="Arial"/>
                <w:b/>
                <w:bCs/>
                <w:sz w:val="24"/>
                <w:szCs w:val="24"/>
              </w:rPr>
              <w:t>6</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5C04FA4D" w14:textId="77777777" w:rsidR="002B7634" w:rsidRPr="00552E3E" w:rsidRDefault="002B7634" w:rsidP="002B7634">
            <w:pPr>
              <w:widowControl/>
              <w:spacing w:after="0" w:line="240" w:lineRule="auto"/>
              <w:ind w:left="547"/>
              <w:rPr>
                <w:rFonts w:ascii="Arial" w:eastAsia="Times New Roman" w:hAnsi="Arial" w:cs="Arial"/>
                <w:b/>
                <w:bCs/>
                <w:sz w:val="24"/>
                <w:szCs w:val="24"/>
              </w:rPr>
            </w:pPr>
            <w:r w:rsidRPr="00552E3E">
              <w:rPr>
                <w:rFonts w:ascii="Arial" w:eastAsia="Times New Roman" w:hAnsi="Arial" w:cs="Arial"/>
                <w:b/>
                <w:bCs/>
                <w:sz w:val="24"/>
                <w:szCs w:val="24"/>
              </w:rPr>
              <w:t>2024</w:t>
            </w:r>
          </w:p>
        </w:tc>
      </w:tr>
      <w:tr w:rsidR="002B7634" w:rsidRPr="00552E3E" w14:paraId="4083FE3B" w14:textId="77777777" w:rsidTr="001B4E22">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08F147AA" w14:textId="77777777" w:rsidR="002B7634" w:rsidRPr="00552E3E" w:rsidRDefault="002B7634" w:rsidP="002B7634">
            <w:pPr>
              <w:widowControl/>
              <w:spacing w:after="0" w:line="240" w:lineRule="auto"/>
              <w:ind w:left="547"/>
              <w:rPr>
                <w:rFonts w:ascii="Arial" w:eastAsia="Times New Roman" w:hAnsi="Arial" w:cs="Arial"/>
                <w:b/>
                <w:bCs/>
                <w:sz w:val="24"/>
                <w:szCs w:val="24"/>
              </w:rPr>
            </w:pPr>
            <w:r w:rsidRPr="00552E3E">
              <w:rPr>
                <w:rFonts w:ascii="Arial" w:eastAsia="Times New Roman" w:hAnsi="Arial" w:cs="Arial"/>
                <w:b/>
                <w:bCs/>
                <w:sz w:val="24"/>
                <w:szCs w:val="24"/>
              </w:rPr>
              <w:t>7</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2B56EB0C" w14:textId="77777777" w:rsidR="002B7634" w:rsidRPr="00552E3E" w:rsidRDefault="002B7634" w:rsidP="002B7634">
            <w:pPr>
              <w:widowControl/>
              <w:spacing w:after="0" w:line="240" w:lineRule="auto"/>
              <w:ind w:left="547"/>
              <w:rPr>
                <w:rFonts w:ascii="Arial" w:eastAsia="Times New Roman" w:hAnsi="Arial" w:cs="Arial"/>
                <w:b/>
                <w:bCs/>
                <w:sz w:val="24"/>
                <w:szCs w:val="24"/>
              </w:rPr>
            </w:pPr>
            <w:r w:rsidRPr="00552E3E">
              <w:rPr>
                <w:rFonts w:ascii="Arial" w:eastAsia="Times New Roman" w:hAnsi="Arial" w:cs="Arial"/>
                <w:b/>
                <w:bCs/>
                <w:sz w:val="24"/>
                <w:szCs w:val="24"/>
              </w:rPr>
              <w:t>2025</w:t>
            </w:r>
          </w:p>
        </w:tc>
      </w:tr>
    </w:tbl>
    <w:p w14:paraId="07E71A92" w14:textId="77777777" w:rsidR="002B7634" w:rsidRPr="00552E3E" w:rsidRDefault="002B7634" w:rsidP="002B7634">
      <w:pPr>
        <w:widowControl/>
        <w:spacing w:after="240" w:line="240" w:lineRule="auto"/>
        <w:rPr>
          <w:rFonts w:ascii="Arial" w:hAnsi="Arial" w:cs="Arial"/>
          <w:sz w:val="24"/>
        </w:rPr>
      </w:pPr>
    </w:p>
    <w:p w14:paraId="3F01672B" w14:textId="0DDE5AD9" w:rsidR="002B7634" w:rsidRPr="00552E3E" w:rsidRDefault="002B7634" w:rsidP="0016596B">
      <w:pPr>
        <w:widowControl/>
        <w:spacing w:after="120" w:line="240" w:lineRule="auto"/>
        <w:rPr>
          <w:rFonts w:ascii="Arial" w:hAnsi="Arial" w:cs="Arial"/>
          <w:color w:val="0563C1"/>
          <w:sz w:val="24"/>
          <w:u w:val="single"/>
        </w:rPr>
      </w:pPr>
      <w:r w:rsidRPr="00552E3E">
        <w:rPr>
          <w:rFonts w:ascii="Arial" w:hAnsi="Arial" w:cs="Arial"/>
          <w:sz w:val="24"/>
        </w:rPr>
        <w:t xml:space="preserve">The CDE has produced a report that indicates where schools and student groups are on the five-by-five colored grid, allowing schools to determine how much improvement is needed to reach that goal. The report is available on the CDE California Model Five-by-Five Placement Reports &amp; Data </w:t>
      </w:r>
      <w:r w:rsidR="00675ED0">
        <w:rPr>
          <w:rFonts w:ascii="Arial" w:hAnsi="Arial" w:cs="Arial"/>
          <w:sz w:val="24"/>
        </w:rPr>
        <w:t>w</w:t>
      </w:r>
      <w:r w:rsidRPr="00552E3E">
        <w:rPr>
          <w:rFonts w:ascii="Arial" w:hAnsi="Arial" w:cs="Arial"/>
          <w:sz w:val="24"/>
        </w:rPr>
        <w:t xml:space="preserve">eb page at </w:t>
      </w:r>
      <w:hyperlink r:id="rId17" w:tooltip="Five-by-Five Placement Reports &amp; Data" w:history="1">
        <w:r w:rsidRPr="00BE666B">
          <w:rPr>
            <w:rFonts w:ascii="Arial" w:hAnsi="Arial" w:cs="Arial"/>
            <w:color w:val="0000FF"/>
            <w:sz w:val="24"/>
            <w:u w:val="single"/>
          </w:rPr>
          <w:t>https://www6.cde.ca.gov/californiamodel/</w:t>
        </w:r>
      </w:hyperlink>
      <w:r w:rsidR="00BE666B">
        <w:rPr>
          <w:color w:val="0000FF"/>
        </w:rPr>
        <w:t>.</w:t>
      </w:r>
    </w:p>
    <w:p w14:paraId="52475174" w14:textId="617B1A47" w:rsidR="002B7634" w:rsidRPr="00552E3E" w:rsidRDefault="002B7634" w:rsidP="0016596B">
      <w:pPr>
        <w:widowControl/>
        <w:spacing w:after="120" w:line="240" w:lineRule="auto"/>
        <w:ind w:right="86"/>
        <w:rPr>
          <w:rFonts w:ascii="Arial" w:eastAsia="Times New Roman" w:hAnsi="Arial" w:cs="Arial"/>
          <w:sz w:val="24"/>
          <w:szCs w:val="24"/>
        </w:rPr>
      </w:pPr>
      <w:r w:rsidRPr="00552E3E">
        <w:rPr>
          <w:rFonts w:ascii="Arial" w:eastAsia="Times New Roman" w:hAnsi="Arial" w:cs="Arial"/>
          <w:sz w:val="24"/>
          <w:szCs w:val="24"/>
        </w:rPr>
        <w:t xml:space="preserve">The ability for LEAs or schools to determine interim progress goals, including for lower performing student groups, is built into the California Model. In addition, the CDE has produced a report that indicates where schools and student groups are on the five-by-five colored grid, allowing schools to target improvement strategies to reach the goal for each student group. These reports are available on the CDE California Model Five-by-Five Placement Reports &amp; Data </w:t>
      </w:r>
      <w:r w:rsidR="00675ED0">
        <w:rPr>
          <w:rFonts w:ascii="Arial" w:eastAsia="Times New Roman" w:hAnsi="Arial" w:cs="Arial"/>
          <w:sz w:val="24"/>
          <w:szCs w:val="24"/>
        </w:rPr>
        <w:t>w</w:t>
      </w:r>
      <w:r w:rsidRPr="00552E3E">
        <w:rPr>
          <w:rFonts w:ascii="Arial" w:eastAsia="Times New Roman" w:hAnsi="Arial" w:cs="Arial"/>
          <w:sz w:val="24"/>
          <w:szCs w:val="24"/>
        </w:rPr>
        <w:t xml:space="preserve">eb page at </w:t>
      </w:r>
      <w:hyperlink r:id="rId18" w:tooltip="CDE California Model Five-by-Five Placement Reports &amp; Data Web page" w:history="1">
        <w:r w:rsidRPr="00552E3E">
          <w:rPr>
            <w:rStyle w:val="Hyperlink"/>
            <w:rFonts w:ascii="Arial" w:eastAsia="Times New Roman" w:hAnsi="Arial" w:cs="Arial"/>
            <w:sz w:val="24"/>
            <w:szCs w:val="24"/>
          </w:rPr>
          <w:t>https://www6.cde.ca.gov/californiamodel/</w:t>
        </w:r>
      </w:hyperlink>
      <w:r w:rsidRPr="00552E3E">
        <w:rPr>
          <w:rFonts w:ascii="Arial" w:eastAsia="Times New Roman" w:hAnsi="Arial" w:cs="Arial"/>
          <w:sz w:val="24"/>
          <w:szCs w:val="24"/>
        </w:rPr>
        <w:t xml:space="preserve">. </w:t>
      </w:r>
    </w:p>
    <w:p w14:paraId="440F0712" w14:textId="134AC9B1" w:rsidR="006008D8" w:rsidRPr="00552E3E" w:rsidRDefault="002B7634" w:rsidP="0016596B">
      <w:pPr>
        <w:widowControl/>
        <w:spacing w:after="120" w:line="240" w:lineRule="auto"/>
        <w:ind w:right="86"/>
        <w:rPr>
          <w:rFonts w:ascii="Arial" w:eastAsia="Times New Roman" w:hAnsi="Arial" w:cs="Arial"/>
          <w:sz w:val="24"/>
          <w:szCs w:val="24"/>
        </w:rPr>
      </w:pPr>
      <w:r w:rsidRPr="00552E3E">
        <w:rPr>
          <w:rFonts w:ascii="Arial" w:eastAsia="Times New Roman" w:hAnsi="Arial" w:cs="Arial"/>
          <w:sz w:val="24"/>
          <w:szCs w:val="24"/>
        </w:rPr>
        <w:t xml:space="preserve">Additionally, under state law, every LEA must adopt and annually update a LCAP. In the LCAP, the LEA must establish goals for all students and the statutory student </w:t>
      </w:r>
      <w:r w:rsidRPr="00552E3E">
        <w:rPr>
          <w:rFonts w:ascii="Arial" w:eastAsia="Times New Roman" w:hAnsi="Arial" w:cs="Arial"/>
          <w:sz w:val="24"/>
          <w:szCs w:val="24"/>
        </w:rPr>
        <w:lastRenderedPageBreak/>
        <w:t>groups across priority areas defined in statute. The LEA must also describe actions and services, and related expenditures, to meet the goals for student performance.</w:t>
      </w:r>
    </w:p>
    <w:p w14:paraId="06228A00" w14:textId="5E73C11D" w:rsidR="002B7634" w:rsidRPr="00552E3E" w:rsidRDefault="002B7634" w:rsidP="0016596B">
      <w:pPr>
        <w:pStyle w:val="Heading3"/>
        <w:spacing w:line="240" w:lineRule="auto"/>
        <w:rPr>
          <w:rFonts w:ascii="Arial" w:eastAsia="Arial" w:hAnsi="Arial" w:cs="Arial"/>
          <w:color w:val="7030A0"/>
        </w:rPr>
      </w:pPr>
      <w:bookmarkStart w:id="13" w:name="_Toc194671795"/>
      <w:r w:rsidRPr="00552E3E">
        <w:rPr>
          <w:rFonts w:ascii="Arial" w:eastAsia="Arial" w:hAnsi="Arial" w:cs="Arial"/>
          <w:color w:val="7030A0"/>
        </w:rPr>
        <w:t>Chronic Absenteeism</w:t>
      </w:r>
      <w:bookmarkEnd w:id="13"/>
    </w:p>
    <w:p w14:paraId="3767F9EA" w14:textId="7D660945" w:rsidR="009A7423" w:rsidRPr="00552E3E" w:rsidRDefault="002B7634" w:rsidP="0016596B">
      <w:pPr>
        <w:spacing w:after="120" w:line="240" w:lineRule="auto"/>
        <w:rPr>
          <w:rFonts w:ascii="Arial" w:eastAsia="Times New Roman" w:hAnsi="Arial" w:cs="Arial"/>
          <w:sz w:val="24"/>
          <w:szCs w:val="24"/>
        </w:rPr>
      </w:pPr>
      <w:bookmarkStart w:id="14" w:name="_Hlk171673137"/>
      <w:r w:rsidRPr="00552E3E">
        <w:rPr>
          <w:rFonts w:ascii="Arial" w:eastAsia="Times New Roman" w:hAnsi="Arial" w:cs="Arial"/>
          <w:sz w:val="24"/>
          <w:szCs w:val="24"/>
        </w:rPr>
        <w:t xml:space="preserve">Chronic absenteeism </w:t>
      </w:r>
      <w:bookmarkEnd w:id="14"/>
      <w:r w:rsidRPr="00552E3E">
        <w:rPr>
          <w:rFonts w:ascii="Arial" w:eastAsia="Times New Roman" w:hAnsi="Arial" w:cs="Arial"/>
          <w:sz w:val="24"/>
          <w:szCs w:val="24"/>
        </w:rPr>
        <w:t xml:space="preserve">will serve as an additional academic indicator for grades </w:t>
      </w:r>
      <w:r w:rsidR="00472BCF" w:rsidRPr="00552E3E">
        <w:rPr>
          <w:rFonts w:ascii="Arial" w:eastAsia="Times New Roman" w:hAnsi="Arial" w:cs="Arial"/>
          <w:sz w:val="24"/>
          <w:szCs w:val="24"/>
        </w:rPr>
        <w:t>T</w:t>
      </w:r>
      <w:r w:rsidRPr="00552E3E">
        <w:rPr>
          <w:rFonts w:ascii="Arial" w:eastAsia="Times New Roman" w:hAnsi="Arial" w:cs="Arial"/>
          <w:sz w:val="24"/>
          <w:szCs w:val="24"/>
        </w:rPr>
        <w:t xml:space="preserve">K–8, given its strong correlation with future academic attainment. </w:t>
      </w:r>
      <w:r w:rsidR="009A7423" w:rsidRPr="00552E3E">
        <w:rPr>
          <w:rFonts w:ascii="Arial" w:eastAsia="Times New Roman" w:hAnsi="Arial" w:cs="Arial"/>
          <w:sz w:val="24"/>
          <w:szCs w:val="24"/>
        </w:rPr>
        <w:t>Each LEA</w:t>
      </w:r>
      <w:r w:rsidRPr="00552E3E" w:rsidDel="009A7423">
        <w:rPr>
          <w:rFonts w:ascii="Arial" w:eastAsia="Times New Roman" w:hAnsi="Arial" w:cs="Arial"/>
          <w:sz w:val="24"/>
          <w:szCs w:val="24"/>
        </w:rPr>
        <w:t xml:space="preserve"> </w:t>
      </w:r>
      <w:r w:rsidR="43FDCB8B" w:rsidRPr="00552E3E">
        <w:rPr>
          <w:rFonts w:ascii="Arial" w:eastAsia="Times New Roman" w:hAnsi="Arial" w:cs="Arial"/>
          <w:sz w:val="24"/>
          <w:szCs w:val="24"/>
        </w:rPr>
        <w:t xml:space="preserve">shares data on student absences with CDE, who then determines </w:t>
      </w:r>
      <w:r w:rsidR="009A7423" w:rsidRPr="00552E3E">
        <w:rPr>
          <w:rFonts w:ascii="Arial" w:eastAsia="Times New Roman" w:hAnsi="Arial" w:cs="Arial"/>
          <w:sz w:val="24"/>
          <w:szCs w:val="24"/>
        </w:rPr>
        <w:t xml:space="preserve">which students were chronically absent, which is defined in California </w:t>
      </w:r>
      <w:r w:rsidR="009A7423" w:rsidRPr="0016596B">
        <w:rPr>
          <w:rFonts w:ascii="Arial" w:eastAsia="Times New Roman" w:hAnsi="Arial" w:cs="Arial"/>
          <w:i/>
          <w:sz w:val="24"/>
          <w:szCs w:val="24"/>
        </w:rPr>
        <w:t>Education Code</w:t>
      </w:r>
      <w:r w:rsidR="009A7423" w:rsidRPr="00552E3E">
        <w:rPr>
          <w:rFonts w:ascii="Arial" w:eastAsia="Times New Roman" w:hAnsi="Arial" w:cs="Arial"/>
          <w:sz w:val="24"/>
          <w:szCs w:val="24"/>
        </w:rPr>
        <w:t xml:space="preserve"> Section 60901(c)(1) as “a pupil who is absent on 10 percent or more of the school days in the school year when the total number of days a pupil is absent is divided by the total number of days the pupil is enrolled and school was actually taught in the regular day schools of the district, exclusive of Saturdays and Sundays.” </w:t>
      </w:r>
    </w:p>
    <w:p w14:paraId="1ECEFD64" w14:textId="60A98B39" w:rsidR="002B7634" w:rsidRPr="00552E3E" w:rsidRDefault="009A7423" w:rsidP="0016596B">
      <w:pPr>
        <w:spacing w:after="120" w:line="240" w:lineRule="auto"/>
        <w:rPr>
          <w:rFonts w:ascii="Arial" w:eastAsia="Times New Roman" w:hAnsi="Arial" w:cs="Arial"/>
          <w:sz w:val="24"/>
          <w:szCs w:val="24"/>
        </w:rPr>
      </w:pPr>
      <w:r w:rsidRPr="00552E3E">
        <w:rPr>
          <w:rFonts w:ascii="Arial" w:eastAsia="Times New Roman" w:hAnsi="Arial" w:cs="Arial"/>
          <w:sz w:val="24"/>
          <w:szCs w:val="24"/>
        </w:rPr>
        <w:t>The calculation formula is the number of students chronically absent 10 percent or more divided by the number of students who are eligible for chronic absenteeism enrollment. The calculation formula for Change is the current year chronic absence rate minus the prior year chronic absence rate</w:t>
      </w:r>
    </w:p>
    <w:p w14:paraId="0F8F10CA" w14:textId="6AD4F0B0" w:rsidR="006008D8" w:rsidRPr="00552E3E" w:rsidRDefault="006008D8" w:rsidP="0016596B">
      <w:pPr>
        <w:pStyle w:val="Heading3"/>
        <w:spacing w:line="240" w:lineRule="auto"/>
        <w:rPr>
          <w:rFonts w:ascii="Arial" w:hAnsi="Arial" w:cs="Arial"/>
          <w:color w:val="7030A0"/>
          <w:sz w:val="27"/>
          <w:szCs w:val="27"/>
        </w:rPr>
      </w:pPr>
      <w:bookmarkStart w:id="15" w:name="_Toc194671796"/>
      <w:r w:rsidRPr="00552E3E">
        <w:rPr>
          <w:rFonts w:ascii="Arial" w:eastAsia="Arial" w:hAnsi="Arial" w:cs="Arial"/>
          <w:color w:val="7030A0"/>
        </w:rPr>
        <w:t>Suspension Rate</w:t>
      </w:r>
      <w:bookmarkEnd w:id="15"/>
    </w:p>
    <w:p w14:paraId="1F9B1EA8" w14:textId="3B7BA2E8" w:rsidR="006008D8" w:rsidRPr="00552E3E" w:rsidRDefault="006008D8" w:rsidP="0016596B">
      <w:pPr>
        <w:pStyle w:val="NormalWeb"/>
        <w:spacing w:before="0" w:beforeAutospacing="0" w:after="120" w:afterAutospacing="0"/>
        <w:rPr>
          <w:rFonts w:ascii="Arial" w:hAnsi="Arial" w:cs="Arial"/>
          <w:color w:val="000000"/>
        </w:rPr>
      </w:pPr>
      <w:r w:rsidRPr="00552E3E">
        <w:rPr>
          <w:rFonts w:ascii="Arial" w:hAnsi="Arial" w:cs="Arial"/>
          <w:color w:val="000000"/>
        </w:rPr>
        <w:t xml:space="preserve">The Suspension Rate Indicator will be used to measure school quality for all students in </w:t>
      </w:r>
      <w:r w:rsidR="00FE3B2A" w:rsidRPr="00552E3E">
        <w:rPr>
          <w:rFonts w:ascii="Arial" w:hAnsi="Arial" w:cs="Arial"/>
          <w:color w:val="000000"/>
        </w:rPr>
        <w:t>T</w:t>
      </w:r>
      <w:r w:rsidRPr="00552E3E">
        <w:rPr>
          <w:rFonts w:ascii="Arial" w:hAnsi="Arial" w:cs="Arial"/>
          <w:color w:val="000000"/>
        </w:rPr>
        <w:t xml:space="preserve">K–12. </w:t>
      </w:r>
      <w:r w:rsidR="003A482C" w:rsidRPr="00552E3E">
        <w:rPr>
          <w:rFonts w:ascii="Arial" w:hAnsi="Arial" w:cs="Arial"/>
          <w:color w:val="000000"/>
        </w:rPr>
        <w:t>As mentioned above, the distribution of LEA data is used to determine performance levels, h</w:t>
      </w:r>
      <w:r w:rsidRPr="00552E3E">
        <w:rPr>
          <w:rFonts w:ascii="Arial" w:hAnsi="Arial" w:cs="Arial"/>
          <w:color w:val="000000"/>
        </w:rPr>
        <w:t xml:space="preserve">owever, for the Suspension Rate Indicator, the data were significantly different among elementary, middle, and high schools. </w:t>
      </w:r>
      <w:r w:rsidR="003A482C" w:rsidRPr="00552E3E">
        <w:rPr>
          <w:rFonts w:ascii="Arial" w:hAnsi="Arial" w:cs="Arial"/>
          <w:color w:val="000000"/>
        </w:rPr>
        <w:t>As a result</w:t>
      </w:r>
      <w:r w:rsidRPr="00552E3E">
        <w:rPr>
          <w:rFonts w:ascii="Arial" w:hAnsi="Arial" w:cs="Arial"/>
          <w:color w:val="000000"/>
        </w:rPr>
        <w:t>, three distributions were created for the Suspension Rate Indicator, one for elementary, one for middle, and one for high schools. The three sets of distributions resulted in the establishment of three different sets of cut scores, which allows for meaningful differentiation and a valid and reliable comparison among schools statewide by school type. The same calculation methodology will be used at both the school level and the student group level.</w:t>
      </w:r>
    </w:p>
    <w:p w14:paraId="3BA16D80" w14:textId="402F710A" w:rsidR="006008D8" w:rsidRPr="00552E3E" w:rsidRDefault="006008D8" w:rsidP="0016596B">
      <w:pPr>
        <w:pStyle w:val="NormalWeb"/>
        <w:spacing w:before="0" w:beforeAutospacing="0" w:after="120" w:afterAutospacing="0"/>
        <w:rPr>
          <w:rFonts w:ascii="Arial" w:hAnsi="Arial" w:cs="Arial"/>
          <w:color w:val="000000"/>
        </w:rPr>
      </w:pPr>
      <w:r w:rsidRPr="00552E3E">
        <w:rPr>
          <w:rFonts w:ascii="Arial" w:hAnsi="Arial" w:cs="Arial"/>
          <w:color w:val="000000"/>
        </w:rPr>
        <w:t>The calculation formula for Status is the number of students suspended divided by the number of students cumulatively enrolled. The calculation formula for Change is the current year suspension rate minus the prior year suspension rate.</w:t>
      </w:r>
    </w:p>
    <w:p w14:paraId="3AF29520" w14:textId="77777777" w:rsidR="006008D8" w:rsidRPr="00377EEE" w:rsidRDefault="006008D8" w:rsidP="0016596B">
      <w:pPr>
        <w:pStyle w:val="Heading3"/>
        <w:spacing w:line="240" w:lineRule="auto"/>
        <w:rPr>
          <w:rFonts w:ascii="Arial" w:hAnsi="Arial" w:cs="Arial"/>
          <w:color w:val="7030A0"/>
        </w:rPr>
      </w:pPr>
      <w:bookmarkStart w:id="16" w:name="_Toc194671797"/>
      <w:r w:rsidRPr="00377EEE">
        <w:rPr>
          <w:rFonts w:ascii="Arial" w:hAnsi="Arial" w:cs="Arial"/>
          <w:color w:val="7030A0"/>
        </w:rPr>
        <w:t>College/Career Indicator</w:t>
      </w:r>
      <w:bookmarkEnd w:id="16"/>
    </w:p>
    <w:p w14:paraId="176C9B38" w14:textId="6850C9C7" w:rsidR="00531CFE" w:rsidRPr="00552E3E" w:rsidRDefault="00531CFE" w:rsidP="0016596B">
      <w:pPr>
        <w:spacing w:after="120" w:line="240" w:lineRule="auto"/>
        <w:rPr>
          <w:rFonts w:ascii="Arial" w:hAnsi="Arial" w:cs="Arial"/>
          <w:i/>
          <w:iCs/>
          <w:sz w:val="24"/>
          <w:szCs w:val="24"/>
        </w:rPr>
      </w:pPr>
      <w:r w:rsidRPr="00552E3E">
        <w:rPr>
          <w:rFonts w:ascii="Arial" w:hAnsi="Arial" w:cs="Arial"/>
          <w:i/>
          <w:iCs/>
          <w:sz w:val="24"/>
          <w:szCs w:val="24"/>
        </w:rPr>
        <w:t xml:space="preserve">During the 2020-21 school year, due to the continuation of the COVID-19 pandemic, LEAs were provided with the option of administering local assessments if administering the statewide summative assessment was not the most viable option. As a </w:t>
      </w:r>
      <w:r w:rsidR="00F5474A" w:rsidRPr="00552E3E">
        <w:rPr>
          <w:rFonts w:ascii="Arial" w:hAnsi="Arial" w:cs="Arial"/>
          <w:i/>
          <w:iCs/>
          <w:sz w:val="24"/>
          <w:szCs w:val="24"/>
        </w:rPr>
        <w:t>result,</w:t>
      </w:r>
      <w:r w:rsidRPr="00552E3E">
        <w:rPr>
          <w:rFonts w:ascii="Arial" w:hAnsi="Arial" w:cs="Arial"/>
          <w:i/>
          <w:iCs/>
          <w:sz w:val="24"/>
          <w:szCs w:val="24"/>
        </w:rPr>
        <w:t xml:space="preserve"> the CCI was not reported due to limited results of the 2021 statewide summative assessments for grade eleven students.</w:t>
      </w:r>
    </w:p>
    <w:p w14:paraId="457C9CCD" w14:textId="34C8D3A8" w:rsidR="006008D8" w:rsidRPr="00552E3E" w:rsidRDefault="006008D8" w:rsidP="0016596B">
      <w:pPr>
        <w:spacing w:after="120" w:line="240" w:lineRule="auto"/>
        <w:rPr>
          <w:rFonts w:ascii="Arial" w:hAnsi="Arial" w:cs="Arial"/>
          <w:sz w:val="24"/>
          <w:szCs w:val="24"/>
        </w:rPr>
      </w:pPr>
      <w:r w:rsidRPr="00552E3E">
        <w:rPr>
          <w:rFonts w:ascii="Arial" w:hAnsi="Arial" w:cs="Arial"/>
          <w:sz w:val="24"/>
          <w:szCs w:val="24"/>
        </w:rPr>
        <w:t xml:space="preserve">The College/Career Indicator </w:t>
      </w:r>
      <w:r w:rsidR="003A482C" w:rsidRPr="00552E3E">
        <w:rPr>
          <w:rFonts w:ascii="Arial" w:hAnsi="Arial" w:cs="Arial"/>
          <w:sz w:val="24"/>
          <w:szCs w:val="24"/>
        </w:rPr>
        <w:t xml:space="preserve">(CCI) </w:t>
      </w:r>
      <w:r w:rsidRPr="00552E3E">
        <w:rPr>
          <w:rFonts w:ascii="Arial" w:hAnsi="Arial" w:cs="Arial"/>
          <w:sz w:val="24"/>
          <w:szCs w:val="24"/>
        </w:rPr>
        <w:t>is an additional indicator of student success for high schools</w:t>
      </w:r>
      <w:r w:rsidR="003A482C" w:rsidRPr="00552E3E">
        <w:rPr>
          <w:rFonts w:ascii="Arial" w:hAnsi="Arial" w:cs="Arial"/>
          <w:sz w:val="24"/>
          <w:szCs w:val="24"/>
        </w:rPr>
        <w:t xml:space="preserve">. </w:t>
      </w:r>
      <w:r w:rsidRPr="00552E3E">
        <w:rPr>
          <w:rFonts w:ascii="Arial" w:hAnsi="Arial" w:cs="Arial"/>
          <w:sz w:val="24"/>
          <w:szCs w:val="24"/>
        </w:rPr>
        <w:t xml:space="preserve">The CCI is designed to include multiple measures </w:t>
      </w:r>
      <w:proofErr w:type="gramStart"/>
      <w:r w:rsidRPr="00552E3E">
        <w:rPr>
          <w:rFonts w:ascii="Arial" w:hAnsi="Arial" w:cs="Arial"/>
          <w:sz w:val="24"/>
          <w:szCs w:val="24"/>
        </w:rPr>
        <w:t>in order to</w:t>
      </w:r>
      <w:proofErr w:type="gramEnd"/>
      <w:r w:rsidRPr="00552E3E">
        <w:rPr>
          <w:rFonts w:ascii="Arial" w:hAnsi="Arial" w:cs="Arial"/>
          <w:sz w:val="24"/>
          <w:szCs w:val="24"/>
        </w:rPr>
        <w:t xml:space="preserve"> value the multiple pathways that students may take to prepare for postsecondary. The CCI currently has three levels (Prepared, Approaching Prepared, and Not Prepared) and is designed to allow new measures to be added when they become available. To determine how well schools have</w:t>
      </w:r>
      <w:r w:rsidR="003A482C" w:rsidRPr="00552E3E">
        <w:rPr>
          <w:rFonts w:ascii="Arial" w:hAnsi="Arial" w:cs="Arial"/>
          <w:sz w:val="24"/>
          <w:szCs w:val="24"/>
        </w:rPr>
        <w:t xml:space="preserve"> </w:t>
      </w:r>
      <w:r w:rsidRPr="00552E3E">
        <w:rPr>
          <w:rFonts w:ascii="Arial" w:hAnsi="Arial" w:cs="Arial"/>
          <w:sz w:val="24"/>
          <w:szCs w:val="24"/>
        </w:rPr>
        <w:t xml:space="preserve">prepared students for postsecondary, the CCI evaluates all students in the four-year graduation cohort. The same calculation methodology is used for both the </w:t>
      </w:r>
      <w:r w:rsidRPr="00552E3E">
        <w:rPr>
          <w:rFonts w:ascii="Arial" w:hAnsi="Arial" w:cs="Arial"/>
          <w:sz w:val="24"/>
          <w:szCs w:val="24"/>
        </w:rPr>
        <w:lastRenderedPageBreak/>
        <w:t>school level and the student group level.</w:t>
      </w:r>
    </w:p>
    <w:p w14:paraId="6308EB03" w14:textId="0812C99B" w:rsidR="00531CFE" w:rsidRPr="00552E3E" w:rsidRDefault="00531CFE" w:rsidP="0016596B">
      <w:pPr>
        <w:spacing w:after="120" w:line="240" w:lineRule="auto"/>
        <w:rPr>
          <w:rFonts w:ascii="Arial" w:hAnsi="Arial" w:cs="Arial"/>
          <w:sz w:val="24"/>
          <w:szCs w:val="24"/>
        </w:rPr>
      </w:pPr>
      <w:r w:rsidRPr="00552E3E">
        <w:rPr>
          <w:rFonts w:ascii="Arial" w:hAnsi="Arial" w:cs="Arial"/>
          <w:sz w:val="24"/>
          <w:szCs w:val="24"/>
        </w:rPr>
        <w:t xml:space="preserve">Only measures collected statewide at an individual student level and approved by the SBE are included in the CCI. They are:  </w:t>
      </w:r>
    </w:p>
    <w:p w14:paraId="65270801" w14:textId="77777777" w:rsidR="00531CFE" w:rsidRPr="00377EEE" w:rsidRDefault="00531CFE" w:rsidP="0016596B">
      <w:pPr>
        <w:pStyle w:val="paragraph"/>
        <w:numPr>
          <w:ilvl w:val="0"/>
          <w:numId w:val="9"/>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Advanced Placement Exams</w:t>
      </w:r>
      <w:r w:rsidRPr="00377EEE">
        <w:rPr>
          <w:rStyle w:val="eop"/>
          <w:rFonts w:ascii="Arial" w:eastAsiaTheme="majorEastAsia" w:hAnsi="Arial" w:cs="Arial"/>
          <w:color w:val="000000"/>
        </w:rPr>
        <w:t> </w:t>
      </w:r>
    </w:p>
    <w:p w14:paraId="256AE9DA" w14:textId="77777777" w:rsidR="00531CFE" w:rsidRPr="00377EEE" w:rsidRDefault="00531CFE" w:rsidP="0016596B">
      <w:pPr>
        <w:pStyle w:val="paragraph"/>
        <w:numPr>
          <w:ilvl w:val="0"/>
          <w:numId w:val="10"/>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Met UC/CSU Requirements (i.e., a-g)</w:t>
      </w:r>
      <w:r w:rsidRPr="00377EEE">
        <w:rPr>
          <w:rStyle w:val="eop"/>
          <w:rFonts w:ascii="Arial" w:eastAsiaTheme="majorEastAsia" w:hAnsi="Arial" w:cs="Arial"/>
          <w:color w:val="000000"/>
        </w:rPr>
        <w:t> </w:t>
      </w:r>
    </w:p>
    <w:p w14:paraId="119A21B8" w14:textId="77777777" w:rsidR="00531CFE" w:rsidRPr="00377EEE" w:rsidRDefault="00531CFE" w:rsidP="0016596B">
      <w:pPr>
        <w:pStyle w:val="paragraph"/>
        <w:numPr>
          <w:ilvl w:val="0"/>
          <w:numId w:val="11"/>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Career Technical Education Pathway Completion</w:t>
      </w:r>
      <w:r w:rsidRPr="00377EEE">
        <w:rPr>
          <w:rStyle w:val="eop"/>
          <w:rFonts w:ascii="Arial" w:eastAsiaTheme="majorEastAsia" w:hAnsi="Arial" w:cs="Arial"/>
          <w:color w:val="000000"/>
        </w:rPr>
        <w:t> </w:t>
      </w:r>
    </w:p>
    <w:p w14:paraId="610C5B4B" w14:textId="77777777" w:rsidR="00531CFE" w:rsidRPr="00377EEE" w:rsidRDefault="00531CFE" w:rsidP="0016596B">
      <w:pPr>
        <w:pStyle w:val="paragraph"/>
        <w:numPr>
          <w:ilvl w:val="0"/>
          <w:numId w:val="12"/>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College Credit Course (formerly called Dual Enrollment)</w:t>
      </w:r>
      <w:r w:rsidRPr="00377EEE">
        <w:rPr>
          <w:rStyle w:val="eop"/>
          <w:rFonts w:ascii="Arial" w:eastAsiaTheme="majorEastAsia" w:hAnsi="Arial" w:cs="Arial"/>
          <w:color w:val="000000"/>
        </w:rPr>
        <w:t> </w:t>
      </w:r>
    </w:p>
    <w:p w14:paraId="32174914" w14:textId="77777777" w:rsidR="00531CFE" w:rsidRPr="00377EEE" w:rsidRDefault="00531CFE" w:rsidP="0016596B">
      <w:pPr>
        <w:pStyle w:val="paragraph"/>
        <w:numPr>
          <w:ilvl w:val="0"/>
          <w:numId w:val="13"/>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International Baccalaureate Exams</w:t>
      </w:r>
      <w:r w:rsidRPr="00377EEE">
        <w:rPr>
          <w:rStyle w:val="eop"/>
          <w:rFonts w:ascii="Arial" w:eastAsiaTheme="majorEastAsia" w:hAnsi="Arial" w:cs="Arial"/>
          <w:color w:val="000000"/>
        </w:rPr>
        <w:t> </w:t>
      </w:r>
    </w:p>
    <w:p w14:paraId="425B4F45" w14:textId="77777777" w:rsidR="00531CFE" w:rsidRPr="00377EEE" w:rsidRDefault="00531CFE" w:rsidP="0016596B">
      <w:pPr>
        <w:pStyle w:val="paragraph"/>
        <w:numPr>
          <w:ilvl w:val="0"/>
          <w:numId w:val="14"/>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Leadership/Military Science</w:t>
      </w:r>
      <w:r w:rsidRPr="00377EEE">
        <w:rPr>
          <w:rStyle w:val="eop"/>
          <w:rFonts w:ascii="Arial" w:eastAsiaTheme="majorEastAsia" w:hAnsi="Arial" w:cs="Arial"/>
          <w:color w:val="000000"/>
        </w:rPr>
        <w:t> </w:t>
      </w:r>
    </w:p>
    <w:p w14:paraId="43FCDD16" w14:textId="77777777" w:rsidR="00531CFE" w:rsidRPr="00377EEE" w:rsidRDefault="00531CFE" w:rsidP="0016596B">
      <w:pPr>
        <w:pStyle w:val="paragraph"/>
        <w:numPr>
          <w:ilvl w:val="0"/>
          <w:numId w:val="15"/>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Pre-Apprenticeships</w:t>
      </w:r>
      <w:r w:rsidRPr="00377EEE">
        <w:rPr>
          <w:rStyle w:val="eop"/>
          <w:rFonts w:ascii="Arial" w:eastAsiaTheme="majorEastAsia" w:hAnsi="Arial" w:cs="Arial"/>
          <w:color w:val="000000"/>
        </w:rPr>
        <w:t> </w:t>
      </w:r>
    </w:p>
    <w:p w14:paraId="56BA78B8" w14:textId="77777777" w:rsidR="00531CFE" w:rsidRPr="00377EEE" w:rsidRDefault="00531CFE" w:rsidP="0016596B">
      <w:pPr>
        <w:pStyle w:val="paragraph"/>
        <w:numPr>
          <w:ilvl w:val="0"/>
          <w:numId w:val="16"/>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Smarter Balanced Summative Assessments in English Language Arts/Literacy and mathematics (Grade 11)</w:t>
      </w:r>
      <w:r w:rsidRPr="00377EEE">
        <w:rPr>
          <w:rStyle w:val="eop"/>
          <w:rFonts w:ascii="Arial" w:eastAsiaTheme="majorEastAsia" w:hAnsi="Arial" w:cs="Arial"/>
          <w:color w:val="000000"/>
        </w:rPr>
        <w:t> </w:t>
      </w:r>
    </w:p>
    <w:p w14:paraId="4AB621FB" w14:textId="77777777" w:rsidR="00531CFE" w:rsidRPr="00377EEE" w:rsidRDefault="00531CFE" w:rsidP="0016596B">
      <w:pPr>
        <w:pStyle w:val="paragraph"/>
        <w:numPr>
          <w:ilvl w:val="0"/>
          <w:numId w:val="17"/>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State and Federal Job Programs</w:t>
      </w:r>
      <w:r w:rsidRPr="00377EEE">
        <w:rPr>
          <w:rStyle w:val="eop"/>
          <w:rFonts w:ascii="Arial" w:eastAsiaTheme="majorEastAsia" w:hAnsi="Arial" w:cs="Arial"/>
          <w:color w:val="000000"/>
        </w:rPr>
        <w:t> </w:t>
      </w:r>
    </w:p>
    <w:p w14:paraId="48426CAE" w14:textId="77777777" w:rsidR="00531CFE" w:rsidRPr="00377EEE" w:rsidRDefault="00531CFE" w:rsidP="0016596B">
      <w:pPr>
        <w:pStyle w:val="paragraph"/>
        <w:numPr>
          <w:ilvl w:val="0"/>
          <w:numId w:val="18"/>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State Seal of Biliteracy</w:t>
      </w:r>
      <w:r w:rsidRPr="00377EEE">
        <w:rPr>
          <w:rStyle w:val="eop"/>
          <w:rFonts w:ascii="Arial" w:eastAsiaTheme="majorEastAsia" w:hAnsi="Arial" w:cs="Arial"/>
          <w:color w:val="000000"/>
        </w:rPr>
        <w:t> </w:t>
      </w:r>
    </w:p>
    <w:p w14:paraId="37502887" w14:textId="77777777" w:rsidR="00531CFE" w:rsidRPr="00377EEE" w:rsidRDefault="00531CFE" w:rsidP="0016596B">
      <w:pPr>
        <w:pStyle w:val="paragraph"/>
        <w:numPr>
          <w:ilvl w:val="0"/>
          <w:numId w:val="19"/>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Transition Classroom and Work-Based Learning Experiences</w:t>
      </w:r>
      <w:r w:rsidRPr="00377EEE">
        <w:rPr>
          <w:rStyle w:val="eop"/>
          <w:rFonts w:ascii="Arial" w:eastAsiaTheme="majorEastAsia" w:hAnsi="Arial" w:cs="Arial"/>
          <w:color w:val="000000"/>
        </w:rPr>
        <w:t> </w:t>
      </w:r>
    </w:p>
    <w:p w14:paraId="1C239B9A" w14:textId="77777777" w:rsidR="006008D8" w:rsidRPr="00552E3E" w:rsidRDefault="006008D8" w:rsidP="0016596B">
      <w:pPr>
        <w:spacing w:after="120" w:line="240" w:lineRule="auto"/>
        <w:rPr>
          <w:rFonts w:ascii="Arial" w:hAnsi="Arial" w:cs="Arial"/>
          <w:sz w:val="24"/>
          <w:szCs w:val="24"/>
        </w:rPr>
      </w:pPr>
    </w:p>
    <w:p w14:paraId="6138D66F" w14:textId="693287E0" w:rsidR="00F6161F" w:rsidRPr="00552E3E" w:rsidRDefault="006008D8" w:rsidP="0016596B">
      <w:pPr>
        <w:spacing w:after="120" w:line="240" w:lineRule="auto"/>
        <w:rPr>
          <w:rFonts w:ascii="Arial" w:hAnsi="Arial" w:cs="Arial"/>
          <w:sz w:val="24"/>
          <w:szCs w:val="24"/>
        </w:rPr>
      </w:pPr>
      <w:r w:rsidRPr="00552E3E">
        <w:rPr>
          <w:rFonts w:ascii="Arial" w:hAnsi="Arial" w:cs="Arial"/>
          <w:sz w:val="24"/>
          <w:szCs w:val="24"/>
        </w:rPr>
        <w:t xml:space="preserve">For the CCI, “Status” is determined using the current CCI rate and “Change” is the difference between the current rate and the prior year’s rate. </w:t>
      </w:r>
    </w:p>
    <w:p w14:paraId="2D40519D" w14:textId="77777777" w:rsidR="00EB57C1" w:rsidRPr="00377EEE" w:rsidRDefault="00EB57C1" w:rsidP="0016596B">
      <w:pPr>
        <w:pStyle w:val="Heading3"/>
        <w:spacing w:line="240" w:lineRule="auto"/>
        <w:rPr>
          <w:rFonts w:ascii="Arial" w:eastAsia="Times New Roman" w:hAnsi="Arial" w:cs="Arial"/>
          <w:color w:val="7030A0"/>
        </w:rPr>
      </w:pPr>
      <w:bookmarkStart w:id="17" w:name="_Toc194671798"/>
      <w:r w:rsidRPr="00377EEE">
        <w:rPr>
          <w:rFonts w:ascii="Arial" w:eastAsia="Times New Roman" w:hAnsi="Arial" w:cs="Arial"/>
          <w:color w:val="7030A0"/>
        </w:rPr>
        <w:t>English Learner Progress Indicator</w:t>
      </w:r>
      <w:bookmarkEnd w:id="17"/>
    </w:p>
    <w:p w14:paraId="1787C7E2" w14:textId="7E444926" w:rsidR="00EB57C1" w:rsidRPr="00552E3E" w:rsidRDefault="00EB57C1" w:rsidP="0016596B">
      <w:pPr>
        <w:widowControl/>
        <w:spacing w:after="120" w:line="240" w:lineRule="auto"/>
        <w:rPr>
          <w:rFonts w:ascii="Arial" w:hAnsi="Arial" w:cs="Arial"/>
          <w:sz w:val="24"/>
          <w:szCs w:val="24"/>
        </w:rPr>
      </w:pPr>
      <w:r w:rsidRPr="00552E3E">
        <w:rPr>
          <w:rFonts w:ascii="Arial" w:hAnsi="Arial" w:cs="Arial"/>
          <w:sz w:val="24"/>
          <w:szCs w:val="24"/>
        </w:rPr>
        <w:t>The English Learner Progress Indicator (ELPI) provides credit to schools when students move up one performance level on the state English language proficiency test from the prior year to the current year.</w:t>
      </w:r>
      <w:r w:rsidR="00A7428D" w:rsidRPr="00377EEE">
        <w:rPr>
          <w:rFonts w:ascii="Arial" w:hAnsi="Arial" w:cs="Arial"/>
        </w:rPr>
        <w:t xml:space="preserve"> </w:t>
      </w:r>
      <w:r w:rsidR="00A7428D" w:rsidRPr="00552E3E">
        <w:rPr>
          <w:rFonts w:ascii="Arial" w:hAnsi="Arial" w:cs="Arial"/>
          <w:sz w:val="24"/>
          <w:szCs w:val="24"/>
        </w:rPr>
        <w:t>The ELPI baseline data for Status is based on progress between 2018 and 2019. The goal for all schools is to reach the “High” Status, as shown in the table below. This means that the goal is for at least 55 percent of students to gain one performance level on the language proficiency assessment annually. Only 25 percent of schools currently meet or exceed this goal, making it ambitious for the state to meet.</w:t>
      </w:r>
    </w:p>
    <w:p w14:paraId="50B0A917" w14:textId="77777777" w:rsidR="008436BF" w:rsidRPr="00552E3E" w:rsidRDefault="008436BF" w:rsidP="0016596B">
      <w:pPr>
        <w:widowControl/>
        <w:spacing w:after="120" w:line="240" w:lineRule="auto"/>
        <w:rPr>
          <w:rFonts w:ascii="Arial" w:hAnsi="Arial" w:cs="Arial"/>
          <w:sz w:val="24"/>
          <w:szCs w:val="24"/>
        </w:rPr>
      </w:pPr>
      <w:r w:rsidRPr="00552E3E">
        <w:rPr>
          <w:rFonts w:ascii="Arial" w:hAnsi="Arial" w:cs="Arial"/>
          <w:sz w:val="24"/>
          <w:szCs w:val="24"/>
        </w:rPr>
        <w:t xml:space="preserve">The SBE has established a seven-year timeline for reaching the goal. The SBE expects to revise the performance levels for state indicators every seven years and has established an annual review process to assess progress on all indicators statewide. Additionally, as approved by the U.S. Department of Education on August 12, 2022, through the 2021–22 Addendum Template for the Consolidated State Plan due to COVID-19, California shifted the timeline to measure long-term goals and measurement of interim progress forward by two years as follows: </w:t>
      </w:r>
    </w:p>
    <w:tbl>
      <w:tblPr>
        <w:tblW w:w="3690" w:type="dxa"/>
        <w:jc w:val="center"/>
        <w:shd w:val="clear" w:color="auto" w:fill="FFFFFF"/>
        <w:tblCellMar>
          <w:top w:w="15" w:type="dxa"/>
          <w:left w:w="15" w:type="dxa"/>
          <w:bottom w:w="15" w:type="dxa"/>
          <w:right w:w="15" w:type="dxa"/>
        </w:tblCellMar>
        <w:tblLook w:val="04A0" w:firstRow="1" w:lastRow="0" w:firstColumn="1" w:lastColumn="0" w:noHBand="0" w:noVBand="1"/>
        <w:tblDescription w:val="Table outlining each number year for the timeline, beginning in 2019 and skipping 2020 and 2021. "/>
      </w:tblPr>
      <w:tblGrid>
        <w:gridCol w:w="1845"/>
        <w:gridCol w:w="1845"/>
      </w:tblGrid>
      <w:tr w:rsidR="00E32B4D" w:rsidRPr="00552E3E" w14:paraId="72AFBAE0" w14:textId="77777777" w:rsidTr="00D06F66">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69B78675" w14:textId="77777777" w:rsidR="00E32B4D" w:rsidRPr="00DE60A9" w:rsidRDefault="00E32B4D" w:rsidP="00E32B4D">
            <w:pPr>
              <w:widowControl/>
              <w:spacing w:after="0" w:line="240" w:lineRule="auto"/>
              <w:jc w:val="center"/>
              <w:rPr>
                <w:rFonts w:ascii="Arial" w:eastAsia="Times New Roman" w:hAnsi="Arial" w:cs="Arial"/>
                <w:b/>
                <w:bCs/>
                <w:color w:val="000000"/>
                <w:sz w:val="24"/>
                <w:szCs w:val="24"/>
              </w:rPr>
            </w:pPr>
            <w:r w:rsidRPr="00DE60A9">
              <w:rPr>
                <w:rFonts w:ascii="Arial" w:eastAsia="Times New Roman" w:hAnsi="Arial" w:cs="Arial"/>
                <w:b/>
                <w:bCs/>
                <w:color w:val="000000"/>
                <w:sz w:val="24"/>
                <w:szCs w:val="24"/>
                <w:bdr w:val="none" w:sz="0" w:space="0" w:color="auto" w:frame="1"/>
              </w:rPr>
              <w:lastRenderedPageBreak/>
              <w:t>Number</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40AE1D88" w14:textId="77777777" w:rsidR="00E32B4D" w:rsidRPr="00DE60A9" w:rsidRDefault="00E32B4D" w:rsidP="00E32B4D">
            <w:pPr>
              <w:widowControl/>
              <w:spacing w:after="0" w:line="240" w:lineRule="auto"/>
              <w:jc w:val="center"/>
              <w:rPr>
                <w:rFonts w:ascii="Arial" w:eastAsia="Times New Roman" w:hAnsi="Arial" w:cs="Arial"/>
                <w:b/>
                <w:bCs/>
                <w:color w:val="000000"/>
                <w:sz w:val="24"/>
                <w:szCs w:val="24"/>
              </w:rPr>
            </w:pPr>
            <w:r w:rsidRPr="00DE60A9">
              <w:rPr>
                <w:rFonts w:ascii="Arial" w:eastAsia="Times New Roman" w:hAnsi="Arial" w:cs="Arial"/>
                <w:b/>
                <w:bCs/>
                <w:color w:val="000000"/>
                <w:sz w:val="24"/>
                <w:szCs w:val="24"/>
                <w:bdr w:val="none" w:sz="0" w:space="0" w:color="auto" w:frame="1"/>
              </w:rPr>
              <w:t>Year</w:t>
            </w:r>
          </w:p>
        </w:tc>
      </w:tr>
      <w:tr w:rsidR="00E32B4D" w:rsidRPr="00552E3E" w14:paraId="7C99FF5A" w14:textId="77777777" w:rsidTr="00D06F66">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5AA126B9" w14:textId="77777777" w:rsidR="00E32B4D" w:rsidRPr="00377EEE" w:rsidRDefault="00E32B4D" w:rsidP="00E32B4D">
            <w:pPr>
              <w:widowControl/>
              <w:spacing w:after="0" w:line="240" w:lineRule="auto"/>
              <w:jc w:val="center"/>
              <w:rPr>
                <w:rFonts w:ascii="Arial" w:eastAsia="Times New Roman" w:hAnsi="Arial" w:cs="Arial"/>
                <w:color w:val="000000"/>
                <w:sz w:val="24"/>
                <w:szCs w:val="24"/>
              </w:rPr>
            </w:pPr>
            <w:r w:rsidRPr="00552E3E">
              <w:rPr>
                <w:rFonts w:ascii="Arial" w:eastAsia="Times New Roman" w:hAnsi="Arial" w:cs="Arial"/>
                <w:color w:val="000000"/>
                <w:sz w:val="24"/>
                <w:szCs w:val="24"/>
                <w:bdr w:val="none" w:sz="0" w:space="0" w:color="auto" w:frame="1"/>
              </w:rPr>
              <w:t>1</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73577114" w14:textId="77777777" w:rsidR="00E32B4D" w:rsidRPr="00377EEE" w:rsidRDefault="00E32B4D" w:rsidP="00E32B4D">
            <w:pPr>
              <w:widowControl/>
              <w:spacing w:after="0" w:line="240" w:lineRule="auto"/>
              <w:jc w:val="center"/>
              <w:rPr>
                <w:rFonts w:ascii="Arial" w:eastAsia="Times New Roman" w:hAnsi="Arial" w:cs="Arial"/>
                <w:color w:val="000000"/>
                <w:sz w:val="24"/>
                <w:szCs w:val="24"/>
              </w:rPr>
            </w:pPr>
            <w:r w:rsidRPr="00552E3E">
              <w:rPr>
                <w:rFonts w:ascii="Arial" w:eastAsia="Times New Roman" w:hAnsi="Arial" w:cs="Arial"/>
                <w:color w:val="000000"/>
                <w:sz w:val="24"/>
                <w:szCs w:val="24"/>
                <w:bdr w:val="none" w:sz="0" w:space="0" w:color="auto" w:frame="1"/>
              </w:rPr>
              <w:t>2019</w:t>
            </w:r>
          </w:p>
        </w:tc>
      </w:tr>
      <w:tr w:rsidR="00E32B4D" w:rsidRPr="00552E3E" w14:paraId="44AD4655" w14:textId="77777777" w:rsidTr="00D06F66">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3AE61FE6"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2</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29628C4E"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2022</w:t>
            </w:r>
          </w:p>
        </w:tc>
      </w:tr>
      <w:tr w:rsidR="00E32B4D" w:rsidRPr="00552E3E" w14:paraId="7EC93C4D" w14:textId="77777777" w:rsidTr="00D06F66">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466FF4FC"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3</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501633AC"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2023</w:t>
            </w:r>
          </w:p>
        </w:tc>
      </w:tr>
      <w:tr w:rsidR="00E32B4D" w:rsidRPr="00552E3E" w14:paraId="5FBA50BC" w14:textId="77777777" w:rsidTr="00D06F66">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091B489E"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4</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76BD8593"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2024</w:t>
            </w:r>
          </w:p>
        </w:tc>
      </w:tr>
      <w:tr w:rsidR="00E32B4D" w:rsidRPr="00552E3E" w14:paraId="180AFD1F" w14:textId="77777777" w:rsidTr="00D06F66">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09B831B7"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5</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7A57DECB"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2025</w:t>
            </w:r>
          </w:p>
        </w:tc>
      </w:tr>
      <w:tr w:rsidR="00E32B4D" w:rsidRPr="00552E3E" w14:paraId="7D1ABEDD" w14:textId="77777777" w:rsidTr="00D06F66">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789D4CF9"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6</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459EEDEF"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2026</w:t>
            </w:r>
          </w:p>
        </w:tc>
      </w:tr>
      <w:tr w:rsidR="00E32B4D" w:rsidRPr="00552E3E" w14:paraId="1A9F90B0" w14:textId="77777777" w:rsidTr="00D06F66">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06192AB6"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7</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0E883680"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2027</w:t>
            </w:r>
          </w:p>
        </w:tc>
      </w:tr>
    </w:tbl>
    <w:p w14:paraId="69535197" w14:textId="77777777" w:rsidR="002B25CC" w:rsidRPr="00377EEE" w:rsidRDefault="002B25CC" w:rsidP="0061223B">
      <w:pPr>
        <w:pStyle w:val="NoSpacing"/>
        <w:rPr>
          <w:rFonts w:ascii="Arial" w:hAnsi="Arial" w:cs="Arial"/>
          <w:sz w:val="28"/>
          <w:szCs w:val="28"/>
        </w:rPr>
      </w:pPr>
    </w:p>
    <w:p w14:paraId="194ADA3D" w14:textId="3B410422" w:rsidR="0074385C" w:rsidRPr="00377EEE" w:rsidRDefault="00597D21" w:rsidP="0016596B">
      <w:pPr>
        <w:pStyle w:val="Heading2"/>
        <w:spacing w:line="240" w:lineRule="auto"/>
        <w:rPr>
          <w:rFonts w:ascii="Arial" w:eastAsia="Calibri" w:hAnsi="Arial" w:cs="Arial"/>
          <w:color w:val="7030A0"/>
        </w:rPr>
      </w:pPr>
      <w:bookmarkStart w:id="18" w:name="_Toc194671799"/>
      <w:r w:rsidRPr="00377EEE">
        <w:rPr>
          <w:rFonts w:ascii="Arial" w:eastAsia="Calibri" w:hAnsi="Arial" w:cs="Arial"/>
          <w:color w:val="7030A0"/>
        </w:rPr>
        <w:t>Comprehensive Support and Improvement</w:t>
      </w:r>
      <w:r w:rsidR="00AF4476">
        <w:rPr>
          <w:rFonts w:ascii="Arial" w:eastAsia="Calibri" w:hAnsi="Arial" w:cs="Arial"/>
          <w:color w:val="7030A0"/>
        </w:rPr>
        <w:t xml:space="preserve"> (CSI)</w:t>
      </w:r>
      <w:bookmarkEnd w:id="18"/>
    </w:p>
    <w:p w14:paraId="450627A4" w14:textId="4228915A" w:rsidR="0074385C" w:rsidRPr="00377EEE" w:rsidRDefault="00597D21" w:rsidP="0016596B">
      <w:pPr>
        <w:pStyle w:val="Heading3"/>
        <w:spacing w:line="240" w:lineRule="auto"/>
        <w:rPr>
          <w:rFonts w:ascii="Arial" w:eastAsia="Times New Roman" w:hAnsi="Arial" w:cs="Arial"/>
          <w:color w:val="7030A0"/>
        </w:rPr>
      </w:pPr>
      <w:bookmarkStart w:id="19" w:name="_Toc194671800"/>
      <w:r w:rsidRPr="00377EEE">
        <w:rPr>
          <w:rFonts w:ascii="Arial" w:eastAsia="Times New Roman" w:hAnsi="Arial" w:cs="Arial"/>
          <w:color w:val="7030A0"/>
        </w:rPr>
        <w:t>Identification</w:t>
      </w:r>
      <w:r w:rsidR="0074385C" w:rsidRPr="00377EEE">
        <w:rPr>
          <w:rFonts w:ascii="Arial" w:eastAsia="Times New Roman" w:hAnsi="Arial" w:cs="Arial"/>
          <w:color w:val="7030A0"/>
        </w:rPr>
        <w:t xml:space="preserve"> – Low Performing</w:t>
      </w:r>
      <w:bookmarkEnd w:id="19"/>
    </w:p>
    <w:p w14:paraId="4D1942EA" w14:textId="4E198B69" w:rsidR="0074385C" w:rsidRPr="00552E3E" w:rsidRDefault="0074385C" w:rsidP="00767FAE">
      <w:pPr>
        <w:widowControl/>
        <w:spacing w:after="120" w:line="240" w:lineRule="auto"/>
        <w:rPr>
          <w:rFonts w:ascii="Arial" w:eastAsia="Times New Roman" w:hAnsi="Arial" w:cs="Arial"/>
          <w:bCs/>
          <w:sz w:val="24"/>
          <w:szCs w:val="24"/>
        </w:rPr>
      </w:pPr>
      <w:r w:rsidRPr="00552E3E">
        <w:rPr>
          <w:rFonts w:ascii="Arial" w:eastAsia="Times New Roman" w:hAnsi="Arial" w:cs="Arial"/>
          <w:bCs/>
          <w:sz w:val="24"/>
          <w:szCs w:val="24"/>
        </w:rPr>
        <w:t>Consistent with the system of meaningful differentiation described above, California will use the color combinations that schools receive on California School Dashboard indicators to identify the lowest performing 5 percent of Title I schools statewide for comprehensive support.</w:t>
      </w:r>
    </w:p>
    <w:p w14:paraId="5D28E6B8" w14:textId="6F5D9C7C" w:rsidR="0074385C" w:rsidRPr="00552E3E" w:rsidRDefault="0074385C" w:rsidP="00767FAE">
      <w:pPr>
        <w:widowControl/>
        <w:spacing w:after="120" w:line="240" w:lineRule="auto"/>
        <w:rPr>
          <w:rFonts w:ascii="Arial" w:eastAsia="Times New Roman" w:hAnsi="Arial" w:cs="Arial"/>
          <w:i/>
          <w:iCs/>
          <w:sz w:val="24"/>
          <w:szCs w:val="24"/>
        </w:rPr>
      </w:pPr>
      <w:r w:rsidRPr="00552E3E">
        <w:rPr>
          <w:rFonts w:ascii="Arial" w:eastAsia="Times New Roman" w:hAnsi="Arial" w:cs="Arial"/>
          <w:sz w:val="24"/>
          <w:szCs w:val="24"/>
        </w:rPr>
        <w:t xml:space="preserve">The selection criteria of at least the lowest performing of 5 percent of Title I schools is based </w:t>
      </w:r>
      <w:r w:rsidR="1353F12D" w:rsidRPr="00552E3E">
        <w:rPr>
          <w:rFonts w:ascii="Arial" w:eastAsia="Times New Roman" w:hAnsi="Arial" w:cs="Arial"/>
          <w:sz w:val="24"/>
          <w:szCs w:val="24"/>
        </w:rPr>
        <w:t xml:space="preserve">a tiered process based </w:t>
      </w:r>
      <w:r w:rsidRPr="00552E3E">
        <w:rPr>
          <w:rFonts w:ascii="Arial" w:eastAsia="Times New Roman" w:hAnsi="Arial" w:cs="Arial"/>
          <w:sz w:val="24"/>
          <w:szCs w:val="24"/>
        </w:rPr>
        <w:t>on the following criteria:</w:t>
      </w:r>
    </w:p>
    <w:p w14:paraId="05280746" w14:textId="77777777" w:rsidR="0074385C" w:rsidRPr="00552E3E" w:rsidRDefault="0074385C" w:rsidP="0016596B">
      <w:pPr>
        <w:widowControl/>
        <w:numPr>
          <w:ilvl w:val="0"/>
          <w:numId w:val="8"/>
        </w:numPr>
        <w:tabs>
          <w:tab w:val="clear" w:pos="720"/>
          <w:tab w:val="num" w:pos="-360"/>
        </w:tabs>
        <w:spacing w:after="120" w:line="240" w:lineRule="auto"/>
        <w:ind w:left="0" w:firstLine="360"/>
        <w:rPr>
          <w:rFonts w:ascii="Arial" w:eastAsia="Times New Roman" w:hAnsi="Arial" w:cs="Arial"/>
          <w:sz w:val="24"/>
          <w:szCs w:val="24"/>
        </w:rPr>
      </w:pPr>
      <w:r w:rsidRPr="00552E3E">
        <w:rPr>
          <w:rFonts w:ascii="Arial" w:eastAsia="Times New Roman" w:hAnsi="Arial" w:cs="Arial"/>
          <w:iCs/>
          <w:sz w:val="24"/>
          <w:szCs w:val="24"/>
        </w:rPr>
        <w:t xml:space="preserve">Schools with all red </w:t>
      </w:r>
      <w:proofErr w:type="gramStart"/>
      <w:r w:rsidRPr="00552E3E">
        <w:rPr>
          <w:rFonts w:ascii="Arial" w:eastAsia="Times New Roman" w:hAnsi="Arial" w:cs="Arial"/>
          <w:iCs/>
          <w:sz w:val="24"/>
          <w:szCs w:val="24"/>
        </w:rPr>
        <w:t>indicators;</w:t>
      </w:r>
      <w:proofErr w:type="gramEnd"/>
    </w:p>
    <w:p w14:paraId="6BABC784" w14:textId="77777777" w:rsidR="0074385C" w:rsidRPr="00552E3E" w:rsidRDefault="0074385C" w:rsidP="0016596B">
      <w:pPr>
        <w:widowControl/>
        <w:numPr>
          <w:ilvl w:val="0"/>
          <w:numId w:val="8"/>
        </w:numPr>
        <w:tabs>
          <w:tab w:val="clear" w:pos="720"/>
          <w:tab w:val="num" w:pos="-360"/>
        </w:tabs>
        <w:spacing w:after="120" w:line="240" w:lineRule="auto"/>
        <w:ind w:left="0" w:firstLine="360"/>
        <w:rPr>
          <w:rFonts w:ascii="Arial" w:eastAsia="Times New Roman" w:hAnsi="Arial" w:cs="Arial"/>
          <w:sz w:val="24"/>
          <w:szCs w:val="24"/>
        </w:rPr>
      </w:pPr>
      <w:r w:rsidRPr="00552E3E">
        <w:rPr>
          <w:rFonts w:ascii="Arial" w:eastAsia="Times New Roman" w:hAnsi="Arial" w:cs="Arial"/>
          <w:iCs/>
          <w:sz w:val="24"/>
          <w:szCs w:val="24"/>
        </w:rPr>
        <w:t xml:space="preserve">Schools with all red but one indicator of any other </w:t>
      </w:r>
      <w:proofErr w:type="gramStart"/>
      <w:r w:rsidRPr="00552E3E">
        <w:rPr>
          <w:rFonts w:ascii="Arial" w:eastAsia="Times New Roman" w:hAnsi="Arial" w:cs="Arial"/>
          <w:iCs/>
          <w:sz w:val="24"/>
          <w:szCs w:val="24"/>
        </w:rPr>
        <w:t>color;</w:t>
      </w:r>
      <w:proofErr w:type="gramEnd"/>
    </w:p>
    <w:p w14:paraId="381210E9" w14:textId="77777777" w:rsidR="0074385C" w:rsidRPr="00552E3E" w:rsidRDefault="0074385C" w:rsidP="0016596B">
      <w:pPr>
        <w:widowControl/>
        <w:numPr>
          <w:ilvl w:val="0"/>
          <w:numId w:val="8"/>
        </w:numPr>
        <w:tabs>
          <w:tab w:val="clear" w:pos="720"/>
          <w:tab w:val="num" w:pos="-360"/>
        </w:tabs>
        <w:spacing w:after="120" w:line="240" w:lineRule="auto"/>
        <w:ind w:left="0" w:firstLine="360"/>
        <w:rPr>
          <w:rFonts w:ascii="Arial" w:eastAsia="Times New Roman" w:hAnsi="Arial" w:cs="Arial"/>
          <w:sz w:val="24"/>
          <w:szCs w:val="24"/>
        </w:rPr>
      </w:pPr>
      <w:r w:rsidRPr="00552E3E">
        <w:rPr>
          <w:rFonts w:ascii="Arial" w:eastAsia="Times New Roman" w:hAnsi="Arial" w:cs="Arial"/>
          <w:iCs/>
          <w:sz w:val="24"/>
          <w:szCs w:val="24"/>
        </w:rPr>
        <w:t>Schools with all red and orange indicators; and</w:t>
      </w:r>
    </w:p>
    <w:p w14:paraId="281F7B29" w14:textId="77777777" w:rsidR="0074385C" w:rsidRPr="00552E3E" w:rsidRDefault="0074385C" w:rsidP="0016596B">
      <w:pPr>
        <w:widowControl/>
        <w:numPr>
          <w:ilvl w:val="0"/>
          <w:numId w:val="8"/>
        </w:numPr>
        <w:tabs>
          <w:tab w:val="clear" w:pos="720"/>
          <w:tab w:val="num" w:pos="-360"/>
        </w:tabs>
        <w:spacing w:after="120" w:line="240" w:lineRule="auto"/>
        <w:ind w:left="0" w:firstLine="360"/>
        <w:rPr>
          <w:rFonts w:ascii="Arial" w:eastAsia="Times New Roman" w:hAnsi="Arial" w:cs="Arial"/>
          <w:sz w:val="24"/>
          <w:szCs w:val="24"/>
        </w:rPr>
      </w:pPr>
      <w:r w:rsidRPr="00552E3E">
        <w:rPr>
          <w:rFonts w:ascii="Arial" w:eastAsia="Times New Roman" w:hAnsi="Arial" w:cs="Arial"/>
          <w:sz w:val="24"/>
          <w:szCs w:val="24"/>
        </w:rPr>
        <w:t>Schools with five or more indicators where the majority are red.</w:t>
      </w:r>
    </w:p>
    <w:p w14:paraId="5AC4966E" w14:textId="3836D331" w:rsidR="0074385C" w:rsidRPr="00552E3E" w:rsidRDefault="37C33052" w:rsidP="00767FAE">
      <w:pPr>
        <w:widowControl/>
        <w:spacing w:after="120" w:line="240" w:lineRule="auto"/>
        <w:rPr>
          <w:rFonts w:ascii="Arial" w:eastAsia="Times New Roman" w:hAnsi="Arial" w:cs="Arial"/>
          <w:sz w:val="24"/>
          <w:szCs w:val="24"/>
        </w:rPr>
      </w:pPr>
      <w:r w:rsidRPr="00552E3E">
        <w:rPr>
          <w:rFonts w:ascii="Arial" w:eastAsia="Times New Roman" w:hAnsi="Arial" w:cs="Arial"/>
          <w:sz w:val="24"/>
          <w:szCs w:val="24"/>
        </w:rPr>
        <w:t>Title I schools will be evaluated on each of the subsequent criteria, and upon reaching or exceeding five percent, wi</w:t>
      </w:r>
      <w:r w:rsidR="7B061DB7" w:rsidRPr="00552E3E">
        <w:rPr>
          <w:rFonts w:ascii="Arial" w:eastAsia="Times New Roman" w:hAnsi="Arial" w:cs="Arial"/>
          <w:sz w:val="24"/>
          <w:szCs w:val="24"/>
        </w:rPr>
        <w:t>ll complete the process.</w:t>
      </w:r>
      <w:r w:rsidRPr="00552E3E">
        <w:rPr>
          <w:rFonts w:ascii="Arial" w:eastAsia="Times New Roman" w:hAnsi="Arial" w:cs="Arial"/>
          <w:sz w:val="24"/>
          <w:szCs w:val="24"/>
        </w:rPr>
        <w:t xml:space="preserve"> </w:t>
      </w:r>
      <w:r w:rsidR="0074385C" w:rsidRPr="00552E3E">
        <w:rPr>
          <w:rFonts w:ascii="Arial" w:eastAsia="Times New Roman" w:hAnsi="Arial" w:cs="Arial"/>
          <w:sz w:val="24"/>
          <w:szCs w:val="24"/>
        </w:rPr>
        <w:t xml:space="preserve"> Under this approach, performance on a single indicator is not determinative of selection among the lowest performing 5 percent of Title I schools.</w:t>
      </w:r>
    </w:p>
    <w:p w14:paraId="563722C3" w14:textId="77777777" w:rsidR="00597D21" w:rsidRPr="00377EEE" w:rsidRDefault="00597D21" w:rsidP="0016596B">
      <w:pPr>
        <w:pStyle w:val="Heading3"/>
        <w:spacing w:line="240" w:lineRule="auto"/>
        <w:rPr>
          <w:rFonts w:ascii="Arial" w:eastAsia="Times New Roman" w:hAnsi="Arial" w:cs="Arial"/>
          <w:color w:val="7030A0"/>
        </w:rPr>
      </w:pPr>
      <w:bookmarkStart w:id="20" w:name="_Toc194671801"/>
      <w:r w:rsidRPr="00377EEE">
        <w:rPr>
          <w:rFonts w:ascii="Arial" w:eastAsia="Times New Roman" w:hAnsi="Arial" w:cs="Arial"/>
          <w:color w:val="7030A0"/>
        </w:rPr>
        <w:t>Identification</w:t>
      </w:r>
      <w:r w:rsidR="00B92684" w:rsidRPr="00377EEE">
        <w:rPr>
          <w:rFonts w:ascii="Arial" w:eastAsia="Times New Roman" w:hAnsi="Arial" w:cs="Arial"/>
          <w:color w:val="7030A0"/>
        </w:rPr>
        <w:t xml:space="preserve"> – Low Graduation</w:t>
      </w:r>
      <w:bookmarkEnd w:id="20"/>
    </w:p>
    <w:p w14:paraId="1B680601" w14:textId="3353B282" w:rsidR="0074385C" w:rsidRPr="00552E3E" w:rsidRDefault="00B92684" w:rsidP="0016596B">
      <w:pPr>
        <w:widowControl/>
        <w:spacing w:after="120" w:line="240" w:lineRule="auto"/>
        <w:ind w:right="360"/>
        <w:rPr>
          <w:rFonts w:ascii="Arial" w:eastAsia="Times New Roman" w:hAnsi="Arial" w:cs="Arial"/>
          <w:sz w:val="24"/>
          <w:szCs w:val="24"/>
        </w:rPr>
      </w:pPr>
      <w:r w:rsidRPr="00552E3E">
        <w:rPr>
          <w:rFonts w:ascii="Arial" w:eastAsia="Times New Roman" w:hAnsi="Arial" w:cs="Arial"/>
          <w:sz w:val="24"/>
          <w:szCs w:val="24"/>
        </w:rPr>
        <w:t xml:space="preserve">Beginning with the 2019 Dashboard, California </w:t>
      </w:r>
      <w:r w:rsidR="00DC3A59">
        <w:rPr>
          <w:rFonts w:ascii="Arial" w:eastAsia="Times New Roman" w:hAnsi="Arial" w:cs="Arial"/>
          <w:sz w:val="24"/>
          <w:szCs w:val="24"/>
        </w:rPr>
        <w:t xml:space="preserve">implemented the </w:t>
      </w:r>
      <w:r w:rsidRPr="00552E3E">
        <w:rPr>
          <w:rFonts w:ascii="Arial" w:eastAsia="Times New Roman" w:hAnsi="Arial" w:cs="Arial"/>
          <w:sz w:val="24"/>
          <w:szCs w:val="24"/>
        </w:rPr>
        <w:t xml:space="preserve">use </w:t>
      </w:r>
      <w:r w:rsidR="00DC3A59">
        <w:rPr>
          <w:rFonts w:ascii="Arial" w:eastAsia="Times New Roman" w:hAnsi="Arial" w:cs="Arial"/>
          <w:sz w:val="24"/>
          <w:szCs w:val="24"/>
        </w:rPr>
        <w:t>of</w:t>
      </w:r>
      <w:r w:rsidRPr="00552E3E">
        <w:rPr>
          <w:rFonts w:ascii="Arial" w:eastAsia="Times New Roman" w:hAnsi="Arial" w:cs="Arial"/>
          <w:sz w:val="24"/>
          <w:szCs w:val="24"/>
        </w:rPr>
        <w:t xml:space="preserve"> the average of three years of graduation rate data to identify schools with a high school graduation rate less than 68 percent. Any school with a graduation rate less than 68 percent averaged over three years </w:t>
      </w:r>
      <w:r w:rsidR="006C2B48">
        <w:rPr>
          <w:rFonts w:ascii="Arial" w:eastAsia="Times New Roman" w:hAnsi="Arial" w:cs="Arial"/>
          <w:sz w:val="24"/>
          <w:szCs w:val="24"/>
        </w:rPr>
        <w:t>are</w:t>
      </w:r>
      <w:r w:rsidRPr="00552E3E">
        <w:rPr>
          <w:rFonts w:ascii="Arial" w:eastAsia="Times New Roman" w:hAnsi="Arial" w:cs="Arial"/>
          <w:sz w:val="24"/>
          <w:szCs w:val="24"/>
        </w:rPr>
        <w:t xml:space="preserve"> </w:t>
      </w:r>
      <w:r w:rsidR="006C2B48">
        <w:rPr>
          <w:rFonts w:ascii="Arial" w:eastAsia="Times New Roman" w:hAnsi="Arial" w:cs="Arial"/>
          <w:sz w:val="24"/>
          <w:szCs w:val="24"/>
        </w:rPr>
        <w:t>eligible to be</w:t>
      </w:r>
      <w:r w:rsidRPr="00552E3E">
        <w:rPr>
          <w:rFonts w:ascii="Arial" w:eastAsia="Times New Roman" w:hAnsi="Arial" w:cs="Arial"/>
          <w:sz w:val="24"/>
          <w:szCs w:val="24"/>
        </w:rPr>
        <w:t xml:space="preserve"> identified for comprehensive assistance. Three years of data </w:t>
      </w:r>
      <w:r w:rsidR="00CA3D94">
        <w:rPr>
          <w:rFonts w:ascii="Arial" w:eastAsia="Times New Roman" w:hAnsi="Arial" w:cs="Arial"/>
          <w:sz w:val="24"/>
          <w:szCs w:val="24"/>
        </w:rPr>
        <w:t>is</w:t>
      </w:r>
      <w:r w:rsidRPr="00552E3E">
        <w:rPr>
          <w:rFonts w:ascii="Arial" w:eastAsia="Times New Roman" w:hAnsi="Arial" w:cs="Arial"/>
          <w:sz w:val="24"/>
          <w:szCs w:val="24"/>
        </w:rPr>
        <w:t xml:space="preserve"> used to identify schools; therefore, newly opened schools </w:t>
      </w:r>
      <w:r w:rsidR="006C2B48">
        <w:rPr>
          <w:rFonts w:ascii="Arial" w:eastAsia="Times New Roman" w:hAnsi="Arial" w:cs="Arial"/>
          <w:sz w:val="24"/>
          <w:szCs w:val="24"/>
        </w:rPr>
        <w:t>are</w:t>
      </w:r>
      <w:r w:rsidR="006C2B48" w:rsidRPr="00552E3E">
        <w:rPr>
          <w:rFonts w:ascii="Arial" w:eastAsia="Times New Roman" w:hAnsi="Arial" w:cs="Arial"/>
          <w:sz w:val="24"/>
          <w:szCs w:val="24"/>
        </w:rPr>
        <w:t xml:space="preserve"> </w:t>
      </w:r>
      <w:r w:rsidRPr="00552E3E">
        <w:rPr>
          <w:rFonts w:ascii="Arial" w:eastAsia="Times New Roman" w:hAnsi="Arial" w:cs="Arial"/>
          <w:sz w:val="24"/>
          <w:szCs w:val="24"/>
        </w:rPr>
        <w:t xml:space="preserve">not identified for comprehensive support and improvement until the third year of data is available. However, all schools and student groups with a graduation rate below 68 percent </w:t>
      </w:r>
      <w:r w:rsidR="00CA3D94">
        <w:rPr>
          <w:rFonts w:ascii="Arial" w:eastAsia="Times New Roman" w:hAnsi="Arial" w:cs="Arial"/>
          <w:sz w:val="24"/>
          <w:szCs w:val="24"/>
        </w:rPr>
        <w:t>are</w:t>
      </w:r>
      <w:r w:rsidRPr="00552E3E">
        <w:rPr>
          <w:rFonts w:ascii="Arial" w:eastAsia="Times New Roman" w:hAnsi="Arial" w:cs="Arial"/>
          <w:sz w:val="24"/>
          <w:szCs w:val="24"/>
        </w:rPr>
        <w:t xml:space="preserve"> given the lowest performance level, Red, on the Dashboard. This performance level </w:t>
      </w:r>
      <w:r w:rsidR="00CA3D94">
        <w:rPr>
          <w:rFonts w:ascii="Arial" w:eastAsia="Times New Roman" w:hAnsi="Arial" w:cs="Arial"/>
          <w:sz w:val="24"/>
          <w:szCs w:val="24"/>
        </w:rPr>
        <w:t>is</w:t>
      </w:r>
      <w:r w:rsidRPr="00552E3E">
        <w:rPr>
          <w:rFonts w:ascii="Arial" w:eastAsia="Times New Roman" w:hAnsi="Arial" w:cs="Arial"/>
          <w:sz w:val="24"/>
          <w:szCs w:val="24"/>
        </w:rPr>
        <w:t xml:space="preserve"> used as part of the criteria when determining schools under consideration of comprehensive support in addition to the lowest 5 percent.</w:t>
      </w:r>
    </w:p>
    <w:p w14:paraId="565539E9" w14:textId="5EDE8966" w:rsidR="00B92684" w:rsidRPr="00377EEE" w:rsidRDefault="00597D21" w:rsidP="0016596B">
      <w:pPr>
        <w:pStyle w:val="Heading3"/>
        <w:spacing w:line="240" w:lineRule="auto"/>
        <w:rPr>
          <w:rFonts w:ascii="Arial" w:eastAsia="Times New Roman" w:hAnsi="Arial" w:cs="Arial"/>
          <w:color w:val="7030A0"/>
        </w:rPr>
      </w:pPr>
      <w:bookmarkStart w:id="21" w:name="_Toc194671802"/>
      <w:r w:rsidRPr="00377EEE">
        <w:rPr>
          <w:rFonts w:ascii="Arial" w:eastAsia="Times New Roman" w:hAnsi="Arial" w:cs="Arial"/>
          <w:color w:val="7030A0"/>
        </w:rPr>
        <w:lastRenderedPageBreak/>
        <w:t xml:space="preserve">Exit Criteria – </w:t>
      </w:r>
      <w:r w:rsidR="00AF4476">
        <w:rPr>
          <w:rFonts w:ascii="Arial" w:eastAsia="Times New Roman" w:hAnsi="Arial" w:cs="Arial"/>
          <w:color w:val="7030A0"/>
        </w:rPr>
        <w:t>CSI</w:t>
      </w:r>
      <w:bookmarkEnd w:id="21"/>
    </w:p>
    <w:p w14:paraId="644C5A43" w14:textId="77777777" w:rsidR="00597D21" w:rsidRPr="00552E3E" w:rsidRDefault="00597D21" w:rsidP="0016596B">
      <w:pPr>
        <w:spacing w:after="120" w:line="240" w:lineRule="auto"/>
        <w:rPr>
          <w:rFonts w:ascii="Arial" w:eastAsia="Times New Roman" w:hAnsi="Arial" w:cs="Arial"/>
          <w:sz w:val="24"/>
          <w:szCs w:val="24"/>
        </w:rPr>
      </w:pPr>
      <w:r w:rsidRPr="00552E3E">
        <w:rPr>
          <w:rFonts w:ascii="Arial" w:eastAsia="Times New Roman" w:hAnsi="Arial" w:cs="Arial"/>
          <w:sz w:val="24"/>
          <w:szCs w:val="24"/>
        </w:rPr>
        <w:t>The statewide exit criteria are whether the school has improved performance so that it no longer meets the criteria that were used to identify schools for comprehensive support at the time the school was initially identified, with an additional check to ensure that the Status for the indicators with improved performance has increased. Consequently, a school will have to improve its performance across indicators (including an increase in Status in the relevant indicator(s)) so that it no longer has any combination of color-coded performance levels that meet the criteria used for identification at the time the school was identified. If the school’s color-coded performance levels for the current year match the color combinations used to identify schools for comprehensive support when the school was initially identified, it has not met the exit criteria.</w:t>
      </w:r>
    </w:p>
    <w:p w14:paraId="602FAC81" w14:textId="77777777" w:rsidR="00597D21" w:rsidRPr="00552E3E" w:rsidRDefault="00597D21" w:rsidP="0016596B">
      <w:pPr>
        <w:spacing w:after="120" w:line="240" w:lineRule="auto"/>
        <w:rPr>
          <w:rFonts w:ascii="Arial" w:eastAsia="Times New Roman" w:hAnsi="Arial" w:cs="Arial"/>
          <w:sz w:val="24"/>
          <w:szCs w:val="24"/>
        </w:rPr>
      </w:pPr>
      <w:r w:rsidRPr="00552E3E">
        <w:rPr>
          <w:rFonts w:ascii="Arial" w:eastAsia="Times New Roman" w:hAnsi="Arial" w:cs="Arial"/>
          <w:sz w:val="24"/>
          <w:szCs w:val="24"/>
        </w:rPr>
        <w:t>Schools are expected to meet these exit criteria within four years from initial identification.</w:t>
      </w:r>
    </w:p>
    <w:p w14:paraId="7C9159D3" w14:textId="15045835" w:rsidR="00F24F33" w:rsidRDefault="00597D21" w:rsidP="0016596B">
      <w:pPr>
        <w:spacing w:after="120" w:line="240" w:lineRule="auto"/>
        <w:rPr>
          <w:rFonts w:ascii="Arial" w:eastAsia="Times New Roman" w:hAnsi="Arial" w:cs="Arial"/>
          <w:color w:val="7030A0"/>
        </w:rPr>
      </w:pPr>
      <w:r w:rsidRPr="00552E3E">
        <w:rPr>
          <w:rFonts w:ascii="Arial" w:eastAsia="Times New Roman" w:hAnsi="Arial" w:cs="Arial"/>
          <w:sz w:val="24"/>
          <w:szCs w:val="24"/>
        </w:rPr>
        <w:t xml:space="preserve">Additionally, in response to the flexibilities provided by the 2021–22 Addendum by ED, the SBE approved revising the timeline and not count the 2019–20 or 2020–21 school years toward the number of years in which a school must meet the exit criteria. The SBE also modified the exit criteria for schools identified for CSI and </w:t>
      </w:r>
      <w:r w:rsidR="00EB4946" w:rsidRPr="00552E3E">
        <w:rPr>
          <w:rFonts w:ascii="Arial" w:eastAsia="Times New Roman" w:hAnsi="Arial" w:cs="Arial"/>
          <w:sz w:val="24"/>
          <w:szCs w:val="24"/>
        </w:rPr>
        <w:t>additional targeted support and improvement (</w:t>
      </w:r>
      <w:r w:rsidRPr="00552E3E">
        <w:rPr>
          <w:rFonts w:ascii="Arial" w:eastAsia="Times New Roman" w:hAnsi="Arial" w:cs="Arial"/>
          <w:sz w:val="24"/>
          <w:szCs w:val="24"/>
        </w:rPr>
        <w:t>ATSI</w:t>
      </w:r>
      <w:r w:rsidR="00EB4946" w:rsidRPr="00552E3E">
        <w:rPr>
          <w:rFonts w:ascii="Arial" w:eastAsia="Times New Roman" w:hAnsi="Arial" w:cs="Arial"/>
          <w:sz w:val="24"/>
          <w:szCs w:val="24"/>
        </w:rPr>
        <w:t>)</w:t>
      </w:r>
      <w:r w:rsidRPr="00552E3E">
        <w:rPr>
          <w:rFonts w:ascii="Arial" w:eastAsia="Times New Roman" w:hAnsi="Arial" w:cs="Arial"/>
          <w:sz w:val="24"/>
          <w:szCs w:val="24"/>
        </w:rPr>
        <w:t xml:space="preserve"> that will be eligible to exit status in fall 2022 to use the status performance level rather than the performance color that is based on both status and change. The school or student subgroup in the school must (1) no longer meet the criteria for identification and (2) have improved performance on the indicators (including an increase in the status portion of each indicator) compared to when the school was initially identified.</w:t>
      </w:r>
    </w:p>
    <w:p w14:paraId="337491E6" w14:textId="027E4779" w:rsidR="00A63F05" w:rsidRPr="00377EEE" w:rsidRDefault="005962BE" w:rsidP="0016596B">
      <w:pPr>
        <w:pStyle w:val="Heading2"/>
        <w:spacing w:line="240" w:lineRule="auto"/>
        <w:rPr>
          <w:rFonts w:ascii="Arial" w:eastAsia="Calibri" w:hAnsi="Arial" w:cs="Arial"/>
          <w:color w:val="7030A0"/>
        </w:rPr>
      </w:pPr>
      <w:bookmarkStart w:id="22" w:name="_Toc194671803"/>
      <w:r w:rsidRPr="00377EEE">
        <w:rPr>
          <w:rFonts w:ascii="Arial" w:eastAsia="Calibri" w:hAnsi="Arial" w:cs="Arial"/>
          <w:color w:val="7030A0"/>
        </w:rPr>
        <w:t>Additional Targeted Support and Improvement (ATSI)</w:t>
      </w:r>
      <w:bookmarkEnd w:id="22"/>
    </w:p>
    <w:p w14:paraId="23AE2916" w14:textId="5CD9AD13" w:rsidR="005962BE" w:rsidRDefault="005962BE" w:rsidP="0016596B">
      <w:pPr>
        <w:widowControl/>
        <w:spacing w:after="120" w:line="240" w:lineRule="auto"/>
        <w:rPr>
          <w:rFonts w:ascii="Arial" w:eastAsia="Times New Roman" w:hAnsi="Arial" w:cs="Arial"/>
          <w:color w:val="7030A0"/>
        </w:rPr>
      </w:pPr>
      <w:r w:rsidRPr="002C1A5A">
        <w:rPr>
          <w:rFonts w:ascii="Arial" w:hAnsi="Arial" w:cs="Arial"/>
          <w:sz w:val="24"/>
          <w:szCs w:val="24"/>
        </w:rPr>
        <w:t>To be eligible for ATSI, a school must not be eligible for CSI–Low Graduation or CSI–Low Performing.</w:t>
      </w:r>
      <w:r>
        <w:rPr>
          <w:rFonts w:ascii="Arial" w:hAnsi="Arial" w:cs="Arial"/>
          <w:sz w:val="24"/>
          <w:szCs w:val="24"/>
        </w:rPr>
        <w:t xml:space="preserve"> Additionally,</w:t>
      </w:r>
      <w:r w:rsidRPr="002C1A5A">
        <w:rPr>
          <w:rFonts w:ascii="Arial" w:hAnsi="Arial" w:cs="Arial"/>
          <w:sz w:val="24"/>
          <w:szCs w:val="24"/>
        </w:rPr>
        <w:t xml:space="preserve"> the school has one or more student groups that, for two consecutive years based on the Dashboard, meet the same criteria used to determine CSI–Low Performing.</w:t>
      </w:r>
      <w:r w:rsidRPr="00C7683A">
        <w:rPr>
          <w:color w:val="000000"/>
          <w:sz w:val="27"/>
          <w:szCs w:val="27"/>
        </w:rPr>
        <w:t xml:space="preserve"> </w:t>
      </w:r>
      <w:proofErr w:type="gramStart"/>
      <w:r w:rsidRPr="00C7683A">
        <w:rPr>
          <w:rFonts w:ascii="Arial" w:hAnsi="Arial" w:cs="Arial"/>
          <w:sz w:val="24"/>
          <w:szCs w:val="24"/>
        </w:rPr>
        <w:t>In order to</w:t>
      </w:r>
      <w:proofErr w:type="gramEnd"/>
      <w:r w:rsidRPr="00C7683A">
        <w:rPr>
          <w:rFonts w:ascii="Arial" w:hAnsi="Arial" w:cs="Arial"/>
          <w:sz w:val="24"/>
          <w:szCs w:val="24"/>
        </w:rPr>
        <w:t xml:space="preserve"> be eligible for ATSI determinations, a school must have at least one student group that meets the n-size requirements in both Dashboard year</w:t>
      </w:r>
      <w:r>
        <w:rPr>
          <w:rFonts w:ascii="Arial" w:hAnsi="Arial" w:cs="Arial"/>
          <w:sz w:val="24"/>
          <w:szCs w:val="24"/>
        </w:rPr>
        <w:t xml:space="preserve">. </w:t>
      </w:r>
    </w:p>
    <w:p w14:paraId="7E2DBBDD" w14:textId="7CFB805D" w:rsidR="00597D21" w:rsidRPr="00377EEE" w:rsidRDefault="00597D21" w:rsidP="0016596B">
      <w:pPr>
        <w:pStyle w:val="Heading3"/>
        <w:spacing w:line="240" w:lineRule="auto"/>
        <w:rPr>
          <w:rFonts w:ascii="Arial" w:eastAsia="Times New Roman" w:hAnsi="Arial" w:cs="Arial"/>
          <w:color w:val="7030A0"/>
        </w:rPr>
      </w:pPr>
      <w:bookmarkStart w:id="23" w:name="_Toc194671804"/>
      <w:r w:rsidRPr="00377EEE">
        <w:rPr>
          <w:rFonts w:ascii="Arial" w:eastAsia="Times New Roman" w:hAnsi="Arial" w:cs="Arial"/>
          <w:color w:val="7030A0"/>
        </w:rPr>
        <w:t xml:space="preserve">Exit Criteria – </w:t>
      </w:r>
      <w:r w:rsidR="00AF4476">
        <w:rPr>
          <w:rFonts w:ascii="Arial" w:eastAsia="Times New Roman" w:hAnsi="Arial" w:cs="Arial"/>
          <w:color w:val="7030A0"/>
        </w:rPr>
        <w:t>ATSI</w:t>
      </w:r>
      <w:bookmarkEnd w:id="23"/>
    </w:p>
    <w:p w14:paraId="1FFDA0B6" w14:textId="15A6BDB8" w:rsidR="00597D21" w:rsidRPr="00552E3E" w:rsidRDefault="00597D21" w:rsidP="0016596B">
      <w:pPr>
        <w:widowControl/>
        <w:spacing w:after="120" w:line="240" w:lineRule="auto"/>
        <w:rPr>
          <w:rFonts w:ascii="Arial" w:hAnsi="Arial" w:cs="Arial"/>
          <w:sz w:val="24"/>
          <w:szCs w:val="24"/>
        </w:rPr>
      </w:pPr>
      <w:r w:rsidRPr="00552E3E">
        <w:rPr>
          <w:rFonts w:ascii="Arial" w:hAnsi="Arial" w:cs="Arial"/>
          <w:sz w:val="24"/>
          <w:szCs w:val="24"/>
        </w:rPr>
        <w:t>The statewide exit criteria are whether the performance of the student group(s) at the school has improved so that it no longer meets the criteria that were used to identify these schools for additional targeted support at the time the school was initially identified, with an additional check to ensure that the Status for the indicators with improved performance has increased. Consequently, a school will have to improve its performance across indicators (including an increase in Status for the relevant indicator(s)) for the relevant student group(s) so that it no longer has any combination of color-coded performance levels that meet the criteria used for identification at the time the school was identified. If the school’s color-coded performance levels for the current year match the color combinations used to identify schools for additional targeted support when the school was initially identified, it has not met the exit criteria.</w:t>
      </w:r>
    </w:p>
    <w:p w14:paraId="600B2E6C" w14:textId="77777777" w:rsidR="00597D21" w:rsidRPr="00552E3E" w:rsidRDefault="00597D21" w:rsidP="0016596B">
      <w:pPr>
        <w:widowControl/>
        <w:spacing w:after="120" w:line="240" w:lineRule="auto"/>
        <w:rPr>
          <w:rFonts w:ascii="Arial" w:hAnsi="Arial" w:cs="Arial"/>
          <w:sz w:val="24"/>
          <w:szCs w:val="24"/>
        </w:rPr>
      </w:pPr>
      <w:r w:rsidRPr="00552E3E">
        <w:rPr>
          <w:rFonts w:ascii="Arial" w:hAnsi="Arial" w:cs="Arial"/>
          <w:sz w:val="24"/>
          <w:szCs w:val="24"/>
        </w:rPr>
        <w:lastRenderedPageBreak/>
        <w:t>Schools are expected to meet these exit criteria within four years from initial identification.</w:t>
      </w:r>
    </w:p>
    <w:p w14:paraId="430028F3" w14:textId="44DC22F5" w:rsidR="00274146" w:rsidRPr="00377EEE" w:rsidRDefault="00274146" w:rsidP="0016596B">
      <w:pPr>
        <w:pStyle w:val="Heading2"/>
        <w:spacing w:line="240" w:lineRule="auto"/>
        <w:rPr>
          <w:rFonts w:ascii="Arial" w:eastAsia="Times New Roman" w:hAnsi="Arial" w:cs="Arial"/>
          <w:color w:val="7030A0"/>
        </w:rPr>
      </w:pPr>
      <w:bookmarkStart w:id="24" w:name="_Toc194671805"/>
      <w:r w:rsidRPr="00377EEE">
        <w:rPr>
          <w:rFonts w:ascii="Arial" w:eastAsia="Times New Roman" w:hAnsi="Arial" w:cs="Arial"/>
          <w:color w:val="7030A0"/>
        </w:rPr>
        <w:t>Additional Resources</w:t>
      </w:r>
      <w:bookmarkEnd w:id="24"/>
    </w:p>
    <w:p w14:paraId="6B6FB57D" w14:textId="5CFD9A11" w:rsidR="0081106B" w:rsidRPr="00BE666B" w:rsidRDefault="0081106B" w:rsidP="0016596B">
      <w:pPr>
        <w:widowControl/>
        <w:shd w:val="clear" w:color="auto" w:fill="FFFFFF"/>
        <w:spacing w:after="120" w:line="240" w:lineRule="auto"/>
        <w:rPr>
          <w:rFonts w:ascii="Arial" w:eastAsia="Times New Roman" w:hAnsi="Arial" w:cs="Arial"/>
          <w:color w:val="000000"/>
          <w:sz w:val="24"/>
          <w:szCs w:val="24"/>
        </w:rPr>
      </w:pPr>
      <w:r w:rsidRPr="00552E3E">
        <w:rPr>
          <w:rFonts w:ascii="Arial" w:eastAsia="Times New Roman" w:hAnsi="Arial" w:cs="Arial"/>
          <w:color w:val="000000"/>
          <w:sz w:val="24"/>
          <w:szCs w:val="24"/>
        </w:rPr>
        <w:t xml:space="preserve">California's accountability system is based on a multiple measures system that assess how LEAs and schools are meeting the needs of their students. Performance on these measures is reported through the Dashboard. The links below connects you directly to the Dashboard, supplementary reports, and supportive resources created to help parents, educators, and communities navigate through the state’s accountability </w:t>
      </w:r>
      <w:r w:rsidRPr="00BE666B">
        <w:rPr>
          <w:rFonts w:ascii="Arial" w:eastAsia="Times New Roman" w:hAnsi="Arial" w:cs="Arial"/>
          <w:color w:val="000000"/>
          <w:sz w:val="24"/>
          <w:szCs w:val="24"/>
        </w:rPr>
        <w:t>system.</w:t>
      </w:r>
    </w:p>
    <w:p w14:paraId="379276FE" w14:textId="7C1B538A" w:rsidR="0081106B" w:rsidRPr="00BE666B" w:rsidRDefault="0081106B" w:rsidP="0016596B">
      <w:pPr>
        <w:widowControl/>
        <w:shd w:val="clear" w:color="auto" w:fill="FFFFFF"/>
        <w:spacing w:after="120" w:line="240" w:lineRule="auto"/>
        <w:rPr>
          <w:rFonts w:ascii="Arial" w:eastAsia="Times New Roman" w:hAnsi="Arial" w:cs="Arial"/>
          <w:color w:val="000000"/>
          <w:sz w:val="24"/>
          <w:szCs w:val="24"/>
        </w:rPr>
      </w:pPr>
      <w:r w:rsidRPr="00BC4DB2">
        <w:rPr>
          <w:rFonts w:ascii="Arial" w:eastAsia="Times New Roman" w:hAnsi="Arial" w:cs="Arial"/>
          <w:sz w:val="24"/>
          <w:szCs w:val="24"/>
        </w:rPr>
        <w:t>California School Dashboard</w:t>
      </w:r>
      <w:r w:rsidR="00BE666B" w:rsidRPr="00BE666B">
        <w:rPr>
          <w:rFonts w:ascii="Arial" w:hAnsi="Arial" w:cs="Arial"/>
          <w:sz w:val="24"/>
          <w:szCs w:val="24"/>
        </w:rPr>
        <w:t xml:space="preserve"> at </w:t>
      </w:r>
      <w:hyperlink r:id="rId19" w:tooltip="California School Dashboard" w:history="1">
        <w:r w:rsidR="00BE666B" w:rsidRPr="00BE666B">
          <w:rPr>
            <w:rStyle w:val="Hyperlink"/>
            <w:rFonts w:ascii="Arial" w:hAnsi="Arial" w:cs="Arial"/>
            <w:sz w:val="24"/>
            <w:szCs w:val="24"/>
          </w:rPr>
          <w:t>https://www.cde.ca.gov/ta/ac/cm/caschdashboard.asp</w:t>
        </w:r>
      </w:hyperlink>
      <w:r w:rsidRPr="00BE666B">
        <w:rPr>
          <w:rFonts w:ascii="Arial" w:eastAsia="Times New Roman" w:hAnsi="Arial" w:cs="Arial"/>
          <w:color w:val="000000"/>
          <w:sz w:val="24"/>
          <w:szCs w:val="24"/>
        </w:rPr>
        <w:br/>
      </w:r>
      <w:r w:rsidRPr="00BC4DB2">
        <w:rPr>
          <w:rFonts w:ascii="Arial" w:eastAsia="Times New Roman" w:hAnsi="Arial" w:cs="Arial"/>
          <w:sz w:val="24"/>
          <w:szCs w:val="24"/>
        </w:rPr>
        <w:t>Dashboard Technical Guide</w:t>
      </w:r>
      <w:r w:rsidR="00BE666B" w:rsidRPr="00BC4DB2">
        <w:rPr>
          <w:rFonts w:ascii="Arial" w:hAnsi="Arial" w:cs="Arial"/>
          <w:sz w:val="24"/>
          <w:szCs w:val="24"/>
        </w:rPr>
        <w:t xml:space="preserve"> </w:t>
      </w:r>
      <w:r w:rsidR="00BE666B">
        <w:rPr>
          <w:rFonts w:ascii="Arial" w:hAnsi="Arial" w:cs="Arial"/>
          <w:sz w:val="24"/>
          <w:szCs w:val="24"/>
        </w:rPr>
        <w:t xml:space="preserve">at </w:t>
      </w:r>
      <w:hyperlink r:id="rId20" w:tooltip="Dashboard Technical Guide" w:history="1">
        <w:r w:rsidR="00BC4DB2" w:rsidRPr="00BC4DB2">
          <w:rPr>
            <w:rStyle w:val="Hyperlink"/>
            <w:rFonts w:ascii="Arial" w:hAnsi="Arial" w:cs="Arial"/>
            <w:sz w:val="24"/>
            <w:szCs w:val="24"/>
          </w:rPr>
          <w:t>https://www.cde.ca.gov/ta/ac/cm/dashboardguide23.asp</w:t>
        </w:r>
      </w:hyperlink>
      <w:r w:rsidRPr="00BE666B">
        <w:rPr>
          <w:rFonts w:ascii="Arial" w:eastAsia="Times New Roman" w:hAnsi="Arial" w:cs="Arial"/>
          <w:color w:val="000000"/>
          <w:sz w:val="24"/>
          <w:szCs w:val="24"/>
        </w:rPr>
        <w:br/>
      </w:r>
      <w:r w:rsidRPr="00BC4DB2">
        <w:rPr>
          <w:rFonts w:ascii="Arial" w:eastAsia="Times New Roman" w:hAnsi="Arial" w:cs="Arial"/>
          <w:sz w:val="24"/>
          <w:szCs w:val="24"/>
        </w:rPr>
        <w:t>Dashboard Communications Toolkit</w:t>
      </w:r>
      <w:r w:rsidR="00BC4DB2">
        <w:rPr>
          <w:rFonts w:ascii="Arial" w:hAnsi="Arial" w:cs="Arial"/>
          <w:sz w:val="24"/>
          <w:szCs w:val="24"/>
        </w:rPr>
        <w:t xml:space="preserve"> at </w:t>
      </w:r>
      <w:hyperlink r:id="rId21" w:tooltip="Dashboard Communications Toolkit" w:history="1">
        <w:r w:rsidR="00BC4DB2" w:rsidRPr="00BC4DB2">
          <w:rPr>
            <w:rStyle w:val="Hyperlink"/>
            <w:rFonts w:ascii="Arial" w:hAnsi="Arial" w:cs="Arial"/>
            <w:sz w:val="24"/>
            <w:szCs w:val="24"/>
          </w:rPr>
          <w:t>https://www.cde.ca.gov/ta/ac/cm/dashboardtoolkit.asp</w:t>
        </w:r>
      </w:hyperlink>
      <w:r w:rsidRPr="00BE666B">
        <w:rPr>
          <w:rFonts w:ascii="Arial" w:eastAsia="Times New Roman" w:hAnsi="Arial" w:cs="Arial"/>
          <w:color w:val="000000"/>
          <w:sz w:val="24"/>
          <w:szCs w:val="24"/>
        </w:rPr>
        <w:br/>
      </w:r>
      <w:r w:rsidRPr="00BC4DB2">
        <w:rPr>
          <w:rFonts w:ascii="Arial" w:eastAsia="Times New Roman" w:hAnsi="Arial" w:cs="Arial"/>
          <w:sz w:val="24"/>
          <w:szCs w:val="24"/>
        </w:rPr>
        <w:t>Dashboard Resources</w:t>
      </w:r>
      <w:r w:rsidR="00BC4DB2">
        <w:rPr>
          <w:rFonts w:ascii="Arial" w:hAnsi="Arial" w:cs="Arial"/>
          <w:sz w:val="24"/>
          <w:szCs w:val="24"/>
        </w:rPr>
        <w:t xml:space="preserve"> - </w:t>
      </w:r>
      <w:hyperlink r:id="rId22" w:tooltip="Dashboard Resources" w:history="1">
        <w:r w:rsidR="00BC4DB2" w:rsidRPr="00BC4DB2">
          <w:rPr>
            <w:rStyle w:val="Hyperlink"/>
            <w:rFonts w:ascii="Arial" w:hAnsi="Arial" w:cs="Arial"/>
            <w:sz w:val="24"/>
            <w:szCs w:val="24"/>
          </w:rPr>
          <w:t>https://www.cde.ca.gov/ta/ac/cm/dashboardresources.asp</w:t>
        </w:r>
      </w:hyperlink>
    </w:p>
    <w:p w14:paraId="4DC3D804" w14:textId="77777777" w:rsidR="00274146" w:rsidRPr="00BE666B" w:rsidRDefault="00274146" w:rsidP="0016596B">
      <w:pPr>
        <w:spacing w:after="120" w:line="240" w:lineRule="auto"/>
        <w:rPr>
          <w:rFonts w:ascii="Arial" w:hAnsi="Arial" w:cs="Arial"/>
          <w:sz w:val="24"/>
          <w:szCs w:val="24"/>
        </w:rPr>
      </w:pPr>
    </w:p>
    <w:sectPr w:rsidR="00274146" w:rsidRPr="00BE666B" w:rsidSect="0027414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07B6" w14:textId="77777777" w:rsidR="00066318" w:rsidRDefault="00066318" w:rsidP="00F91730">
      <w:pPr>
        <w:spacing w:after="0" w:line="240" w:lineRule="auto"/>
      </w:pPr>
      <w:r>
        <w:separator/>
      </w:r>
    </w:p>
  </w:endnote>
  <w:endnote w:type="continuationSeparator" w:id="0">
    <w:p w14:paraId="58FD467B" w14:textId="77777777" w:rsidR="00066318" w:rsidRDefault="00066318" w:rsidP="00F91730">
      <w:pPr>
        <w:spacing w:after="0" w:line="240" w:lineRule="auto"/>
      </w:pPr>
      <w:r>
        <w:continuationSeparator/>
      </w:r>
    </w:p>
  </w:endnote>
  <w:endnote w:type="continuationNotice" w:id="1">
    <w:p w14:paraId="30339ECB" w14:textId="77777777" w:rsidR="00066318" w:rsidRDefault="00066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B6A3" w14:textId="77777777" w:rsidR="00066318" w:rsidRDefault="00066318" w:rsidP="00F91730">
      <w:pPr>
        <w:spacing w:after="0" w:line="240" w:lineRule="auto"/>
      </w:pPr>
      <w:r>
        <w:separator/>
      </w:r>
    </w:p>
  </w:footnote>
  <w:footnote w:type="continuationSeparator" w:id="0">
    <w:p w14:paraId="65FA2AD0" w14:textId="77777777" w:rsidR="00066318" w:rsidRDefault="00066318" w:rsidP="00F91730">
      <w:pPr>
        <w:spacing w:after="0" w:line="240" w:lineRule="auto"/>
      </w:pPr>
      <w:r>
        <w:continuationSeparator/>
      </w:r>
    </w:p>
  </w:footnote>
  <w:footnote w:type="continuationNotice" w:id="1">
    <w:p w14:paraId="20892F70" w14:textId="77777777" w:rsidR="00066318" w:rsidRDefault="000663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6E1"/>
    <w:multiLevelType w:val="hybridMultilevel"/>
    <w:tmpl w:val="641CE236"/>
    <w:lvl w:ilvl="0" w:tplc="BD0E4F40">
      <w:start w:val="1"/>
      <w:numFmt w:val="bullet"/>
      <w:lvlText w:val=""/>
      <w:lvlJc w:val="left"/>
      <w:pPr>
        <w:ind w:left="720" w:hanging="360"/>
      </w:pPr>
      <w:rPr>
        <w:rFonts w:ascii="Symbol" w:hAnsi="Symbol" w:hint="default"/>
      </w:rPr>
    </w:lvl>
    <w:lvl w:ilvl="1" w:tplc="AEF80ED0">
      <w:start w:val="1"/>
      <w:numFmt w:val="bullet"/>
      <w:lvlText w:val="o"/>
      <w:lvlJc w:val="left"/>
      <w:pPr>
        <w:ind w:left="1440" w:hanging="360"/>
      </w:pPr>
      <w:rPr>
        <w:rFonts w:ascii="Courier New" w:hAnsi="Courier New" w:hint="default"/>
      </w:rPr>
    </w:lvl>
    <w:lvl w:ilvl="2" w:tplc="C52CD06E">
      <w:start w:val="1"/>
      <w:numFmt w:val="bullet"/>
      <w:lvlText w:val=""/>
      <w:lvlJc w:val="left"/>
      <w:pPr>
        <w:ind w:left="2160" w:hanging="360"/>
      </w:pPr>
      <w:rPr>
        <w:rFonts w:ascii="Wingdings" w:hAnsi="Wingdings" w:hint="default"/>
      </w:rPr>
    </w:lvl>
    <w:lvl w:ilvl="3" w:tplc="A8BE2F06">
      <w:start w:val="1"/>
      <w:numFmt w:val="bullet"/>
      <w:lvlText w:val=""/>
      <w:lvlJc w:val="left"/>
      <w:pPr>
        <w:ind w:left="2880" w:hanging="360"/>
      </w:pPr>
      <w:rPr>
        <w:rFonts w:ascii="Symbol" w:hAnsi="Symbol" w:hint="default"/>
      </w:rPr>
    </w:lvl>
    <w:lvl w:ilvl="4" w:tplc="6B7036BC">
      <w:start w:val="1"/>
      <w:numFmt w:val="bullet"/>
      <w:lvlText w:val="o"/>
      <w:lvlJc w:val="left"/>
      <w:pPr>
        <w:ind w:left="3600" w:hanging="360"/>
      </w:pPr>
      <w:rPr>
        <w:rFonts w:ascii="Courier New" w:hAnsi="Courier New" w:hint="default"/>
      </w:rPr>
    </w:lvl>
    <w:lvl w:ilvl="5" w:tplc="3F88D950">
      <w:start w:val="1"/>
      <w:numFmt w:val="bullet"/>
      <w:lvlText w:val=""/>
      <w:lvlJc w:val="left"/>
      <w:pPr>
        <w:ind w:left="4320" w:hanging="360"/>
      </w:pPr>
      <w:rPr>
        <w:rFonts w:ascii="Wingdings" w:hAnsi="Wingdings" w:hint="default"/>
      </w:rPr>
    </w:lvl>
    <w:lvl w:ilvl="6" w:tplc="9516DBD2">
      <w:start w:val="1"/>
      <w:numFmt w:val="bullet"/>
      <w:lvlText w:val=""/>
      <w:lvlJc w:val="left"/>
      <w:pPr>
        <w:ind w:left="5040" w:hanging="360"/>
      </w:pPr>
      <w:rPr>
        <w:rFonts w:ascii="Symbol" w:hAnsi="Symbol" w:hint="default"/>
      </w:rPr>
    </w:lvl>
    <w:lvl w:ilvl="7" w:tplc="C06ECF1E">
      <w:start w:val="1"/>
      <w:numFmt w:val="bullet"/>
      <w:lvlText w:val="o"/>
      <w:lvlJc w:val="left"/>
      <w:pPr>
        <w:ind w:left="5760" w:hanging="360"/>
      </w:pPr>
      <w:rPr>
        <w:rFonts w:ascii="Courier New" w:hAnsi="Courier New" w:hint="default"/>
      </w:rPr>
    </w:lvl>
    <w:lvl w:ilvl="8" w:tplc="36AE3500">
      <w:start w:val="1"/>
      <w:numFmt w:val="bullet"/>
      <w:lvlText w:val=""/>
      <w:lvlJc w:val="left"/>
      <w:pPr>
        <w:ind w:left="6480" w:hanging="360"/>
      </w:pPr>
      <w:rPr>
        <w:rFonts w:ascii="Wingdings" w:hAnsi="Wingdings" w:hint="default"/>
      </w:rPr>
    </w:lvl>
  </w:abstractNum>
  <w:abstractNum w:abstractNumId="1" w15:restartNumberingAfterBreak="0">
    <w:nsid w:val="027F6B65"/>
    <w:multiLevelType w:val="multilevel"/>
    <w:tmpl w:val="A204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1B2C96"/>
    <w:multiLevelType w:val="multilevel"/>
    <w:tmpl w:val="57E8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0675B"/>
    <w:multiLevelType w:val="hybridMultilevel"/>
    <w:tmpl w:val="1286DC1E"/>
    <w:lvl w:ilvl="0" w:tplc="1AC8AD50">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6F42B9"/>
    <w:multiLevelType w:val="multilevel"/>
    <w:tmpl w:val="ECA4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CC7C40"/>
    <w:multiLevelType w:val="multilevel"/>
    <w:tmpl w:val="CF12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A3069C"/>
    <w:multiLevelType w:val="multilevel"/>
    <w:tmpl w:val="9CF2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EC7E72"/>
    <w:multiLevelType w:val="hybridMultilevel"/>
    <w:tmpl w:val="D214E70E"/>
    <w:lvl w:ilvl="0" w:tplc="598CADF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C670B"/>
    <w:multiLevelType w:val="multilevel"/>
    <w:tmpl w:val="B938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250C2E"/>
    <w:multiLevelType w:val="hybridMultilevel"/>
    <w:tmpl w:val="C0A2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A71E5"/>
    <w:multiLevelType w:val="hybridMultilevel"/>
    <w:tmpl w:val="685E4B8E"/>
    <w:lvl w:ilvl="0" w:tplc="598CADF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BE6354"/>
    <w:multiLevelType w:val="multilevel"/>
    <w:tmpl w:val="D706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B13506"/>
    <w:multiLevelType w:val="multilevel"/>
    <w:tmpl w:val="E654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DB6740"/>
    <w:multiLevelType w:val="multilevel"/>
    <w:tmpl w:val="8DF4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4C4B50"/>
    <w:multiLevelType w:val="multilevel"/>
    <w:tmpl w:val="DC1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123DEF"/>
    <w:multiLevelType w:val="hybridMultilevel"/>
    <w:tmpl w:val="BB6C96BA"/>
    <w:lvl w:ilvl="0" w:tplc="A9968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FB7528"/>
    <w:multiLevelType w:val="multilevel"/>
    <w:tmpl w:val="82BE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D83D02"/>
    <w:multiLevelType w:val="hybridMultilevel"/>
    <w:tmpl w:val="8A4043AE"/>
    <w:lvl w:ilvl="0" w:tplc="598CADF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D39D1"/>
    <w:multiLevelType w:val="multilevel"/>
    <w:tmpl w:val="776A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89533488">
    <w:abstractNumId w:val="0"/>
  </w:num>
  <w:num w:numId="2" w16cid:durableId="1398354571">
    <w:abstractNumId w:val="9"/>
  </w:num>
  <w:num w:numId="3" w16cid:durableId="369576795">
    <w:abstractNumId w:val="7"/>
  </w:num>
  <w:num w:numId="4" w16cid:durableId="1224439777">
    <w:abstractNumId w:val="10"/>
  </w:num>
  <w:num w:numId="5" w16cid:durableId="62606260">
    <w:abstractNumId w:val="17"/>
  </w:num>
  <w:num w:numId="6" w16cid:durableId="1359698488">
    <w:abstractNumId w:val="3"/>
  </w:num>
  <w:num w:numId="7" w16cid:durableId="545456513">
    <w:abstractNumId w:val="15"/>
  </w:num>
  <w:num w:numId="8" w16cid:durableId="90443796">
    <w:abstractNumId w:val="18"/>
  </w:num>
  <w:num w:numId="9" w16cid:durableId="121967873">
    <w:abstractNumId w:val="4"/>
  </w:num>
  <w:num w:numId="10" w16cid:durableId="1335574799">
    <w:abstractNumId w:val="13"/>
  </w:num>
  <w:num w:numId="11" w16cid:durableId="1384255013">
    <w:abstractNumId w:val="16"/>
  </w:num>
  <w:num w:numId="12" w16cid:durableId="120850386">
    <w:abstractNumId w:val="14"/>
  </w:num>
  <w:num w:numId="13" w16cid:durableId="781991876">
    <w:abstractNumId w:val="6"/>
  </w:num>
  <w:num w:numId="14" w16cid:durableId="427163743">
    <w:abstractNumId w:val="1"/>
  </w:num>
  <w:num w:numId="15" w16cid:durableId="666128142">
    <w:abstractNumId w:val="11"/>
  </w:num>
  <w:num w:numId="16" w16cid:durableId="809788155">
    <w:abstractNumId w:val="12"/>
  </w:num>
  <w:num w:numId="17" w16cid:durableId="1608854544">
    <w:abstractNumId w:val="5"/>
  </w:num>
  <w:num w:numId="18" w16cid:durableId="161699245">
    <w:abstractNumId w:val="2"/>
  </w:num>
  <w:num w:numId="19" w16cid:durableId="43725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EE"/>
    <w:rsid w:val="00002068"/>
    <w:rsid w:val="00066318"/>
    <w:rsid w:val="0008707F"/>
    <w:rsid w:val="00092283"/>
    <w:rsid w:val="000B3745"/>
    <w:rsid w:val="000C3F02"/>
    <w:rsid w:val="000D046F"/>
    <w:rsid w:val="000F0C4A"/>
    <w:rsid w:val="00146AE6"/>
    <w:rsid w:val="001563AE"/>
    <w:rsid w:val="00162778"/>
    <w:rsid w:val="0016596B"/>
    <w:rsid w:val="001764D8"/>
    <w:rsid w:val="00180E30"/>
    <w:rsid w:val="001850E5"/>
    <w:rsid w:val="00185B60"/>
    <w:rsid w:val="0019685E"/>
    <w:rsid w:val="001A0BAC"/>
    <w:rsid w:val="001B4E22"/>
    <w:rsid w:val="001E0EE1"/>
    <w:rsid w:val="00211A61"/>
    <w:rsid w:val="002356DA"/>
    <w:rsid w:val="00274146"/>
    <w:rsid w:val="002B1F6A"/>
    <w:rsid w:val="002B25CC"/>
    <w:rsid w:val="002B7634"/>
    <w:rsid w:val="002C1A5A"/>
    <w:rsid w:val="002F3DB6"/>
    <w:rsid w:val="00322903"/>
    <w:rsid w:val="003478D0"/>
    <w:rsid w:val="003736C1"/>
    <w:rsid w:val="00376778"/>
    <w:rsid w:val="00377EEE"/>
    <w:rsid w:val="00383CD0"/>
    <w:rsid w:val="003A482C"/>
    <w:rsid w:val="003D7D89"/>
    <w:rsid w:val="003F24C6"/>
    <w:rsid w:val="00415AB0"/>
    <w:rsid w:val="00472BCF"/>
    <w:rsid w:val="00480B19"/>
    <w:rsid w:val="004922D8"/>
    <w:rsid w:val="004B00AA"/>
    <w:rsid w:val="004E2244"/>
    <w:rsid w:val="00531CFE"/>
    <w:rsid w:val="00552E3E"/>
    <w:rsid w:val="00553FC6"/>
    <w:rsid w:val="0056099B"/>
    <w:rsid w:val="005738BF"/>
    <w:rsid w:val="005845CF"/>
    <w:rsid w:val="005962BE"/>
    <w:rsid w:val="00597D21"/>
    <w:rsid w:val="005D417D"/>
    <w:rsid w:val="006008D8"/>
    <w:rsid w:val="0061223B"/>
    <w:rsid w:val="0061500C"/>
    <w:rsid w:val="006326B1"/>
    <w:rsid w:val="00651564"/>
    <w:rsid w:val="0065762C"/>
    <w:rsid w:val="00671FE5"/>
    <w:rsid w:val="00675ED0"/>
    <w:rsid w:val="00682592"/>
    <w:rsid w:val="00697CAF"/>
    <w:rsid w:val="006A000A"/>
    <w:rsid w:val="006B1288"/>
    <w:rsid w:val="006C2B48"/>
    <w:rsid w:val="00713AFF"/>
    <w:rsid w:val="0074385C"/>
    <w:rsid w:val="00767FAE"/>
    <w:rsid w:val="00797C72"/>
    <w:rsid w:val="007A2802"/>
    <w:rsid w:val="007A7D29"/>
    <w:rsid w:val="007C27E1"/>
    <w:rsid w:val="007C3FEE"/>
    <w:rsid w:val="007E1356"/>
    <w:rsid w:val="00805765"/>
    <w:rsid w:val="00806D43"/>
    <w:rsid w:val="0081106B"/>
    <w:rsid w:val="008436BF"/>
    <w:rsid w:val="00863A8F"/>
    <w:rsid w:val="00870B8F"/>
    <w:rsid w:val="00873E93"/>
    <w:rsid w:val="00883881"/>
    <w:rsid w:val="00893B3A"/>
    <w:rsid w:val="008C5015"/>
    <w:rsid w:val="008C7DF8"/>
    <w:rsid w:val="008E0524"/>
    <w:rsid w:val="008E1191"/>
    <w:rsid w:val="00927BA1"/>
    <w:rsid w:val="009371CE"/>
    <w:rsid w:val="00971025"/>
    <w:rsid w:val="00987245"/>
    <w:rsid w:val="00990BE0"/>
    <w:rsid w:val="0099652E"/>
    <w:rsid w:val="009A7423"/>
    <w:rsid w:val="009B1C58"/>
    <w:rsid w:val="009B7EBB"/>
    <w:rsid w:val="009D042F"/>
    <w:rsid w:val="009E7447"/>
    <w:rsid w:val="00A070F0"/>
    <w:rsid w:val="00A136D4"/>
    <w:rsid w:val="00A171C9"/>
    <w:rsid w:val="00A22233"/>
    <w:rsid w:val="00A31591"/>
    <w:rsid w:val="00A3486D"/>
    <w:rsid w:val="00A52079"/>
    <w:rsid w:val="00A63F05"/>
    <w:rsid w:val="00A707E2"/>
    <w:rsid w:val="00A72801"/>
    <w:rsid w:val="00A7428D"/>
    <w:rsid w:val="00AA1773"/>
    <w:rsid w:val="00AC0CE4"/>
    <w:rsid w:val="00AE23E0"/>
    <w:rsid w:val="00AF1B5C"/>
    <w:rsid w:val="00AF3A1C"/>
    <w:rsid w:val="00AF4476"/>
    <w:rsid w:val="00AF69B0"/>
    <w:rsid w:val="00B10A81"/>
    <w:rsid w:val="00B24AA5"/>
    <w:rsid w:val="00B33B53"/>
    <w:rsid w:val="00B40B3D"/>
    <w:rsid w:val="00B448A8"/>
    <w:rsid w:val="00B83AAC"/>
    <w:rsid w:val="00B91B24"/>
    <w:rsid w:val="00B92684"/>
    <w:rsid w:val="00BC4DB2"/>
    <w:rsid w:val="00BD032C"/>
    <w:rsid w:val="00BE0ED8"/>
    <w:rsid w:val="00BE666B"/>
    <w:rsid w:val="00BF2005"/>
    <w:rsid w:val="00C0526E"/>
    <w:rsid w:val="00C51FB8"/>
    <w:rsid w:val="00C67A0C"/>
    <w:rsid w:val="00C67A5F"/>
    <w:rsid w:val="00C7683A"/>
    <w:rsid w:val="00C859FC"/>
    <w:rsid w:val="00C87FCF"/>
    <w:rsid w:val="00CA3D94"/>
    <w:rsid w:val="00CD2C25"/>
    <w:rsid w:val="00D03788"/>
    <w:rsid w:val="00D06F66"/>
    <w:rsid w:val="00D17271"/>
    <w:rsid w:val="00D31D92"/>
    <w:rsid w:val="00DA037B"/>
    <w:rsid w:val="00DB6C96"/>
    <w:rsid w:val="00DC3A59"/>
    <w:rsid w:val="00DE60A9"/>
    <w:rsid w:val="00DF1AAF"/>
    <w:rsid w:val="00DF5ADA"/>
    <w:rsid w:val="00E06913"/>
    <w:rsid w:val="00E1739E"/>
    <w:rsid w:val="00E32B4D"/>
    <w:rsid w:val="00E35B19"/>
    <w:rsid w:val="00E84550"/>
    <w:rsid w:val="00EB4946"/>
    <w:rsid w:val="00EB57C1"/>
    <w:rsid w:val="00F06E28"/>
    <w:rsid w:val="00F24F33"/>
    <w:rsid w:val="00F26E13"/>
    <w:rsid w:val="00F5474A"/>
    <w:rsid w:val="00F6161F"/>
    <w:rsid w:val="00F70C51"/>
    <w:rsid w:val="00F91730"/>
    <w:rsid w:val="00FE3B2A"/>
    <w:rsid w:val="00FF01F6"/>
    <w:rsid w:val="02727E42"/>
    <w:rsid w:val="08B75907"/>
    <w:rsid w:val="0DDE75C7"/>
    <w:rsid w:val="1353F12D"/>
    <w:rsid w:val="167A8DFB"/>
    <w:rsid w:val="180EE759"/>
    <w:rsid w:val="1C40BFC8"/>
    <w:rsid w:val="1E35B600"/>
    <w:rsid w:val="230645BB"/>
    <w:rsid w:val="23702731"/>
    <w:rsid w:val="26B2AC9B"/>
    <w:rsid w:val="27F1D26E"/>
    <w:rsid w:val="28677708"/>
    <w:rsid w:val="2AD60201"/>
    <w:rsid w:val="2CF51F2A"/>
    <w:rsid w:val="2E066515"/>
    <w:rsid w:val="2FC8D0FA"/>
    <w:rsid w:val="33073B22"/>
    <w:rsid w:val="3609E71C"/>
    <w:rsid w:val="37B679F1"/>
    <w:rsid w:val="37C33052"/>
    <w:rsid w:val="3FBE1F44"/>
    <w:rsid w:val="4364E859"/>
    <w:rsid w:val="43FDCB8B"/>
    <w:rsid w:val="444E0F36"/>
    <w:rsid w:val="45194867"/>
    <w:rsid w:val="47A8AA6E"/>
    <w:rsid w:val="4A70F72B"/>
    <w:rsid w:val="51EB8E5E"/>
    <w:rsid w:val="5370709C"/>
    <w:rsid w:val="564CB5CD"/>
    <w:rsid w:val="565B1961"/>
    <w:rsid w:val="57031BC2"/>
    <w:rsid w:val="5940F021"/>
    <w:rsid w:val="5C1DA472"/>
    <w:rsid w:val="5F3132B5"/>
    <w:rsid w:val="6AC9E1AF"/>
    <w:rsid w:val="71B58E51"/>
    <w:rsid w:val="76049B03"/>
    <w:rsid w:val="774D57AF"/>
    <w:rsid w:val="77B9CBDE"/>
    <w:rsid w:val="7A49009D"/>
    <w:rsid w:val="7B061DB7"/>
    <w:rsid w:val="7D72D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F14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EE"/>
    <w:pPr>
      <w:widowControl w:val="0"/>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7C3FEE"/>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7C3FEE"/>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7C3FEE"/>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7C3FEE"/>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C3FEE"/>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C3FEE"/>
    <w:pPr>
      <w:keepNext/>
      <w:keepLines/>
      <w:widowControl/>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C3FEE"/>
    <w:pPr>
      <w:keepNext/>
      <w:keepLines/>
      <w:widowControl/>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C3FEE"/>
    <w:pPr>
      <w:keepNext/>
      <w:keepLines/>
      <w:widowControl/>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C3FEE"/>
    <w:pPr>
      <w:keepNext/>
      <w:keepLines/>
      <w:widowControl/>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F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C3F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C3F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C3F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F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F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F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F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FEE"/>
    <w:rPr>
      <w:rFonts w:eastAsiaTheme="majorEastAsia" w:cstheme="majorBidi"/>
      <w:color w:val="272727" w:themeColor="text1" w:themeTint="D8"/>
    </w:rPr>
  </w:style>
  <w:style w:type="paragraph" w:styleId="Title">
    <w:name w:val="Title"/>
    <w:basedOn w:val="Normal"/>
    <w:next w:val="Normal"/>
    <w:link w:val="TitleChar"/>
    <w:uiPriority w:val="10"/>
    <w:qFormat/>
    <w:rsid w:val="007C3FEE"/>
    <w:pPr>
      <w:widowControl/>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C3F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FEE"/>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C3F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FEE"/>
    <w:pPr>
      <w:widowControl/>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C3FEE"/>
    <w:rPr>
      <w:i/>
      <w:iCs/>
      <w:color w:val="404040" w:themeColor="text1" w:themeTint="BF"/>
    </w:rPr>
  </w:style>
  <w:style w:type="paragraph" w:styleId="ListParagraph">
    <w:name w:val="List Paragraph"/>
    <w:basedOn w:val="Normal"/>
    <w:uiPriority w:val="34"/>
    <w:qFormat/>
    <w:rsid w:val="007C3FEE"/>
    <w:pPr>
      <w:widowControl/>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C3FEE"/>
    <w:rPr>
      <w:i/>
      <w:iCs/>
      <w:color w:val="0F4761" w:themeColor="accent1" w:themeShade="BF"/>
    </w:rPr>
  </w:style>
  <w:style w:type="paragraph" w:styleId="IntenseQuote">
    <w:name w:val="Intense Quote"/>
    <w:basedOn w:val="Normal"/>
    <w:next w:val="Normal"/>
    <w:link w:val="IntenseQuoteChar"/>
    <w:uiPriority w:val="30"/>
    <w:qFormat/>
    <w:rsid w:val="007C3FEE"/>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C3FEE"/>
    <w:rPr>
      <w:i/>
      <w:iCs/>
      <w:color w:val="0F4761" w:themeColor="accent1" w:themeShade="BF"/>
    </w:rPr>
  </w:style>
  <w:style w:type="character" w:styleId="IntenseReference">
    <w:name w:val="Intense Reference"/>
    <w:basedOn w:val="DefaultParagraphFont"/>
    <w:uiPriority w:val="32"/>
    <w:qFormat/>
    <w:rsid w:val="007C3FEE"/>
    <w:rPr>
      <w:b/>
      <w:bCs/>
      <w:smallCaps/>
      <w:color w:val="0F4761" w:themeColor="accent1" w:themeShade="BF"/>
      <w:spacing w:val="5"/>
    </w:rPr>
  </w:style>
  <w:style w:type="character" w:styleId="Hyperlink">
    <w:name w:val="Hyperlink"/>
    <w:uiPriority w:val="99"/>
    <w:unhideWhenUsed/>
    <w:rsid w:val="007C3FEE"/>
    <w:rPr>
      <w:color w:val="0000FF"/>
      <w:u w:val="single"/>
    </w:rPr>
  </w:style>
  <w:style w:type="character" w:styleId="FollowedHyperlink">
    <w:name w:val="FollowedHyperlink"/>
    <w:basedOn w:val="DefaultParagraphFont"/>
    <w:uiPriority w:val="99"/>
    <w:semiHidden/>
    <w:unhideWhenUsed/>
    <w:rsid w:val="007C3FEE"/>
    <w:rPr>
      <w:color w:val="96607D" w:themeColor="followedHyperlink"/>
      <w:u w:val="single"/>
    </w:rPr>
  </w:style>
  <w:style w:type="paragraph" w:styleId="NormalWeb">
    <w:name w:val="Normal (Web)"/>
    <w:basedOn w:val="Normal"/>
    <w:uiPriority w:val="99"/>
    <w:unhideWhenUsed/>
    <w:rsid w:val="00893B3A"/>
    <w:pPr>
      <w:widowControl/>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53FC6"/>
    <w:rPr>
      <w:color w:val="605E5C"/>
      <w:shd w:val="clear" w:color="auto" w:fill="E1DFDD"/>
    </w:rPr>
  </w:style>
  <w:style w:type="table" w:styleId="TableGrid">
    <w:name w:val="Table Grid"/>
    <w:basedOn w:val="TableNormal"/>
    <w:uiPriority w:val="39"/>
    <w:rsid w:val="0055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26B1"/>
    <w:pPr>
      <w:widowControl w:val="0"/>
      <w:spacing w:after="0" w:line="240" w:lineRule="auto"/>
    </w:pPr>
    <w:rPr>
      <w:rFonts w:ascii="Calibri" w:eastAsia="Calibri" w:hAnsi="Calibri" w:cs="Times New Roman"/>
      <w:kern w:val="0"/>
      <w:sz w:val="22"/>
      <w:szCs w:val="22"/>
      <w14:ligatures w14:val="none"/>
    </w:rPr>
  </w:style>
  <w:style w:type="table" w:customStyle="1" w:styleId="TableGrid1">
    <w:name w:val="Table Grid1"/>
    <w:basedOn w:val="TableNormal"/>
    <w:next w:val="TableGrid"/>
    <w:uiPriority w:val="39"/>
    <w:rsid w:val="002B7634"/>
    <w:pPr>
      <w:spacing w:after="0" w:line="240" w:lineRule="auto"/>
    </w:pPr>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B7634"/>
    <w:pPr>
      <w:spacing w:after="0" w:line="240" w:lineRule="auto"/>
    </w:pPr>
    <w:rPr>
      <w:rFonts w:eastAsia="SimSun"/>
      <w:kern w:val="0"/>
      <w:sz w:val="22"/>
      <w:szCs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2B7634"/>
    <w:pPr>
      <w:spacing w:after="0" w:line="240" w:lineRule="auto"/>
    </w:pPr>
    <w:rPr>
      <w:rFonts w:eastAsia="SimSun"/>
      <w:kern w:val="0"/>
      <w:sz w:val="22"/>
      <w:szCs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2B7634"/>
    <w:pPr>
      <w:spacing w:after="0" w:line="240" w:lineRule="auto"/>
    </w:pPr>
    <w:rPr>
      <w:rFonts w:eastAsia="SimSun"/>
      <w:kern w:val="0"/>
      <w:sz w:val="22"/>
      <w:szCs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91730"/>
    <w:pPr>
      <w:spacing w:before="240" w:after="0" w:line="259" w:lineRule="auto"/>
      <w:outlineLvl w:val="9"/>
    </w:pPr>
    <w:rPr>
      <w:kern w:val="0"/>
      <w:sz w:val="32"/>
      <w:szCs w:val="32"/>
      <w14:ligatures w14:val="none"/>
    </w:rPr>
  </w:style>
  <w:style w:type="paragraph" w:styleId="TOC1">
    <w:name w:val="toc 1"/>
    <w:basedOn w:val="Normal"/>
    <w:link w:val="TOC1Char"/>
    <w:autoRedefine/>
    <w:uiPriority w:val="39"/>
    <w:unhideWhenUsed/>
    <w:rsid w:val="00D03788"/>
    <w:pPr>
      <w:spacing w:after="100"/>
    </w:pPr>
    <w:rPr>
      <w:rFonts w:ascii="Arial" w:hAnsi="Arial"/>
      <w:color w:val="0000FF"/>
      <w:sz w:val="24"/>
    </w:rPr>
  </w:style>
  <w:style w:type="paragraph" w:styleId="TOC2">
    <w:name w:val="toc 2"/>
    <w:basedOn w:val="Normal"/>
    <w:next w:val="Normal"/>
    <w:link w:val="TOC2Char"/>
    <w:autoRedefine/>
    <w:uiPriority w:val="39"/>
    <w:unhideWhenUsed/>
    <w:rsid w:val="00FF01F6"/>
    <w:pPr>
      <w:tabs>
        <w:tab w:val="right" w:leader="dot" w:pos="9350"/>
      </w:tabs>
      <w:spacing w:after="100"/>
      <w:ind w:left="220"/>
    </w:pPr>
    <w:rPr>
      <w:rFonts w:ascii="Arial" w:hAnsi="Arial" w:cs="Arial"/>
      <w:noProof/>
      <w:color w:val="0000FF"/>
      <w:sz w:val="24"/>
    </w:rPr>
  </w:style>
  <w:style w:type="paragraph" w:styleId="TOC3">
    <w:name w:val="toc 3"/>
    <w:basedOn w:val="Normal"/>
    <w:next w:val="Normal"/>
    <w:autoRedefine/>
    <w:uiPriority w:val="39"/>
    <w:unhideWhenUsed/>
    <w:rsid w:val="00F91730"/>
    <w:pPr>
      <w:spacing w:after="100"/>
      <w:ind w:left="440"/>
    </w:pPr>
  </w:style>
  <w:style w:type="paragraph" w:styleId="Header">
    <w:name w:val="header"/>
    <w:basedOn w:val="Normal"/>
    <w:link w:val="HeaderChar"/>
    <w:uiPriority w:val="99"/>
    <w:unhideWhenUsed/>
    <w:rsid w:val="00F91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730"/>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F91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30"/>
    <w:rPr>
      <w:rFonts w:ascii="Calibri" w:eastAsia="Calibri" w:hAnsi="Calibri" w:cs="Times New Roman"/>
      <w:kern w:val="0"/>
      <w:sz w:val="22"/>
      <w:szCs w:val="22"/>
      <w14:ligatures w14:val="none"/>
    </w:rPr>
  </w:style>
  <w:style w:type="paragraph" w:customStyle="1" w:styleId="paragraph">
    <w:name w:val="paragraph"/>
    <w:basedOn w:val="Normal"/>
    <w:rsid w:val="00531CFE"/>
    <w:pPr>
      <w:widowControl/>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531CFE"/>
  </w:style>
  <w:style w:type="character" w:customStyle="1" w:styleId="eop">
    <w:name w:val="eop"/>
    <w:basedOn w:val="DefaultParagraphFont"/>
    <w:rsid w:val="00531CF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B25CC"/>
    <w:pPr>
      <w:spacing w:after="0" w:line="240" w:lineRule="auto"/>
    </w:pPr>
    <w:rPr>
      <w:rFonts w:ascii="Calibri" w:eastAsia="Calibri" w:hAnsi="Calibri" w:cs="Times New Roman"/>
      <w:kern w:val="0"/>
      <w:sz w:val="22"/>
      <w:szCs w:val="22"/>
      <w14:ligatures w14:val="none"/>
    </w:rPr>
  </w:style>
  <w:style w:type="character" w:customStyle="1" w:styleId="TOC1Char">
    <w:name w:val="TOC 1 Char"/>
    <w:basedOn w:val="DefaultParagraphFont"/>
    <w:link w:val="TOC1"/>
    <w:uiPriority w:val="39"/>
    <w:rsid w:val="00D03788"/>
    <w:rPr>
      <w:rFonts w:ascii="Arial" w:eastAsia="Calibri" w:hAnsi="Arial" w:cs="Times New Roman"/>
      <w:color w:val="0000FF"/>
      <w:kern w:val="0"/>
      <w:szCs w:val="22"/>
      <w14:ligatures w14:val="none"/>
    </w:rPr>
  </w:style>
  <w:style w:type="character" w:customStyle="1" w:styleId="TOC2Char">
    <w:name w:val="TOC 2 Char"/>
    <w:basedOn w:val="DefaultParagraphFont"/>
    <w:link w:val="TOC2"/>
    <w:uiPriority w:val="39"/>
    <w:rsid w:val="00FF01F6"/>
    <w:rPr>
      <w:rFonts w:ascii="Arial" w:eastAsia="Calibri" w:hAnsi="Arial" w:cs="Arial"/>
      <w:noProof/>
      <w:color w:val="0000FF"/>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0910">
      <w:bodyDiv w:val="1"/>
      <w:marLeft w:val="0"/>
      <w:marRight w:val="0"/>
      <w:marTop w:val="0"/>
      <w:marBottom w:val="0"/>
      <w:divBdr>
        <w:top w:val="none" w:sz="0" w:space="0" w:color="auto"/>
        <w:left w:val="none" w:sz="0" w:space="0" w:color="auto"/>
        <w:bottom w:val="none" w:sz="0" w:space="0" w:color="auto"/>
        <w:right w:val="none" w:sz="0" w:space="0" w:color="auto"/>
      </w:divBdr>
    </w:div>
    <w:div w:id="351959827">
      <w:bodyDiv w:val="1"/>
      <w:marLeft w:val="0"/>
      <w:marRight w:val="0"/>
      <w:marTop w:val="0"/>
      <w:marBottom w:val="0"/>
      <w:divBdr>
        <w:top w:val="none" w:sz="0" w:space="0" w:color="auto"/>
        <w:left w:val="none" w:sz="0" w:space="0" w:color="auto"/>
        <w:bottom w:val="none" w:sz="0" w:space="0" w:color="auto"/>
        <w:right w:val="none" w:sz="0" w:space="0" w:color="auto"/>
      </w:divBdr>
    </w:div>
    <w:div w:id="505631977">
      <w:bodyDiv w:val="1"/>
      <w:marLeft w:val="0"/>
      <w:marRight w:val="0"/>
      <w:marTop w:val="0"/>
      <w:marBottom w:val="0"/>
      <w:divBdr>
        <w:top w:val="none" w:sz="0" w:space="0" w:color="auto"/>
        <w:left w:val="none" w:sz="0" w:space="0" w:color="auto"/>
        <w:bottom w:val="none" w:sz="0" w:space="0" w:color="auto"/>
        <w:right w:val="none" w:sz="0" w:space="0" w:color="auto"/>
      </w:divBdr>
    </w:div>
    <w:div w:id="676421655">
      <w:bodyDiv w:val="1"/>
      <w:marLeft w:val="0"/>
      <w:marRight w:val="0"/>
      <w:marTop w:val="0"/>
      <w:marBottom w:val="0"/>
      <w:divBdr>
        <w:top w:val="none" w:sz="0" w:space="0" w:color="auto"/>
        <w:left w:val="none" w:sz="0" w:space="0" w:color="auto"/>
        <w:bottom w:val="none" w:sz="0" w:space="0" w:color="auto"/>
        <w:right w:val="none" w:sz="0" w:space="0" w:color="auto"/>
      </w:divBdr>
    </w:div>
    <w:div w:id="710763662">
      <w:bodyDiv w:val="1"/>
      <w:marLeft w:val="0"/>
      <w:marRight w:val="0"/>
      <w:marTop w:val="0"/>
      <w:marBottom w:val="0"/>
      <w:divBdr>
        <w:top w:val="none" w:sz="0" w:space="0" w:color="auto"/>
        <w:left w:val="none" w:sz="0" w:space="0" w:color="auto"/>
        <w:bottom w:val="none" w:sz="0" w:space="0" w:color="auto"/>
        <w:right w:val="none" w:sz="0" w:space="0" w:color="auto"/>
      </w:divBdr>
    </w:div>
    <w:div w:id="981540911">
      <w:bodyDiv w:val="1"/>
      <w:marLeft w:val="0"/>
      <w:marRight w:val="0"/>
      <w:marTop w:val="0"/>
      <w:marBottom w:val="0"/>
      <w:divBdr>
        <w:top w:val="none" w:sz="0" w:space="0" w:color="auto"/>
        <w:left w:val="none" w:sz="0" w:space="0" w:color="auto"/>
        <w:bottom w:val="none" w:sz="0" w:space="0" w:color="auto"/>
        <w:right w:val="none" w:sz="0" w:space="0" w:color="auto"/>
      </w:divBdr>
      <w:divsChild>
        <w:div w:id="1990017775">
          <w:marLeft w:val="0"/>
          <w:marRight w:val="0"/>
          <w:marTop w:val="0"/>
          <w:marBottom w:val="0"/>
          <w:divBdr>
            <w:top w:val="none" w:sz="0" w:space="0" w:color="auto"/>
            <w:left w:val="none" w:sz="0" w:space="0" w:color="auto"/>
            <w:bottom w:val="none" w:sz="0" w:space="0" w:color="auto"/>
            <w:right w:val="none" w:sz="0" w:space="0" w:color="auto"/>
          </w:divBdr>
        </w:div>
        <w:div w:id="486096152">
          <w:marLeft w:val="0"/>
          <w:marRight w:val="0"/>
          <w:marTop w:val="0"/>
          <w:marBottom w:val="0"/>
          <w:divBdr>
            <w:top w:val="none" w:sz="0" w:space="0" w:color="auto"/>
            <w:left w:val="none" w:sz="0" w:space="0" w:color="auto"/>
            <w:bottom w:val="none" w:sz="0" w:space="0" w:color="auto"/>
            <w:right w:val="none" w:sz="0" w:space="0" w:color="auto"/>
          </w:divBdr>
        </w:div>
        <w:div w:id="1446466354">
          <w:marLeft w:val="0"/>
          <w:marRight w:val="0"/>
          <w:marTop w:val="0"/>
          <w:marBottom w:val="0"/>
          <w:divBdr>
            <w:top w:val="none" w:sz="0" w:space="0" w:color="auto"/>
            <w:left w:val="none" w:sz="0" w:space="0" w:color="auto"/>
            <w:bottom w:val="none" w:sz="0" w:space="0" w:color="auto"/>
            <w:right w:val="none" w:sz="0" w:space="0" w:color="auto"/>
          </w:divBdr>
        </w:div>
        <w:div w:id="562789732">
          <w:marLeft w:val="0"/>
          <w:marRight w:val="0"/>
          <w:marTop w:val="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1894196322">
          <w:marLeft w:val="0"/>
          <w:marRight w:val="0"/>
          <w:marTop w:val="0"/>
          <w:marBottom w:val="0"/>
          <w:divBdr>
            <w:top w:val="none" w:sz="0" w:space="0" w:color="auto"/>
            <w:left w:val="none" w:sz="0" w:space="0" w:color="auto"/>
            <w:bottom w:val="none" w:sz="0" w:space="0" w:color="auto"/>
            <w:right w:val="none" w:sz="0" w:space="0" w:color="auto"/>
          </w:divBdr>
        </w:div>
        <w:div w:id="167183632">
          <w:marLeft w:val="0"/>
          <w:marRight w:val="0"/>
          <w:marTop w:val="0"/>
          <w:marBottom w:val="0"/>
          <w:divBdr>
            <w:top w:val="none" w:sz="0" w:space="0" w:color="auto"/>
            <w:left w:val="none" w:sz="0" w:space="0" w:color="auto"/>
            <w:bottom w:val="none" w:sz="0" w:space="0" w:color="auto"/>
            <w:right w:val="none" w:sz="0" w:space="0" w:color="auto"/>
          </w:divBdr>
        </w:div>
        <w:div w:id="1988626163">
          <w:marLeft w:val="0"/>
          <w:marRight w:val="0"/>
          <w:marTop w:val="0"/>
          <w:marBottom w:val="0"/>
          <w:divBdr>
            <w:top w:val="none" w:sz="0" w:space="0" w:color="auto"/>
            <w:left w:val="none" w:sz="0" w:space="0" w:color="auto"/>
            <w:bottom w:val="none" w:sz="0" w:space="0" w:color="auto"/>
            <w:right w:val="none" w:sz="0" w:space="0" w:color="auto"/>
          </w:divBdr>
        </w:div>
        <w:div w:id="326247650">
          <w:marLeft w:val="0"/>
          <w:marRight w:val="0"/>
          <w:marTop w:val="0"/>
          <w:marBottom w:val="0"/>
          <w:divBdr>
            <w:top w:val="none" w:sz="0" w:space="0" w:color="auto"/>
            <w:left w:val="none" w:sz="0" w:space="0" w:color="auto"/>
            <w:bottom w:val="none" w:sz="0" w:space="0" w:color="auto"/>
            <w:right w:val="none" w:sz="0" w:space="0" w:color="auto"/>
          </w:divBdr>
        </w:div>
        <w:div w:id="272901698">
          <w:marLeft w:val="0"/>
          <w:marRight w:val="0"/>
          <w:marTop w:val="0"/>
          <w:marBottom w:val="0"/>
          <w:divBdr>
            <w:top w:val="none" w:sz="0" w:space="0" w:color="auto"/>
            <w:left w:val="none" w:sz="0" w:space="0" w:color="auto"/>
            <w:bottom w:val="none" w:sz="0" w:space="0" w:color="auto"/>
            <w:right w:val="none" w:sz="0" w:space="0" w:color="auto"/>
          </w:divBdr>
        </w:div>
        <w:div w:id="299456226">
          <w:marLeft w:val="0"/>
          <w:marRight w:val="0"/>
          <w:marTop w:val="0"/>
          <w:marBottom w:val="0"/>
          <w:divBdr>
            <w:top w:val="none" w:sz="0" w:space="0" w:color="auto"/>
            <w:left w:val="none" w:sz="0" w:space="0" w:color="auto"/>
            <w:bottom w:val="none" w:sz="0" w:space="0" w:color="auto"/>
            <w:right w:val="none" w:sz="0" w:space="0" w:color="auto"/>
          </w:divBdr>
        </w:div>
      </w:divsChild>
    </w:div>
    <w:div w:id="1271745598">
      <w:bodyDiv w:val="1"/>
      <w:marLeft w:val="0"/>
      <w:marRight w:val="0"/>
      <w:marTop w:val="0"/>
      <w:marBottom w:val="0"/>
      <w:divBdr>
        <w:top w:val="none" w:sz="0" w:space="0" w:color="auto"/>
        <w:left w:val="none" w:sz="0" w:space="0" w:color="auto"/>
        <w:bottom w:val="none" w:sz="0" w:space="0" w:color="auto"/>
        <w:right w:val="none" w:sz="0" w:space="0" w:color="auto"/>
      </w:divBdr>
    </w:div>
    <w:div w:id="1360007572">
      <w:bodyDiv w:val="1"/>
      <w:marLeft w:val="0"/>
      <w:marRight w:val="0"/>
      <w:marTop w:val="0"/>
      <w:marBottom w:val="0"/>
      <w:divBdr>
        <w:top w:val="none" w:sz="0" w:space="0" w:color="auto"/>
        <w:left w:val="none" w:sz="0" w:space="0" w:color="auto"/>
        <w:bottom w:val="none" w:sz="0" w:space="0" w:color="auto"/>
        <w:right w:val="none" w:sz="0" w:space="0" w:color="auto"/>
      </w:divBdr>
    </w:div>
    <w:div w:id="1738239443">
      <w:bodyDiv w:val="1"/>
      <w:marLeft w:val="0"/>
      <w:marRight w:val="0"/>
      <w:marTop w:val="0"/>
      <w:marBottom w:val="0"/>
      <w:divBdr>
        <w:top w:val="none" w:sz="0" w:space="0" w:color="auto"/>
        <w:left w:val="none" w:sz="0" w:space="0" w:color="auto"/>
        <w:bottom w:val="none" w:sz="0" w:space="0" w:color="auto"/>
        <w:right w:val="none" w:sz="0" w:space="0" w:color="auto"/>
      </w:divBdr>
    </w:div>
    <w:div w:id="1757092215">
      <w:bodyDiv w:val="1"/>
      <w:marLeft w:val="0"/>
      <w:marRight w:val="0"/>
      <w:marTop w:val="0"/>
      <w:marBottom w:val="0"/>
      <w:divBdr>
        <w:top w:val="none" w:sz="0" w:space="0" w:color="auto"/>
        <w:left w:val="none" w:sz="0" w:space="0" w:color="auto"/>
        <w:bottom w:val="none" w:sz="0" w:space="0" w:color="auto"/>
        <w:right w:val="none" w:sz="0" w:space="0" w:color="auto"/>
      </w:divBdr>
    </w:div>
    <w:div w:id="1961909286">
      <w:bodyDiv w:val="1"/>
      <w:marLeft w:val="0"/>
      <w:marRight w:val="0"/>
      <w:marTop w:val="0"/>
      <w:marBottom w:val="0"/>
      <w:divBdr>
        <w:top w:val="none" w:sz="0" w:space="0" w:color="auto"/>
        <w:left w:val="none" w:sz="0" w:space="0" w:color="auto"/>
        <w:bottom w:val="none" w:sz="0" w:space="0" w:color="auto"/>
        <w:right w:val="none" w:sz="0" w:space="0" w:color="auto"/>
      </w:divBdr>
    </w:div>
    <w:div w:id="2003196268">
      <w:bodyDiv w:val="1"/>
      <w:marLeft w:val="0"/>
      <w:marRight w:val="0"/>
      <w:marTop w:val="0"/>
      <w:marBottom w:val="0"/>
      <w:divBdr>
        <w:top w:val="none" w:sz="0" w:space="0" w:color="auto"/>
        <w:left w:val="none" w:sz="0" w:space="0" w:color="auto"/>
        <w:bottom w:val="none" w:sz="0" w:space="0" w:color="auto"/>
        <w:right w:val="none" w:sz="0" w:space="0" w:color="auto"/>
      </w:divBdr>
    </w:div>
    <w:div w:id="205260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e.ca.gov/ta/ac/cm/" TargetMode="External"/><Relationship Id="rId18" Type="http://schemas.openxmlformats.org/officeDocument/2006/relationships/hyperlink" Target="https://www6.cde.ca.gov/californiamodel/" TargetMode="External"/><Relationship Id="rId3" Type="http://schemas.openxmlformats.org/officeDocument/2006/relationships/customXml" Target="../customXml/item3.xml"/><Relationship Id="rId21" Type="http://schemas.openxmlformats.org/officeDocument/2006/relationships/hyperlink" Target="https://www.cde.ca.gov/ta/ac/cm/dashboardtoolkit.asp" TargetMode="External"/><Relationship Id="rId7" Type="http://schemas.openxmlformats.org/officeDocument/2006/relationships/settings" Target="settings.xml"/><Relationship Id="rId12" Type="http://schemas.openxmlformats.org/officeDocument/2006/relationships/hyperlink" Target="https://www.cde.ca.gov/ta/ac/sc/index.asp" TargetMode="External"/><Relationship Id="rId17" Type="http://schemas.openxmlformats.org/officeDocument/2006/relationships/hyperlink" Target="https://www6.cde.ca.gov/californiamodel/" TargetMode="External"/><Relationship Id="rId2" Type="http://schemas.openxmlformats.org/officeDocument/2006/relationships/customXml" Target="../customXml/item2.xml"/><Relationship Id="rId16" Type="http://schemas.openxmlformats.org/officeDocument/2006/relationships/hyperlink" Target="https://www6.cde.ca.gov/californiamodel/" TargetMode="External"/><Relationship Id="rId20" Type="http://schemas.openxmlformats.org/officeDocument/2006/relationships/hyperlink" Target="https://www.cde.ca.gov/ta/ac/cm/dashboardguide23.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6.cde.ca.gov/californiamode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de.ca.gov/ta/ac/cm/caschdashboard.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ta/ac/cm/dashboardguide22.asp" TargetMode="External"/><Relationship Id="rId22" Type="http://schemas.openxmlformats.org/officeDocument/2006/relationships/hyperlink" Target="https://www.cde.ca.gov/ta/ac/cm/dashboardresourc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18EB696E02947AD7C230468D58D46" ma:contentTypeVersion="4" ma:contentTypeDescription="Create a new document." ma:contentTypeScope="" ma:versionID="ca836d207210bd12e804a192fd6a90cb">
  <xsd:schema xmlns:xsd="http://www.w3.org/2001/XMLSchema" xmlns:xs="http://www.w3.org/2001/XMLSchema" xmlns:p="http://schemas.microsoft.com/office/2006/metadata/properties" xmlns:ns2="bebf9763-4093-42b9-9a64-33b8b3298619" targetNamespace="http://schemas.microsoft.com/office/2006/metadata/properties" ma:root="true" ma:fieldsID="58a160a028a69624078c341f48f64a63" ns2:_="">
    <xsd:import namespace="bebf9763-4093-42b9-9a64-33b8b32986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f9763-4093-42b9-9a64-33b8b3298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B342-A794-4C02-AA44-1F8B621A9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f9763-4093-42b9-9a64-33b8b3298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9C09C-E2DF-49AE-994F-BF20B9AFB337}">
  <ds:schemaRefs>
    <ds:schemaRef ds:uri="http://schemas.microsoft.com/sharepoint/v3/contenttype/forms"/>
  </ds:schemaRefs>
</ds:datastoreItem>
</file>

<file path=customXml/itemProps3.xml><?xml version="1.0" encoding="utf-8"?>
<ds:datastoreItem xmlns:ds="http://schemas.openxmlformats.org/officeDocument/2006/customXml" ds:itemID="{92DD4167-3D9C-4DD4-B76D-DFE9B0E291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A5E1DE-47B7-4F4E-84C1-CB3A8890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4236</Words>
  <Characters>24151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State Accountability Report Card - State Accountability Report Card (CA Dept of Education)</dc:title>
  <dc:subject>This document is a description of the State's accountability system for the 2022-23 year.</dc:subject>
  <dc:creator/>
  <cp:keywords/>
  <dc:description/>
  <cp:lastModifiedBy/>
  <cp:revision>1</cp:revision>
  <dcterms:created xsi:type="dcterms:W3CDTF">2025-05-12T17:12:00Z</dcterms:created>
  <dcterms:modified xsi:type="dcterms:W3CDTF">2025-05-13T15:43:00Z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0x010100AC218EB696E02947AD7C230468D58D46</vt:lpwstr>
  </property>
</Properties>
</file>