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FD367" w14:textId="1E150CF9" w:rsidR="00D978B8" w:rsidRPr="009107E1" w:rsidRDefault="00680527" w:rsidP="009107E1">
      <w:pPr>
        <w:pStyle w:val="Heading1"/>
      </w:pPr>
      <w:r>
        <w:t xml:space="preserve">2021 </w:t>
      </w:r>
      <w:r w:rsidR="00D978B8" w:rsidRPr="009107E1">
        <w:t>Dashboard Reference Guide</w:t>
      </w:r>
    </w:p>
    <w:p w14:paraId="434BCFDD" w14:textId="0EA30A65" w:rsidR="00164DF8" w:rsidRPr="00164DF8" w:rsidRDefault="00164DF8" w:rsidP="009107E1">
      <w:pPr>
        <w:spacing w:before="240" w:after="480"/>
        <w:jc w:val="center"/>
      </w:pPr>
      <w:r>
        <w:t xml:space="preserve">California Department of Education | </w:t>
      </w:r>
      <w:r w:rsidR="009107E1" w:rsidRPr="00C57DB9">
        <w:rPr>
          <w:rFonts w:asciiTheme="minorHAnsi" w:eastAsia="Calibri" w:hAnsiTheme="minorHAnsi" w:cstheme="minorHAnsi"/>
          <w:color w:val="000000"/>
        </w:rPr>
        <w:t>December</w:t>
      </w:r>
      <w:r w:rsidRPr="00C57DB9">
        <w:rPr>
          <w:rFonts w:asciiTheme="minorHAnsi" w:eastAsia="Calibri" w:hAnsiTheme="minorHAnsi" w:cstheme="minorHAnsi"/>
          <w:color w:val="000000"/>
        </w:rPr>
        <w:t xml:space="preserve"> </w:t>
      </w:r>
      <w:r>
        <w:t>2021</w:t>
      </w:r>
    </w:p>
    <w:p w14:paraId="4AA25787" w14:textId="1453E7FA" w:rsidR="00680527" w:rsidRDefault="00680527" w:rsidP="00680527">
      <w:pPr>
        <w:spacing w:after="240"/>
      </w:pPr>
      <w:r w:rsidRPr="000636EC">
        <w:t>This reference guide was developed to help</w:t>
      </w:r>
      <w:r w:rsidR="00C1692C">
        <w:t xml:space="preserve"> </w:t>
      </w:r>
      <w:r w:rsidRPr="000636EC">
        <w:t>local educational agencies (LEAs) locate where they can access valid and reliable data, including additional resources and data available at the local level.</w:t>
      </w:r>
    </w:p>
    <w:p w14:paraId="328F0CA4" w14:textId="1D0FD314" w:rsidR="00680527" w:rsidRDefault="00680527" w:rsidP="004333E4">
      <w:pPr>
        <w:pStyle w:val="Heading2"/>
        <w:shd w:val="clear" w:color="auto" w:fill="F2F2F2" w:themeFill="background1" w:themeFillShade="F2"/>
      </w:pPr>
      <w:r>
        <w:t>Background</w:t>
      </w:r>
    </w:p>
    <w:p w14:paraId="34EF17FE" w14:textId="1ED83A2E" w:rsidR="00680527" w:rsidRDefault="00680527" w:rsidP="00680527">
      <w:r w:rsidRPr="000636EC">
        <w:t>In April 2021, the U.S. Department of Education (ED) granted the California Department of Education (CDE) a waiver of specific accountability requirements, including suspending the reporting of state indicators on the 2021 California School Dashboard (Dashboard). In July 2021, Assembly Bill (AB) 130 was signed into state law which also suspended the publication of state indicators on the 2021 Dashboard. However, AB</w:t>
      </w:r>
      <w:r w:rsidR="00C0773D">
        <w:t> </w:t>
      </w:r>
      <w:r w:rsidRPr="000636EC">
        <w:t>130 requires that reliable and valid data that would have been included in the</w:t>
      </w:r>
      <w:r w:rsidR="00C24C4F">
        <w:t xml:space="preserve"> </w:t>
      </w:r>
      <w:r w:rsidR="00D75942">
        <w:t>2</w:t>
      </w:r>
      <w:r w:rsidRPr="000636EC">
        <w:t>021</w:t>
      </w:r>
      <w:r w:rsidR="00C0773D">
        <w:t> </w:t>
      </w:r>
      <w:r w:rsidRPr="000636EC">
        <w:t>Dashboard be reported.</w:t>
      </w:r>
    </w:p>
    <w:p w14:paraId="2A0CD1AB" w14:textId="6731001F" w:rsidR="00680527" w:rsidRDefault="00680527" w:rsidP="00680527">
      <w:pPr>
        <w:pStyle w:val="Heading3"/>
      </w:pPr>
      <w:r>
        <w:t>Introduction</w:t>
      </w:r>
    </w:p>
    <w:p w14:paraId="40C0E070" w14:textId="7F94303D" w:rsidR="00680527" w:rsidRPr="000636EC" w:rsidRDefault="00680527" w:rsidP="00680527">
      <w:pPr>
        <w:spacing w:after="240"/>
      </w:pPr>
      <w:r w:rsidRPr="000636EC">
        <w:t xml:space="preserve">This guide </w:t>
      </w:r>
      <w:r>
        <w:t xml:space="preserve">is designed to serve as a quick reference to support the release of student outcome data for the 2020–21 school year and is organized into </w:t>
      </w:r>
      <w:r w:rsidRPr="000636EC">
        <w:t>the following sections:</w:t>
      </w:r>
    </w:p>
    <w:p w14:paraId="02E62542" w14:textId="01EC28CD" w:rsidR="00680527" w:rsidRPr="00680527" w:rsidRDefault="00680527" w:rsidP="003E3901">
      <w:pPr>
        <w:pStyle w:val="ListParagraph"/>
        <w:numPr>
          <w:ilvl w:val="0"/>
          <w:numId w:val="6"/>
        </w:numPr>
        <w:spacing w:after="120"/>
        <w:ind w:left="576" w:hanging="288"/>
      </w:pPr>
      <w:r w:rsidRPr="00AD5F72">
        <w:rPr>
          <w:rStyle w:val="Strong"/>
        </w:rPr>
        <w:t>Crosswalk for Dashboard State Indicators:</w:t>
      </w:r>
      <w:r w:rsidRPr="00680527">
        <w:rPr>
          <w:rStyle w:val="Strong"/>
          <w:b w:val="0"/>
          <w:bCs w:val="0"/>
          <w:color w:val="auto"/>
        </w:rPr>
        <w:t xml:space="preserve"> This section identifies each Dashboard state indicator and reflects what and where the valid and reliable data associated with that indicator is reported (if applicable) and points to other reports that </w:t>
      </w:r>
      <w:r w:rsidR="000A6B6F">
        <w:t>LEAs</w:t>
      </w:r>
      <w:r w:rsidR="000A6B6F" w:rsidRPr="00680527">
        <w:rPr>
          <w:rStyle w:val="Strong"/>
          <w:b w:val="0"/>
          <w:bCs w:val="0"/>
          <w:color w:val="auto"/>
        </w:rPr>
        <w:t xml:space="preserve"> </w:t>
      </w:r>
      <w:r w:rsidRPr="00680527">
        <w:rPr>
          <w:rStyle w:val="Strong"/>
          <w:b w:val="0"/>
          <w:bCs w:val="0"/>
          <w:color w:val="auto"/>
        </w:rPr>
        <w:t>can run in relation to that indicator.</w:t>
      </w:r>
      <w:r w:rsidR="003E3901">
        <w:rPr>
          <w:rStyle w:val="Strong"/>
          <w:b w:val="0"/>
          <w:bCs w:val="0"/>
          <w:color w:val="auto"/>
        </w:rPr>
        <w:t xml:space="preserve"> Detailed information is provided for each indicator, including:</w:t>
      </w:r>
    </w:p>
    <w:p w14:paraId="5230169D" w14:textId="78B20644" w:rsidR="00680527" w:rsidRPr="00680527" w:rsidRDefault="002C604B" w:rsidP="00613B72">
      <w:pPr>
        <w:pStyle w:val="ListParagraph"/>
        <w:numPr>
          <w:ilvl w:val="1"/>
          <w:numId w:val="6"/>
        </w:numPr>
        <w:ind w:left="1008" w:hanging="288"/>
      </w:pPr>
      <w:r>
        <w:t>I</w:t>
      </w:r>
      <w:r w:rsidR="00680527" w:rsidRPr="00680527">
        <w:t>nstructions on how to run the reports</w:t>
      </w:r>
      <w:r w:rsidR="003E3901">
        <w:t>;</w:t>
      </w:r>
      <w:r w:rsidR="00F93C4E">
        <w:t xml:space="preserve"> and</w:t>
      </w:r>
    </w:p>
    <w:p w14:paraId="521DB47C" w14:textId="6BD152EC" w:rsidR="00680527" w:rsidRPr="00680527" w:rsidRDefault="002C604B" w:rsidP="00F379E1">
      <w:pPr>
        <w:pStyle w:val="ListParagraph"/>
        <w:numPr>
          <w:ilvl w:val="1"/>
          <w:numId w:val="6"/>
        </w:numPr>
        <w:ind w:left="1008" w:hanging="288"/>
      </w:pPr>
      <w:r>
        <w:t>D</w:t>
      </w:r>
      <w:r w:rsidR="00680527" w:rsidRPr="00680527">
        <w:t>ifferences between DataQuest</w:t>
      </w:r>
      <w:r w:rsidR="00F93C4E">
        <w:t xml:space="preserve">, </w:t>
      </w:r>
      <w:r w:rsidR="00680527" w:rsidRPr="00680527">
        <w:t>the data reported in the School Dashboard Additional Reports</w:t>
      </w:r>
      <w:r w:rsidR="00D75942">
        <w:t>,</w:t>
      </w:r>
      <w:r w:rsidR="00C24C4F">
        <w:t xml:space="preserve"> </w:t>
      </w:r>
      <w:r w:rsidR="00680527" w:rsidRPr="00680527">
        <w:t xml:space="preserve">and </w:t>
      </w:r>
      <w:r w:rsidR="00F93C4E" w:rsidRPr="00680527">
        <w:t>local data sources, such as local student information systems and files received from outside vendors (e.g., The College Board or Educational Testing Service).</w:t>
      </w:r>
    </w:p>
    <w:p w14:paraId="54E48BF6" w14:textId="7B07FD7F" w:rsidR="00680527" w:rsidRDefault="00680527" w:rsidP="00613B72">
      <w:pPr>
        <w:pStyle w:val="ListParagraph"/>
        <w:numPr>
          <w:ilvl w:val="0"/>
          <w:numId w:val="6"/>
        </w:numPr>
        <w:spacing w:before="120"/>
        <w:ind w:left="576" w:hanging="288"/>
        <w:rPr>
          <w:rStyle w:val="Strong"/>
          <w:b w:val="0"/>
          <w:bCs w:val="0"/>
          <w:color w:val="auto"/>
        </w:rPr>
      </w:pPr>
      <w:r w:rsidRPr="00AD5F72">
        <w:rPr>
          <w:rStyle w:val="Strong"/>
        </w:rPr>
        <w:t>Dashboard Local Indicators</w:t>
      </w:r>
      <w:r w:rsidRPr="00680527">
        <w:rPr>
          <w:rStyle w:val="Strong"/>
          <w:b w:val="0"/>
          <w:bCs w:val="0"/>
          <w:color w:val="auto"/>
        </w:rPr>
        <w:t>: This section notes the local data that</w:t>
      </w:r>
      <w:r w:rsidR="00AF3E54">
        <w:rPr>
          <w:rStyle w:val="Strong"/>
          <w:b w:val="0"/>
          <w:bCs w:val="0"/>
          <w:color w:val="auto"/>
        </w:rPr>
        <w:t xml:space="preserve"> </w:t>
      </w:r>
      <w:r w:rsidR="00AF3E54">
        <w:t>LEAs</w:t>
      </w:r>
      <w:r w:rsidR="00AF3E54" w:rsidRPr="00680527">
        <w:rPr>
          <w:rStyle w:val="Strong"/>
          <w:b w:val="0"/>
          <w:bCs w:val="0"/>
          <w:color w:val="auto"/>
        </w:rPr>
        <w:t xml:space="preserve"> </w:t>
      </w:r>
      <w:r w:rsidRPr="00680527">
        <w:rPr>
          <w:rStyle w:val="Strong"/>
          <w:b w:val="0"/>
          <w:bCs w:val="0"/>
          <w:color w:val="auto"/>
        </w:rPr>
        <w:t>uploaded to the Dashboard, including resources that</w:t>
      </w:r>
      <w:r w:rsidR="00AF3E54">
        <w:rPr>
          <w:rStyle w:val="Strong"/>
          <w:b w:val="0"/>
          <w:bCs w:val="0"/>
          <w:color w:val="auto"/>
        </w:rPr>
        <w:t xml:space="preserve"> </w:t>
      </w:r>
      <w:r w:rsidR="00206E61">
        <w:t>LEAs</w:t>
      </w:r>
      <w:r w:rsidRPr="00680527">
        <w:rPr>
          <w:rStyle w:val="Strong"/>
          <w:b w:val="0"/>
          <w:bCs w:val="0"/>
          <w:color w:val="auto"/>
        </w:rPr>
        <w:t xml:space="preserve"> can use.</w:t>
      </w:r>
    </w:p>
    <w:p w14:paraId="3C0F4E85" w14:textId="5CFE38F1" w:rsidR="00AF3E54" w:rsidRPr="00AF3E54" w:rsidRDefault="00AF3E54" w:rsidP="004333E4">
      <w:pPr>
        <w:pStyle w:val="Heading2"/>
        <w:shd w:val="clear" w:color="auto" w:fill="F2F2F2" w:themeFill="background1" w:themeFillShade="F2"/>
      </w:pPr>
      <w:r w:rsidRPr="00AF3E54">
        <w:lastRenderedPageBreak/>
        <w:t>Crosswalk for Dashboard State Indicators</w:t>
      </w:r>
    </w:p>
    <w:p w14:paraId="4DCAA5B4" w14:textId="7AB11BC0" w:rsidR="00B73326" w:rsidRDefault="00F00F08">
      <w:pPr>
        <w:pStyle w:val="Heading3"/>
      </w:pPr>
      <w:r>
        <w:t>Academic Indicator</w:t>
      </w:r>
    </w:p>
    <w:p w14:paraId="4FB0B783" w14:textId="70211B2B" w:rsidR="001F197F" w:rsidRDefault="001F197F" w:rsidP="00C1692C">
      <w:pPr>
        <w:widowControl w:val="0"/>
        <w:spacing w:after="240"/>
      </w:pPr>
      <w:r w:rsidRPr="000636EC">
        <w:t xml:space="preserve">This indicator is only reported for students in grades </w:t>
      </w:r>
      <w:r w:rsidRPr="001F197F">
        <w:t>three through eight and grade eleven</w:t>
      </w:r>
      <w:r w:rsidRPr="000636EC">
        <w:t xml:space="preserve"> and is based on results from the Smarter Balanced Summative Assessments in English </w:t>
      </w:r>
      <w:r w:rsidR="0078788C">
        <w:t>l</w:t>
      </w:r>
      <w:r w:rsidRPr="000636EC">
        <w:t xml:space="preserve">anguage </w:t>
      </w:r>
      <w:r w:rsidR="0078788C">
        <w:t>a</w:t>
      </w:r>
      <w:r w:rsidRPr="000636EC">
        <w:t>rts/</w:t>
      </w:r>
      <w:r w:rsidR="0078788C">
        <w:t>l</w:t>
      </w:r>
      <w:r w:rsidRPr="000636EC">
        <w:t>iteracy (ELA) and mathematics.</w:t>
      </w:r>
    </w:p>
    <w:p w14:paraId="2FAA4F07" w14:textId="77777777" w:rsidR="00180477" w:rsidRDefault="00180477" w:rsidP="00180477">
      <w:pPr>
        <w:pStyle w:val="Heading4"/>
        <w:widowControl w:val="0"/>
      </w:pPr>
      <w:r>
        <w:t>About Testing in 2020–21</w:t>
      </w:r>
    </w:p>
    <w:p w14:paraId="2F5A9ECA" w14:textId="492A63A5" w:rsidR="002D4142" w:rsidRDefault="00180477" w:rsidP="00180477">
      <w:r w:rsidRPr="000636EC">
        <w:t xml:space="preserve">Where </w:t>
      </w:r>
      <w:r w:rsidRPr="00181A4E">
        <w:t>COVID</w:t>
      </w:r>
      <w:r>
        <w:t>-</w:t>
      </w:r>
      <w:r w:rsidRPr="00181A4E">
        <w:t xml:space="preserve">19 </w:t>
      </w:r>
      <w:r w:rsidRPr="000636EC">
        <w:t>circumstances do not make the statewide assessments a viable option</w:t>
      </w:r>
      <w:r w:rsidR="00A439E2">
        <w:t>,</w:t>
      </w:r>
      <w:r w:rsidRPr="000636EC">
        <w:t xml:space="preserve"> LEAs were able to use a locally administered assessment</w:t>
      </w:r>
      <w:r w:rsidR="000B137D">
        <w:rPr>
          <w:b/>
        </w:rPr>
        <w:t>.</w:t>
      </w:r>
    </w:p>
    <w:p w14:paraId="1CB33E1E" w14:textId="77777777" w:rsidR="00A72497" w:rsidRPr="002D4142" w:rsidRDefault="00A72497" w:rsidP="00180477"/>
    <w:tbl>
      <w:tblPr>
        <w:tblStyle w:val="GridTable5Dark-Accent1"/>
        <w:tblW w:w="9735" w:type="dxa"/>
        <w:tblLayout w:type="fixed"/>
        <w:tblCellMar>
          <w:top w:w="58" w:type="dxa"/>
          <w:bottom w:w="58" w:type="dxa"/>
        </w:tblCellMar>
        <w:tblLook w:val="0620" w:firstRow="1" w:lastRow="0" w:firstColumn="0" w:lastColumn="0" w:noHBand="1" w:noVBand="1"/>
        <w:tblDescription w:val="Additional Reports to run and Data link for Run for Axademic Indicator."/>
      </w:tblPr>
      <w:tblGrid>
        <w:gridCol w:w="2065"/>
        <w:gridCol w:w="7670"/>
      </w:tblGrid>
      <w:tr w:rsidR="00792512" w14:paraId="6EFFA628" w14:textId="77777777" w:rsidTr="00B30077">
        <w:trPr>
          <w:cnfStyle w:val="100000000000" w:firstRow="1" w:lastRow="0" w:firstColumn="0" w:lastColumn="0" w:oddVBand="0" w:evenVBand="0" w:oddHBand="0" w:evenHBand="0" w:firstRowFirstColumn="0" w:firstRowLastColumn="0" w:lastRowFirstColumn="0" w:lastRowLastColumn="0"/>
          <w:cantSplit/>
          <w:trHeight w:val="985"/>
          <w:tblHeader/>
        </w:trPr>
        <w:tc>
          <w:tcPr>
            <w:tcW w:w="2065" w:type="dxa"/>
          </w:tcPr>
          <w:p w14:paraId="7243BAB6" w14:textId="0975DA16" w:rsidR="00B73326" w:rsidRPr="005A1D12" w:rsidRDefault="00580F88" w:rsidP="003B63C4">
            <w:pPr>
              <w:widowControl w:val="0"/>
              <w:pBdr>
                <w:top w:val="nil"/>
                <w:left w:val="nil"/>
                <w:bottom w:val="nil"/>
                <w:right w:val="nil"/>
                <w:between w:val="nil"/>
              </w:pBdr>
              <w:spacing w:line="216" w:lineRule="auto"/>
              <w:rPr>
                <w:rStyle w:val="Strong"/>
                <w:b/>
                <w:bCs/>
                <w:color w:val="FFFFFF" w:themeColor="background1"/>
              </w:rPr>
            </w:pPr>
            <w:r w:rsidRPr="005A1D12">
              <w:rPr>
                <w:rStyle w:val="Strong"/>
                <w:b/>
                <w:bCs/>
                <w:color w:val="FFFFFF" w:themeColor="background1"/>
              </w:rPr>
              <w:t xml:space="preserve">State Indicator </w:t>
            </w:r>
            <w:r w:rsidR="002C604B" w:rsidRPr="005A1D12">
              <w:rPr>
                <w:rStyle w:val="Strong"/>
                <w:b/>
                <w:bCs/>
                <w:color w:val="FFFFFF" w:themeColor="background1"/>
              </w:rPr>
              <w:t xml:space="preserve">Reported </w:t>
            </w:r>
            <w:r w:rsidR="00F00F08" w:rsidRPr="005A1D12">
              <w:rPr>
                <w:rStyle w:val="Strong"/>
                <w:b/>
                <w:bCs/>
                <w:color w:val="FFFFFF" w:themeColor="background1"/>
              </w:rPr>
              <w:t>on the Dashboard</w:t>
            </w:r>
            <w:r w:rsidRPr="005A1D12">
              <w:rPr>
                <w:rStyle w:val="Strong"/>
                <w:b/>
                <w:bCs/>
                <w:color w:val="FFFFFF" w:themeColor="background1"/>
              </w:rPr>
              <w:t>?</w:t>
            </w:r>
          </w:p>
        </w:tc>
        <w:tc>
          <w:tcPr>
            <w:tcW w:w="7670" w:type="dxa"/>
          </w:tcPr>
          <w:p w14:paraId="2B5ECD88" w14:textId="662BA62D" w:rsidR="00B73326" w:rsidRPr="005A1D12" w:rsidRDefault="00C1692C" w:rsidP="003B63C4">
            <w:pPr>
              <w:widowControl w:val="0"/>
              <w:pBdr>
                <w:top w:val="nil"/>
                <w:left w:val="nil"/>
                <w:bottom w:val="nil"/>
                <w:right w:val="nil"/>
                <w:between w:val="nil"/>
              </w:pBdr>
              <w:spacing w:line="216" w:lineRule="auto"/>
              <w:rPr>
                <w:rStyle w:val="Strong"/>
                <w:b/>
                <w:bCs/>
                <w:color w:val="FFFFFF" w:themeColor="background1"/>
              </w:rPr>
            </w:pPr>
            <w:r w:rsidRPr="005A1D12">
              <w:rPr>
                <w:rStyle w:val="Strong"/>
                <w:b/>
                <w:bCs/>
                <w:color w:val="FFFFFF" w:themeColor="background1"/>
              </w:rPr>
              <w:t>Other</w:t>
            </w:r>
            <w:r w:rsidR="00F00F08" w:rsidRPr="005A1D12">
              <w:rPr>
                <w:rStyle w:val="Strong"/>
                <w:b/>
                <w:bCs/>
                <w:color w:val="FFFFFF" w:themeColor="background1"/>
              </w:rPr>
              <w:t xml:space="preserve"> Reports to Run</w:t>
            </w:r>
          </w:p>
        </w:tc>
      </w:tr>
      <w:tr w:rsidR="00B73326" w14:paraId="2E6A79B1" w14:textId="77777777" w:rsidTr="00B30077">
        <w:trPr>
          <w:cantSplit/>
          <w:trHeight w:val="2830"/>
        </w:trPr>
        <w:tc>
          <w:tcPr>
            <w:tcW w:w="2065" w:type="dxa"/>
            <w:tcMar>
              <w:top w:w="72" w:type="dxa"/>
              <w:left w:w="115" w:type="dxa"/>
              <w:bottom w:w="72" w:type="dxa"/>
              <w:right w:w="115" w:type="dxa"/>
            </w:tcMar>
          </w:tcPr>
          <w:p w14:paraId="60963EDF" w14:textId="19DEA58E" w:rsidR="00B73326" w:rsidRDefault="00EB20B8">
            <w:pPr>
              <w:widowControl w:val="0"/>
              <w:pBdr>
                <w:top w:val="nil"/>
                <w:left w:val="nil"/>
                <w:bottom w:val="nil"/>
                <w:right w:val="nil"/>
                <w:between w:val="nil"/>
              </w:pBdr>
            </w:pPr>
            <w:r w:rsidRPr="005A1D12">
              <w:t>N</w:t>
            </w:r>
            <w:r w:rsidR="00F00F08" w:rsidRPr="005A1D12">
              <w:t>o</w:t>
            </w:r>
          </w:p>
        </w:tc>
        <w:tc>
          <w:tcPr>
            <w:tcW w:w="7670" w:type="dxa"/>
            <w:tcMar>
              <w:top w:w="72" w:type="dxa"/>
              <w:left w:w="115" w:type="dxa"/>
              <w:bottom w:w="72" w:type="dxa"/>
              <w:right w:w="115" w:type="dxa"/>
            </w:tcMar>
          </w:tcPr>
          <w:p w14:paraId="4B30C18E" w14:textId="39FAE283" w:rsidR="00C1692C" w:rsidRPr="000636EC" w:rsidRDefault="00C1692C" w:rsidP="00C1692C">
            <w:pPr>
              <w:pStyle w:val="ListParagraph"/>
            </w:pPr>
            <w:r w:rsidRPr="000636EC">
              <w:t xml:space="preserve">Student Score Data Files in </w:t>
            </w:r>
            <w:r w:rsidR="00E607AD">
              <w:t>the</w:t>
            </w:r>
            <w:r w:rsidR="00020868">
              <w:t xml:space="preserve"> Test Operations Management System</w:t>
            </w:r>
            <w:r w:rsidR="00E607AD">
              <w:t xml:space="preserve"> </w:t>
            </w:r>
            <w:r w:rsidR="00020868">
              <w:t>(</w:t>
            </w:r>
            <w:r w:rsidRPr="000636EC">
              <w:t>TOMS</w:t>
            </w:r>
            <w:r w:rsidR="00020868">
              <w:t>)</w:t>
            </w:r>
            <w:r w:rsidRPr="000636EC">
              <w:t xml:space="preserve"> if </w:t>
            </w:r>
            <w:r w:rsidRPr="00E55817">
              <w:t xml:space="preserve">California Assessment of Student Performance and Progress </w:t>
            </w:r>
            <w:r w:rsidRPr="000636EC">
              <w:t>(CAASPP) assessments were administered.</w:t>
            </w:r>
          </w:p>
          <w:p w14:paraId="287E33C9" w14:textId="4BA6C7BE" w:rsidR="00C1692C" w:rsidRPr="00C1692C" w:rsidRDefault="00C1692C" w:rsidP="00C1692C">
            <w:pPr>
              <w:pStyle w:val="ListParagraph"/>
            </w:pPr>
            <w:r w:rsidRPr="000636EC">
              <w:t xml:space="preserve">Local assessment data files if local assessments were administered or assessment data reported in </w:t>
            </w:r>
            <w:r w:rsidR="00A72497">
              <w:t xml:space="preserve">the </w:t>
            </w:r>
            <w:r w:rsidRPr="00C1692C">
              <w:rPr>
                <w:bCs/>
                <w:color w:val="000000"/>
                <w:szCs w:val="20"/>
              </w:rPr>
              <w:t>School Accountability Report Card</w:t>
            </w:r>
            <w:r w:rsidRPr="00C1692C">
              <w:rPr>
                <w:b/>
                <w:bCs/>
                <w:color w:val="000000"/>
                <w:szCs w:val="20"/>
              </w:rPr>
              <w:t xml:space="preserve"> </w:t>
            </w:r>
            <w:r w:rsidRPr="00C1692C">
              <w:t>(SARC)</w:t>
            </w:r>
            <w:r>
              <w:t>.</w:t>
            </w:r>
          </w:p>
          <w:p w14:paraId="5DE4D273" w14:textId="6E1E87A6" w:rsidR="00B73326" w:rsidRDefault="00C1692C" w:rsidP="00C1692C">
            <w:pPr>
              <w:pStyle w:val="ListParagraph"/>
            </w:pPr>
            <w:r w:rsidRPr="000636EC">
              <w:t>LEA, school, and student</w:t>
            </w:r>
            <w:r w:rsidR="00A72497">
              <w:t xml:space="preserve"> group</w:t>
            </w:r>
            <w:r w:rsidRPr="000636EC">
              <w:t xml:space="preserve"> CAASPP results if </w:t>
            </w:r>
            <w:r w:rsidRPr="00E55817">
              <w:t xml:space="preserve">the </w:t>
            </w:r>
            <w:r w:rsidRPr="000636EC">
              <w:t>LEA administered the test to their students</w:t>
            </w:r>
            <w:r>
              <w:t>.</w:t>
            </w:r>
          </w:p>
        </w:tc>
      </w:tr>
    </w:tbl>
    <w:p w14:paraId="702074EB" w14:textId="2EFB49AC" w:rsidR="00835502" w:rsidRDefault="00835502" w:rsidP="0088357F">
      <w:pPr>
        <w:pStyle w:val="Heading4"/>
      </w:pPr>
      <w:bookmarkStart w:id="0" w:name="_20qx0wncvijm" w:colFirst="0" w:colLast="0"/>
      <w:bookmarkEnd w:id="0"/>
      <w:r>
        <w:t xml:space="preserve">How to Run the TOMS </w:t>
      </w:r>
      <w:r w:rsidRPr="00855E47">
        <w:t>Report</w:t>
      </w:r>
    </w:p>
    <w:p w14:paraId="47FB9D66" w14:textId="5F93B761" w:rsidR="00181A4E" w:rsidRPr="00181A4E" w:rsidRDefault="00181A4E" w:rsidP="00613B72">
      <w:pPr>
        <w:pStyle w:val="ListParagraph"/>
        <w:numPr>
          <w:ilvl w:val="0"/>
          <w:numId w:val="2"/>
        </w:numPr>
      </w:pPr>
      <w:r w:rsidRPr="00181A4E">
        <w:t xml:space="preserve">Navigate to the CAASPP website </w:t>
      </w:r>
      <w:r w:rsidR="002C6261">
        <w:t xml:space="preserve">at </w:t>
      </w:r>
      <w:hyperlink r:id="rId7" w:tooltip="CAASPP website " w:history="1">
        <w:r w:rsidR="00592BA1" w:rsidRPr="00E020D9">
          <w:rPr>
            <w:rStyle w:val="Hyperlink"/>
          </w:rPr>
          <w:t>https://www.caaspp.org/</w:t>
        </w:r>
      </w:hyperlink>
    </w:p>
    <w:p w14:paraId="2E0432C1" w14:textId="77777777" w:rsidR="00835502" w:rsidRPr="00855E47" w:rsidRDefault="00835502" w:rsidP="00613B72">
      <w:pPr>
        <w:pStyle w:val="ListParagraph"/>
        <w:numPr>
          <w:ilvl w:val="0"/>
          <w:numId w:val="2"/>
        </w:numPr>
      </w:pPr>
      <w:r w:rsidRPr="00855E47">
        <w:t>Select the TOMS button</w:t>
      </w:r>
    </w:p>
    <w:p w14:paraId="721BEF20" w14:textId="48283005" w:rsidR="00835502" w:rsidRPr="00855E47" w:rsidRDefault="00835502" w:rsidP="00613B72">
      <w:pPr>
        <w:pStyle w:val="ListParagraph"/>
        <w:numPr>
          <w:ilvl w:val="0"/>
          <w:numId w:val="2"/>
        </w:numPr>
      </w:pPr>
      <w:r w:rsidRPr="00855E47">
        <w:t>Log</w:t>
      </w:r>
      <w:r w:rsidR="00844124">
        <w:t xml:space="preserve"> </w:t>
      </w:r>
      <w:r w:rsidRPr="00855E47">
        <w:t>on to the TOMS system</w:t>
      </w:r>
    </w:p>
    <w:p w14:paraId="34B196BC" w14:textId="77777777" w:rsidR="00835502" w:rsidRPr="00855E47" w:rsidRDefault="00835502" w:rsidP="00613B72">
      <w:pPr>
        <w:pStyle w:val="ListParagraph"/>
        <w:numPr>
          <w:ilvl w:val="0"/>
          <w:numId w:val="2"/>
        </w:numPr>
      </w:pPr>
      <w:r w:rsidRPr="00855E47">
        <w:t>Select your Role</w:t>
      </w:r>
    </w:p>
    <w:p w14:paraId="1BF08ABB" w14:textId="77777777" w:rsidR="00835502" w:rsidRPr="00855E47" w:rsidRDefault="00835502" w:rsidP="00613B72">
      <w:pPr>
        <w:pStyle w:val="ListParagraph"/>
        <w:numPr>
          <w:ilvl w:val="0"/>
          <w:numId w:val="2"/>
        </w:numPr>
      </w:pPr>
      <w:r w:rsidRPr="00855E47">
        <w:t>Select the Reports link in the upper navigation bar</w:t>
      </w:r>
    </w:p>
    <w:p w14:paraId="61F1D319" w14:textId="71790D8F" w:rsidR="00181A4E" w:rsidRDefault="00181A4E" w:rsidP="00613B72">
      <w:pPr>
        <w:numPr>
          <w:ilvl w:val="0"/>
          <w:numId w:val="2"/>
        </w:numPr>
      </w:pPr>
      <w:bookmarkStart w:id="1" w:name="_yqzykx7efspb" w:colFirst="0" w:colLast="0"/>
      <w:bookmarkEnd w:id="1"/>
      <w:r w:rsidRPr="000636EC">
        <w:t xml:space="preserve">Select the </w:t>
      </w:r>
      <w:r>
        <w:t>desired</w:t>
      </w:r>
      <w:r w:rsidRPr="003E757E">
        <w:t xml:space="preserve"> </w:t>
      </w:r>
      <w:r w:rsidRPr="000636EC">
        <w:t>report</w:t>
      </w:r>
    </w:p>
    <w:p w14:paraId="3875AC2A" w14:textId="471E9AC1" w:rsidR="00181A4E" w:rsidRPr="000636EC" w:rsidRDefault="00181A4E" w:rsidP="0094032C">
      <w:pPr>
        <w:pStyle w:val="Heading4"/>
      </w:pPr>
      <w:r w:rsidRPr="000636EC">
        <w:t>How to Run the CAASPP Report</w:t>
      </w:r>
    </w:p>
    <w:p w14:paraId="4FC0C934" w14:textId="0C33727D" w:rsidR="00181A4E" w:rsidRPr="003B1874" w:rsidRDefault="00181A4E" w:rsidP="00613B72">
      <w:pPr>
        <w:pStyle w:val="ListParagraph"/>
        <w:numPr>
          <w:ilvl w:val="0"/>
          <w:numId w:val="8"/>
        </w:numPr>
        <w:ind w:left="720"/>
      </w:pPr>
      <w:r w:rsidRPr="003B1874">
        <w:t xml:space="preserve">Navigate to the </w:t>
      </w:r>
      <w:r w:rsidR="00A828C1">
        <w:t>CDE</w:t>
      </w:r>
      <w:r w:rsidRPr="003B1874">
        <w:t xml:space="preserve"> </w:t>
      </w:r>
      <w:r w:rsidR="000017A9" w:rsidRPr="000017A9">
        <w:t>Test Results for California's Assessments</w:t>
      </w:r>
      <w:r w:rsidR="000017A9" w:rsidRPr="000017A9" w:rsidDel="000017A9">
        <w:t xml:space="preserve"> </w:t>
      </w:r>
      <w:r w:rsidR="000017A9">
        <w:t>web page</w:t>
      </w:r>
      <w:r w:rsidRPr="003B1874">
        <w:t xml:space="preserve"> </w:t>
      </w:r>
      <w:r w:rsidR="002C6261">
        <w:t>at</w:t>
      </w:r>
      <w:r w:rsidR="000017A9">
        <w:t xml:space="preserve"> </w:t>
      </w:r>
      <w:hyperlink r:id="rId8" w:tooltip="CDE Test Results for California's Assessments web page" w:history="1">
        <w:r w:rsidR="00465771" w:rsidRPr="00465771">
          <w:rPr>
            <w:rStyle w:val="Hyperlink"/>
          </w:rPr>
          <w:t>https://caaspp-elpac.cde.ca.gov/caaspp/</w:t>
        </w:r>
      </w:hyperlink>
    </w:p>
    <w:p w14:paraId="31F39EB7" w14:textId="5DE75F2F" w:rsidR="00181A4E" w:rsidRPr="003B1874" w:rsidRDefault="00181A4E" w:rsidP="00613B72">
      <w:pPr>
        <w:pStyle w:val="ListParagraph"/>
        <w:numPr>
          <w:ilvl w:val="0"/>
          <w:numId w:val="8"/>
        </w:numPr>
        <w:ind w:left="720"/>
      </w:pPr>
      <w:r w:rsidRPr="003B1874">
        <w:t>Select the E</w:t>
      </w:r>
      <w:r w:rsidR="0014471B">
        <w:t>nglish Language Arts/Literacy</w:t>
      </w:r>
      <w:r w:rsidRPr="003B1874">
        <w:t xml:space="preserve"> and </w:t>
      </w:r>
      <w:r w:rsidR="0014471B">
        <w:t>M</w:t>
      </w:r>
      <w:r w:rsidR="003B1874" w:rsidRPr="000636EC">
        <w:t>athematics</w:t>
      </w:r>
      <w:r w:rsidR="003B1874">
        <w:t xml:space="preserve"> </w:t>
      </w:r>
      <w:r w:rsidRPr="003B1874">
        <w:t xml:space="preserve">button or the Alternate </w:t>
      </w:r>
      <w:r w:rsidR="0014471B" w:rsidRPr="003B1874">
        <w:t>E</w:t>
      </w:r>
      <w:r w:rsidR="0014471B">
        <w:t>nglish Language Arts/Literacy</w:t>
      </w:r>
      <w:r w:rsidR="0014471B" w:rsidRPr="003B1874">
        <w:t xml:space="preserve"> and </w:t>
      </w:r>
      <w:r w:rsidR="0014471B">
        <w:t>M</w:t>
      </w:r>
      <w:r w:rsidR="0014471B" w:rsidRPr="000636EC">
        <w:t>athematics</w:t>
      </w:r>
      <w:r w:rsidR="0014471B" w:rsidRPr="003B1874">
        <w:t xml:space="preserve"> </w:t>
      </w:r>
      <w:r w:rsidRPr="003B1874">
        <w:t>button</w:t>
      </w:r>
    </w:p>
    <w:p w14:paraId="4AAD9041" w14:textId="00FFB5A4" w:rsidR="00181A4E" w:rsidRPr="003B1874" w:rsidRDefault="00181A4E" w:rsidP="00613B72">
      <w:pPr>
        <w:pStyle w:val="ListParagraph"/>
        <w:numPr>
          <w:ilvl w:val="0"/>
          <w:numId w:val="8"/>
        </w:numPr>
        <w:ind w:left="720"/>
      </w:pPr>
      <w:r w:rsidRPr="003B1874">
        <w:t xml:space="preserve">Enter a school, district, county, ZIP, or </w:t>
      </w:r>
      <w:r w:rsidR="00003F28" w:rsidRPr="00003F28">
        <w:t>county-district-school (CDS)</w:t>
      </w:r>
      <w:r w:rsidRPr="003B1874">
        <w:t xml:space="preserve"> code in the search box</w:t>
      </w:r>
    </w:p>
    <w:p w14:paraId="14839DDD" w14:textId="1E9F68E3" w:rsidR="0094032C" w:rsidRDefault="0094032C" w:rsidP="0094032C">
      <w:pPr>
        <w:pStyle w:val="Heading4"/>
      </w:pPr>
      <w:r w:rsidRPr="000636EC">
        <w:lastRenderedPageBreak/>
        <w:t xml:space="preserve">What </w:t>
      </w:r>
      <w:r w:rsidR="009F02EC">
        <w:t>I</w:t>
      </w:r>
      <w:r w:rsidRPr="000636EC">
        <w:t xml:space="preserve">s Different Between the TOMS </w:t>
      </w:r>
      <w:r w:rsidR="00AB53D2">
        <w:t>F</w:t>
      </w:r>
      <w:r w:rsidRPr="000636EC">
        <w:t xml:space="preserve">ile, CAASPP </w:t>
      </w:r>
      <w:r w:rsidR="00A72497">
        <w:t>R</w:t>
      </w:r>
      <w:r w:rsidRPr="000636EC">
        <w:t xml:space="preserve">eport, and </w:t>
      </w:r>
      <w:r w:rsidR="00AB53D2">
        <w:t>L</w:t>
      </w:r>
      <w:r w:rsidRPr="000636EC">
        <w:t xml:space="preserve">ocal </w:t>
      </w:r>
      <w:r w:rsidR="00AB53D2">
        <w:t>F</w:t>
      </w:r>
      <w:r w:rsidRPr="000636EC">
        <w:t>iles</w:t>
      </w:r>
    </w:p>
    <w:p w14:paraId="06AB25A9" w14:textId="0DD6B534" w:rsidR="0094032C" w:rsidRPr="000636EC" w:rsidRDefault="0094032C" w:rsidP="0094032C">
      <w:r w:rsidRPr="000636EC">
        <w:t>The TOMS file lists individual student results for all students who took the statewide assessments in ELA and mathematics. The CAASPP web site reflects aggregated results at the LEA, school, and student group levels</w:t>
      </w:r>
      <w:r w:rsidR="00A72497">
        <w:t xml:space="preserve"> in ELA and mathematics</w:t>
      </w:r>
      <w:r w:rsidRPr="000636EC">
        <w:t>. Local files show individual student results, but the information in these reports will vary depending on which local assessment was given.</w:t>
      </w:r>
    </w:p>
    <w:p w14:paraId="5A072C9D" w14:textId="32DDDF97" w:rsidR="00835502" w:rsidRDefault="00835502" w:rsidP="00835502">
      <w:pPr>
        <w:pStyle w:val="Heading4"/>
      </w:pPr>
      <w:r>
        <w:t>Additional Local Data Sources</w:t>
      </w:r>
    </w:p>
    <w:p w14:paraId="60476710" w14:textId="77777777" w:rsidR="00835502" w:rsidRPr="00855E47" w:rsidRDefault="00835502" w:rsidP="00855E47">
      <w:pPr>
        <w:pStyle w:val="ListParagraph"/>
      </w:pPr>
      <w:r w:rsidRPr="00855E47">
        <w:t>Smarter Balanced Interim Assessment scores</w:t>
      </w:r>
    </w:p>
    <w:p w14:paraId="2581DCE8" w14:textId="75C7E053" w:rsidR="00835502" w:rsidRPr="00855E47" w:rsidRDefault="00835502" w:rsidP="00855E47">
      <w:pPr>
        <w:pStyle w:val="ListParagraph"/>
      </w:pPr>
      <w:r w:rsidRPr="00855E47">
        <w:t>Common unit or benchmark assessments</w:t>
      </w:r>
    </w:p>
    <w:p w14:paraId="45CB5511" w14:textId="7CDF2C84" w:rsidR="00B73326" w:rsidRDefault="00F00F08">
      <w:pPr>
        <w:pStyle w:val="Heading3"/>
      </w:pPr>
      <w:r>
        <w:t>English Learner Progress Indicator (ELPI)</w:t>
      </w:r>
    </w:p>
    <w:p w14:paraId="383F403C" w14:textId="38769F28" w:rsidR="00E90A30" w:rsidRDefault="00E90A30" w:rsidP="00E90A30">
      <w:pPr>
        <w:widowControl w:val="0"/>
      </w:pPr>
      <w:r w:rsidRPr="000636EC">
        <w:t xml:space="preserve">This indicator is reported for students who took the English Language Proficiency Assessments for California (ELPAC) Summative Assessment in grades </w:t>
      </w:r>
      <w:r w:rsidRPr="00E90A30">
        <w:t>one through twelve</w:t>
      </w:r>
      <w:r>
        <w:t xml:space="preserve"> </w:t>
      </w:r>
      <w:r w:rsidRPr="000636EC">
        <w:t>with an overall performance level in both the current and prior year. Since this indicator is a comparison of growth from one year to the next, kindergarten</w:t>
      </w:r>
      <w:r>
        <w:t xml:space="preserve"> </w:t>
      </w:r>
      <w:r w:rsidRPr="000636EC">
        <w:t>is not included.</w:t>
      </w:r>
    </w:p>
    <w:p w14:paraId="0DAE9B21" w14:textId="77777777" w:rsidR="00230D98" w:rsidRPr="00D67BC9" w:rsidRDefault="00230D98" w:rsidP="005914F9">
      <w:pPr>
        <w:pStyle w:val="Heading4"/>
        <w:spacing w:after="0"/>
      </w:pPr>
      <w:r>
        <w:t>About Testing in 2020–21</w:t>
      </w:r>
    </w:p>
    <w:p w14:paraId="3E5EF354" w14:textId="2CBBDBA9" w:rsidR="00230D98" w:rsidRPr="00F827C7" w:rsidRDefault="00230D98" w:rsidP="00C041A1">
      <w:pPr>
        <w:spacing w:after="240"/>
        <w:rPr>
          <w:b/>
        </w:rPr>
      </w:pPr>
      <w:r w:rsidRPr="00F827C7">
        <w:t xml:space="preserve">California was required to test </w:t>
      </w:r>
      <w:r w:rsidR="007A5FBB">
        <w:t>English learner (</w:t>
      </w:r>
      <w:r w:rsidRPr="00F827C7">
        <w:t>EL</w:t>
      </w:r>
      <w:r w:rsidR="007A5FBB">
        <w:t>)</w:t>
      </w:r>
      <w:r w:rsidRPr="00F827C7">
        <w:t xml:space="preserve"> students using the Summative ELPAC.</w:t>
      </w:r>
    </w:p>
    <w:tbl>
      <w:tblPr>
        <w:tblStyle w:val="GridTable5Dark-Accent1"/>
        <w:tblW w:w="9355" w:type="dxa"/>
        <w:tblLayout w:type="fixed"/>
        <w:tblCellMar>
          <w:top w:w="58" w:type="dxa"/>
          <w:bottom w:w="58" w:type="dxa"/>
        </w:tblCellMar>
        <w:tblLook w:val="0620" w:firstRow="1" w:lastRow="0" w:firstColumn="0" w:lastColumn="0" w:noHBand="1" w:noVBand="1"/>
        <w:tblDescription w:val="Additional Reports to run and Data link for Run for ELPI."/>
      </w:tblPr>
      <w:tblGrid>
        <w:gridCol w:w="2065"/>
        <w:gridCol w:w="7290"/>
      </w:tblGrid>
      <w:tr w:rsidR="00B73326" w14:paraId="6709B519" w14:textId="77777777" w:rsidTr="00B30077">
        <w:trPr>
          <w:cnfStyle w:val="100000000000" w:firstRow="1" w:lastRow="0" w:firstColumn="0" w:lastColumn="0" w:oddVBand="0" w:evenVBand="0" w:oddHBand="0" w:evenHBand="0" w:firstRowFirstColumn="0" w:firstRowLastColumn="0" w:lastRowFirstColumn="0" w:lastRowLastColumn="0"/>
          <w:cantSplit/>
          <w:trHeight w:val="895"/>
          <w:tblHeader/>
        </w:trPr>
        <w:tc>
          <w:tcPr>
            <w:tcW w:w="2065" w:type="dxa"/>
          </w:tcPr>
          <w:p w14:paraId="248B37E2" w14:textId="1813CFB2" w:rsidR="00B73326" w:rsidRPr="005A1D12" w:rsidRDefault="00230D98" w:rsidP="003B63C4">
            <w:pPr>
              <w:widowControl w:val="0"/>
              <w:spacing w:line="216" w:lineRule="auto"/>
            </w:pPr>
            <w:r w:rsidRPr="005A1D12">
              <w:t xml:space="preserve">State Indicator </w:t>
            </w:r>
            <w:r w:rsidR="00580F88" w:rsidRPr="005A1D12">
              <w:t xml:space="preserve">Reported </w:t>
            </w:r>
            <w:r w:rsidR="00F00F08" w:rsidRPr="005A1D12">
              <w:t>on the Dashboard</w:t>
            </w:r>
            <w:r w:rsidRPr="005A1D12">
              <w:t>?</w:t>
            </w:r>
          </w:p>
        </w:tc>
        <w:tc>
          <w:tcPr>
            <w:tcW w:w="7290" w:type="dxa"/>
          </w:tcPr>
          <w:p w14:paraId="0BEB9041" w14:textId="3FE9520A" w:rsidR="00B73326" w:rsidRPr="005A1D12" w:rsidRDefault="00307088" w:rsidP="003B63C4">
            <w:pPr>
              <w:widowControl w:val="0"/>
              <w:spacing w:line="216" w:lineRule="auto"/>
            </w:pPr>
            <w:r w:rsidRPr="005A1D12">
              <w:t xml:space="preserve">Other </w:t>
            </w:r>
            <w:r w:rsidR="00F00F08" w:rsidRPr="005A1D12">
              <w:t>Reports to Run</w:t>
            </w:r>
          </w:p>
        </w:tc>
      </w:tr>
      <w:tr w:rsidR="00B73326" w14:paraId="5DD7784E" w14:textId="77777777" w:rsidTr="00B30077">
        <w:trPr>
          <w:cantSplit/>
          <w:trHeight w:val="1768"/>
        </w:trPr>
        <w:tc>
          <w:tcPr>
            <w:tcW w:w="2065" w:type="dxa"/>
          </w:tcPr>
          <w:p w14:paraId="7A7575B7" w14:textId="2C686622" w:rsidR="00B73326" w:rsidRDefault="00F00F08">
            <w:pPr>
              <w:widowControl w:val="0"/>
            </w:pPr>
            <w:r>
              <w:t>No</w:t>
            </w:r>
          </w:p>
        </w:tc>
        <w:tc>
          <w:tcPr>
            <w:tcW w:w="7290" w:type="dxa"/>
          </w:tcPr>
          <w:p w14:paraId="1EAB1230" w14:textId="530DA5CC" w:rsidR="00D67BC9" w:rsidRPr="000636EC" w:rsidRDefault="00D67BC9" w:rsidP="00D67BC9">
            <w:pPr>
              <w:pStyle w:val="ListParagraph"/>
            </w:pPr>
            <w:r w:rsidRPr="000636EC">
              <w:t xml:space="preserve">Summative ELPAC student score data file in </w:t>
            </w:r>
            <w:r w:rsidR="0090728D">
              <w:t xml:space="preserve">the </w:t>
            </w:r>
            <w:r w:rsidRPr="000636EC">
              <w:t>TOMS</w:t>
            </w:r>
            <w:r w:rsidR="00B24318">
              <w:t>—</w:t>
            </w:r>
            <w:r w:rsidRPr="000636EC">
              <w:t>percen</w:t>
            </w:r>
            <w:r w:rsidR="00B24C05">
              <w:t>tage</w:t>
            </w:r>
            <w:r w:rsidRPr="000636EC">
              <w:t xml:space="preserve"> of students at each ELPAC level disaggregated as needed</w:t>
            </w:r>
          </w:p>
          <w:p w14:paraId="23E579EE" w14:textId="046AA487" w:rsidR="00D67BC9" w:rsidRPr="000636EC" w:rsidRDefault="00D67BC9" w:rsidP="00D67BC9">
            <w:pPr>
              <w:pStyle w:val="ListParagraph"/>
            </w:pPr>
            <w:r w:rsidRPr="000636EC">
              <w:t>Check assessments reported in SARC</w:t>
            </w:r>
          </w:p>
          <w:p w14:paraId="227AD8AF" w14:textId="0A06B1FA" w:rsidR="00B73326" w:rsidRDefault="00D67BC9" w:rsidP="00D67BC9">
            <w:pPr>
              <w:pStyle w:val="ListParagraph"/>
            </w:pPr>
            <w:r w:rsidRPr="00E55817">
              <w:t>LEA, school, and student</w:t>
            </w:r>
            <w:r w:rsidR="00230D98">
              <w:t xml:space="preserve"> group </w:t>
            </w:r>
            <w:r w:rsidRPr="00E55817">
              <w:t>ELPAC Summative results</w:t>
            </w:r>
          </w:p>
        </w:tc>
      </w:tr>
    </w:tbl>
    <w:p w14:paraId="6B284ED7" w14:textId="03767F42" w:rsidR="0033253F" w:rsidRDefault="00F93C4E" w:rsidP="005914F9">
      <w:pPr>
        <w:pStyle w:val="Heading4"/>
        <w:keepLines w:val="0"/>
      </w:pPr>
      <w:bookmarkStart w:id="2" w:name="_wo0uv5114qt2" w:colFirst="0" w:colLast="0"/>
      <w:bookmarkEnd w:id="2"/>
      <w:r>
        <w:t xml:space="preserve"> </w:t>
      </w:r>
      <w:r w:rsidR="0033253F">
        <w:t>How to Run the</w:t>
      </w:r>
      <w:r w:rsidR="0021238C">
        <w:t xml:space="preserve"> </w:t>
      </w:r>
      <w:r w:rsidR="0021238C" w:rsidRPr="0021238C">
        <w:t>TOMS</w:t>
      </w:r>
      <w:r w:rsidR="0033253F">
        <w:t xml:space="preserve"> Report</w:t>
      </w:r>
    </w:p>
    <w:p w14:paraId="37D4F387" w14:textId="12EDD3B4" w:rsidR="00947B87" w:rsidRPr="003B1874" w:rsidRDefault="00947B87" w:rsidP="00613B72">
      <w:pPr>
        <w:pStyle w:val="ListParagraph"/>
        <w:numPr>
          <w:ilvl w:val="0"/>
          <w:numId w:val="15"/>
        </w:numPr>
        <w:ind w:left="576" w:hanging="288"/>
      </w:pPr>
      <w:r w:rsidRPr="003B1874">
        <w:t xml:space="preserve">Navigate to the </w:t>
      </w:r>
      <w:r w:rsidR="00ED34EE">
        <w:t xml:space="preserve">ELPAC website at </w:t>
      </w:r>
      <w:hyperlink r:id="rId9" w:tooltip="ELPAC website" w:history="1">
        <w:r w:rsidR="00ED34EE" w:rsidRPr="007111F6">
          <w:rPr>
            <w:rStyle w:val="Hyperlink"/>
          </w:rPr>
          <w:t>https://www.elpac.org</w:t>
        </w:r>
      </w:hyperlink>
      <w:r w:rsidR="00ED34EE">
        <w:t xml:space="preserve"> </w:t>
      </w:r>
    </w:p>
    <w:p w14:paraId="41D89AA8" w14:textId="77777777" w:rsidR="0033253F" w:rsidRDefault="0033253F" w:rsidP="00613B72">
      <w:pPr>
        <w:pStyle w:val="ListParagraph"/>
        <w:numPr>
          <w:ilvl w:val="0"/>
          <w:numId w:val="15"/>
        </w:numPr>
        <w:ind w:left="576" w:hanging="288"/>
      </w:pPr>
      <w:r>
        <w:t>Select the TOMS button</w:t>
      </w:r>
    </w:p>
    <w:p w14:paraId="2DB2047C" w14:textId="547C4780" w:rsidR="0033253F" w:rsidRDefault="0033253F" w:rsidP="00613B72">
      <w:pPr>
        <w:pStyle w:val="ListParagraph"/>
        <w:numPr>
          <w:ilvl w:val="0"/>
          <w:numId w:val="15"/>
        </w:numPr>
        <w:ind w:left="576" w:hanging="288"/>
      </w:pPr>
      <w:r>
        <w:t>Log</w:t>
      </w:r>
      <w:r w:rsidR="00ED34EE">
        <w:t xml:space="preserve"> </w:t>
      </w:r>
      <w:r>
        <w:t>on to the TOMS system</w:t>
      </w:r>
    </w:p>
    <w:p w14:paraId="2162E0A4" w14:textId="77777777" w:rsidR="0033253F" w:rsidRDefault="0033253F" w:rsidP="00613B72">
      <w:pPr>
        <w:pStyle w:val="ListParagraph"/>
        <w:numPr>
          <w:ilvl w:val="0"/>
          <w:numId w:val="15"/>
        </w:numPr>
        <w:ind w:left="576" w:hanging="288"/>
      </w:pPr>
      <w:r>
        <w:t>Select your Role</w:t>
      </w:r>
    </w:p>
    <w:p w14:paraId="405BA13A" w14:textId="77777777" w:rsidR="00947B87" w:rsidRPr="000636EC" w:rsidRDefault="00947B87" w:rsidP="00613B72">
      <w:pPr>
        <w:pStyle w:val="ListParagraph"/>
        <w:numPr>
          <w:ilvl w:val="0"/>
          <w:numId w:val="15"/>
        </w:numPr>
        <w:ind w:left="576" w:hanging="288"/>
      </w:pPr>
      <w:r w:rsidRPr="000636EC">
        <w:t>Select the Reports link in the upper navigation bar</w:t>
      </w:r>
    </w:p>
    <w:p w14:paraId="50297E4F" w14:textId="7B876044" w:rsidR="00947B87" w:rsidRDefault="00947B87" w:rsidP="00613B72">
      <w:pPr>
        <w:pStyle w:val="ListParagraph"/>
        <w:numPr>
          <w:ilvl w:val="0"/>
          <w:numId w:val="15"/>
        </w:numPr>
        <w:ind w:left="576" w:hanging="288"/>
      </w:pPr>
      <w:bookmarkStart w:id="3" w:name="_vonerpxo3msn" w:colFirst="0" w:colLast="0"/>
      <w:bookmarkEnd w:id="3"/>
      <w:r w:rsidRPr="000636EC">
        <w:t xml:space="preserve">Select the </w:t>
      </w:r>
      <w:r>
        <w:t>desired</w:t>
      </w:r>
      <w:r w:rsidRPr="003E757E">
        <w:t xml:space="preserve"> </w:t>
      </w:r>
      <w:r w:rsidRPr="000636EC">
        <w:t>report</w:t>
      </w:r>
    </w:p>
    <w:p w14:paraId="7980ACC1" w14:textId="664951AD" w:rsidR="00AB53D2" w:rsidRPr="00215620" w:rsidRDefault="00AB53D2" w:rsidP="006045B0">
      <w:pPr>
        <w:pStyle w:val="Heading4"/>
        <w:pageBreakBefore/>
      </w:pPr>
      <w:r w:rsidRPr="00215620">
        <w:lastRenderedPageBreak/>
        <w:t>How to Run the ELPAC Report</w:t>
      </w:r>
    </w:p>
    <w:p w14:paraId="5466FA67" w14:textId="2D721EFE" w:rsidR="00A052B8" w:rsidRPr="003B1874" w:rsidRDefault="00A052B8" w:rsidP="00DA07F1">
      <w:pPr>
        <w:pStyle w:val="ListParagraph"/>
        <w:numPr>
          <w:ilvl w:val="0"/>
          <w:numId w:val="9"/>
        </w:numPr>
      </w:pPr>
      <w:r w:rsidRPr="003B1874">
        <w:t xml:space="preserve">Navigate to the </w:t>
      </w:r>
      <w:r>
        <w:t>CDE</w:t>
      </w:r>
      <w:r w:rsidRPr="003B1874">
        <w:t xml:space="preserve"> </w:t>
      </w:r>
      <w:r w:rsidRPr="000017A9">
        <w:t>Test Results for California's Assessments</w:t>
      </w:r>
      <w:r w:rsidRPr="000017A9" w:rsidDel="000017A9">
        <w:t xml:space="preserve"> </w:t>
      </w:r>
      <w:r>
        <w:t>web page</w:t>
      </w:r>
      <w:r w:rsidRPr="003B1874">
        <w:t xml:space="preserve"> </w:t>
      </w:r>
      <w:r>
        <w:t xml:space="preserve">at </w:t>
      </w:r>
      <w:hyperlink r:id="rId10" w:tooltip="CDE Test Results for California's Assessments web page" w:history="1">
        <w:r w:rsidRPr="00465771">
          <w:rPr>
            <w:rStyle w:val="Hyperlink"/>
          </w:rPr>
          <w:t>https://caaspp-elpac.cde.ca.gov/caaspp/</w:t>
        </w:r>
      </w:hyperlink>
    </w:p>
    <w:p w14:paraId="088C6DA8" w14:textId="02FEAFB3" w:rsidR="00A052B8" w:rsidRDefault="00AB53D2" w:rsidP="00613B72">
      <w:pPr>
        <w:pStyle w:val="ListParagraph"/>
        <w:numPr>
          <w:ilvl w:val="0"/>
          <w:numId w:val="9"/>
        </w:numPr>
        <w:ind w:left="576" w:hanging="288"/>
      </w:pPr>
      <w:r>
        <w:t xml:space="preserve">Select the </w:t>
      </w:r>
      <w:r w:rsidR="00A052B8">
        <w:t>English Language Proficiency button</w:t>
      </w:r>
    </w:p>
    <w:p w14:paraId="2161032D" w14:textId="28C78DC9" w:rsidR="00AB53D2" w:rsidRPr="00AB53D2" w:rsidRDefault="00A052B8" w:rsidP="00613B72">
      <w:pPr>
        <w:pStyle w:val="ListParagraph"/>
        <w:numPr>
          <w:ilvl w:val="0"/>
          <w:numId w:val="9"/>
        </w:numPr>
        <w:ind w:left="576" w:hanging="288"/>
      </w:pPr>
      <w:r>
        <w:t xml:space="preserve">Select the </w:t>
      </w:r>
      <w:r w:rsidR="2E3F9017">
        <w:t>Initial ELPAC</w:t>
      </w:r>
      <w:r>
        <w:t>,</w:t>
      </w:r>
      <w:r w:rsidR="2E3F9017">
        <w:t xml:space="preserve"> Summative ELPAC</w:t>
      </w:r>
      <w:r>
        <w:t>,</w:t>
      </w:r>
      <w:r w:rsidR="00153CB5">
        <w:t xml:space="preserve"> </w:t>
      </w:r>
      <w:r w:rsidR="00AB53D2">
        <w:t xml:space="preserve">or Alternate </w:t>
      </w:r>
      <w:r>
        <w:t>ELPAC button</w:t>
      </w:r>
    </w:p>
    <w:p w14:paraId="0EA3F14D" w14:textId="11DC42E2" w:rsidR="00AB53D2" w:rsidRPr="00AB53D2" w:rsidRDefault="00AB53D2" w:rsidP="00613B72">
      <w:pPr>
        <w:pStyle w:val="ListParagraph"/>
        <w:numPr>
          <w:ilvl w:val="0"/>
          <w:numId w:val="9"/>
        </w:numPr>
        <w:ind w:left="576" w:hanging="288"/>
      </w:pPr>
      <w:r>
        <w:t>Enter a school, district, county, ZIP, or CDS code in the search box</w:t>
      </w:r>
    </w:p>
    <w:p w14:paraId="41D4DDF7" w14:textId="595C8BFC" w:rsidR="0033253F" w:rsidRDefault="0033253F" w:rsidP="0033253F">
      <w:pPr>
        <w:pStyle w:val="Heading4"/>
      </w:pPr>
      <w:bookmarkStart w:id="4" w:name="_6dcuyepdlyqf" w:colFirst="0" w:colLast="0"/>
      <w:bookmarkEnd w:id="4"/>
      <w:r>
        <w:t>Additional Local Data Sources</w:t>
      </w:r>
    </w:p>
    <w:p w14:paraId="1E542752" w14:textId="55DA53AA" w:rsidR="0033253F" w:rsidRDefault="0021238C" w:rsidP="00683425">
      <w:pPr>
        <w:pStyle w:val="ListParagraph"/>
      </w:pPr>
      <w:r>
        <w:t>California Longitudinal Pupil Achievement Data System (CALPADS)</w:t>
      </w:r>
      <w:r w:rsidR="001D7CE9">
        <w:t xml:space="preserve">: </w:t>
      </w:r>
      <w:r w:rsidR="635024E5">
        <w:t>English Language Acquisition Status (ELAS)</w:t>
      </w:r>
      <w:r w:rsidR="1B8E73B3">
        <w:t xml:space="preserve"> </w:t>
      </w:r>
      <w:r w:rsidR="0033253F">
        <w:t>data</w:t>
      </w:r>
    </w:p>
    <w:p w14:paraId="1D753F6C" w14:textId="77777777" w:rsidR="0033253F" w:rsidRDefault="0033253F" w:rsidP="00683425">
      <w:pPr>
        <w:pStyle w:val="ListParagraph"/>
      </w:pPr>
      <w:r>
        <w:t>Disaggregated ELPAC Data</w:t>
      </w:r>
    </w:p>
    <w:p w14:paraId="22CF4FF7" w14:textId="77777777" w:rsidR="001D7CE9" w:rsidRPr="000636EC" w:rsidRDefault="001D7CE9" w:rsidP="001D7CE9">
      <w:pPr>
        <w:pStyle w:val="ListParagraph"/>
      </w:pPr>
      <w:bookmarkStart w:id="5" w:name="_9wwa4mtktk3b" w:colFirst="0" w:colLast="0"/>
      <w:bookmarkEnd w:id="5"/>
      <w:r w:rsidRPr="000636EC">
        <w:t>EL Downloadable Data files</w:t>
      </w:r>
    </w:p>
    <w:p w14:paraId="063B71ED" w14:textId="63015FDB" w:rsidR="001D7CE9" w:rsidRPr="002D015A" w:rsidRDefault="002D015A" w:rsidP="00A052B8">
      <w:pPr>
        <w:pStyle w:val="ListParagraph"/>
        <w:numPr>
          <w:ilvl w:val="1"/>
          <w:numId w:val="1"/>
        </w:numPr>
        <w:spacing w:after="100"/>
        <w:ind w:left="864" w:hanging="288"/>
        <w:rPr>
          <w:lang w:val="en-US"/>
        </w:rPr>
      </w:pPr>
      <w:r w:rsidRPr="002D015A">
        <w:rPr>
          <w:rStyle w:val="Strong"/>
          <w:lang w:val="en-US"/>
        </w:rPr>
        <w:t xml:space="preserve">CDE </w:t>
      </w:r>
      <w:r w:rsidRPr="002D015A">
        <w:rPr>
          <w:rStyle w:val="Strong"/>
        </w:rPr>
        <w:t>English Learners by Grade &amp; Language</w:t>
      </w:r>
      <w:r>
        <w:rPr>
          <w:rStyle w:val="Strong"/>
        </w:rPr>
        <w:t xml:space="preserve"> </w:t>
      </w:r>
      <w:r w:rsidRPr="002D015A">
        <w:t>web page</w:t>
      </w:r>
      <w:r>
        <w:rPr>
          <w:rStyle w:val="Strong"/>
        </w:rPr>
        <w:t xml:space="preserve"> </w:t>
      </w:r>
      <w:r w:rsidRPr="002D015A">
        <w:t>at</w:t>
      </w:r>
      <w:r w:rsidR="00523C4B" w:rsidRPr="002D015A">
        <w:rPr>
          <w:rStyle w:val="Hyperlink"/>
          <w:lang w:val="en-US"/>
        </w:rPr>
        <w:t xml:space="preserve"> </w:t>
      </w:r>
      <w:hyperlink r:id="rId11" w:tooltip="CDE English Learners by Grade &amp; Language web page " w:history="1">
        <w:r w:rsidRPr="00E020D9">
          <w:rPr>
            <w:rStyle w:val="Hyperlink"/>
            <w:lang w:val="en-US"/>
          </w:rPr>
          <w:t>https://www.cde.ca.gov/ds/ad/fileselsch.asp</w:t>
        </w:r>
      </w:hyperlink>
    </w:p>
    <w:p w14:paraId="318E579B" w14:textId="4981E98D" w:rsidR="001D7CE9" w:rsidRPr="000636EC" w:rsidRDefault="002D015A" w:rsidP="00A052B8">
      <w:pPr>
        <w:pStyle w:val="ListParagraph"/>
        <w:numPr>
          <w:ilvl w:val="1"/>
          <w:numId w:val="1"/>
        </w:numPr>
        <w:spacing w:after="100"/>
        <w:ind w:left="864" w:hanging="288"/>
      </w:pPr>
      <w:r>
        <w:rPr>
          <w:rStyle w:val="Strong"/>
        </w:rPr>
        <w:t xml:space="preserve">CDE </w:t>
      </w:r>
      <w:hyperlink r:id="rId12" w:history="1">
        <w:r w:rsidR="001D7CE9" w:rsidRPr="00523C4B">
          <w:rPr>
            <w:rStyle w:val="Strong"/>
          </w:rPr>
          <w:t>Fluent English Proficient Data</w:t>
        </w:r>
      </w:hyperlink>
      <w:r w:rsidR="003C39D7">
        <w:t xml:space="preserve"> w</w:t>
      </w:r>
      <w:r w:rsidRPr="002D015A">
        <w:t>eb page</w:t>
      </w:r>
      <w:r>
        <w:rPr>
          <w:rStyle w:val="Strong"/>
        </w:rPr>
        <w:t xml:space="preserve"> </w:t>
      </w:r>
      <w:r w:rsidRPr="002D015A">
        <w:t>at</w:t>
      </w:r>
      <w:r w:rsidRPr="002D015A">
        <w:rPr>
          <w:rStyle w:val="Hyperlink"/>
          <w:lang w:val="en-US"/>
        </w:rPr>
        <w:t xml:space="preserve"> </w:t>
      </w:r>
      <w:hyperlink r:id="rId13" w:tooltip="CDE Fluent English Proficient Data web page " w:history="1">
        <w:r w:rsidR="002C6261" w:rsidRPr="00E020D9">
          <w:rPr>
            <w:rStyle w:val="Hyperlink"/>
          </w:rPr>
          <w:t>https://www.cde.ca.gov/ds/ad/filesfepsch.asp</w:t>
        </w:r>
      </w:hyperlink>
    </w:p>
    <w:p w14:paraId="3CC3AC3A" w14:textId="4BF06595" w:rsidR="001D7CE9" w:rsidRPr="000636EC" w:rsidRDefault="002C6261" w:rsidP="00A052B8">
      <w:pPr>
        <w:pStyle w:val="ListParagraph"/>
        <w:numPr>
          <w:ilvl w:val="1"/>
          <w:numId w:val="1"/>
        </w:numPr>
        <w:spacing w:after="100"/>
        <w:ind w:left="864" w:hanging="288"/>
      </w:pPr>
      <w:r>
        <w:rPr>
          <w:rStyle w:val="Strong"/>
        </w:rPr>
        <w:t xml:space="preserve">CDE </w:t>
      </w:r>
      <w:r w:rsidRPr="002C6261">
        <w:rPr>
          <w:rStyle w:val="Strong"/>
        </w:rPr>
        <w:t>EL Reclassification Data</w:t>
      </w:r>
      <w:r w:rsidR="00523C4B" w:rsidRPr="00523C4B">
        <w:rPr>
          <w:rStyle w:val="Strong"/>
        </w:rPr>
        <w:t xml:space="preserve"> </w:t>
      </w:r>
      <w:r w:rsidR="002D015A" w:rsidRPr="002D015A">
        <w:t>web page</w:t>
      </w:r>
      <w:r w:rsidR="002D015A">
        <w:rPr>
          <w:rStyle w:val="Strong"/>
        </w:rPr>
        <w:t xml:space="preserve"> </w:t>
      </w:r>
      <w:r w:rsidR="002D015A" w:rsidRPr="002D015A">
        <w:t>at</w:t>
      </w:r>
      <w:r w:rsidR="002D015A" w:rsidRPr="002D015A">
        <w:rPr>
          <w:rStyle w:val="Hyperlink"/>
          <w:lang w:val="en-US"/>
        </w:rPr>
        <w:t xml:space="preserve"> </w:t>
      </w:r>
      <w:hyperlink r:id="rId14" w:tooltip="CDE EL Reclassification Data web page " w:history="1">
        <w:r w:rsidR="00961C98" w:rsidRPr="00E020D9">
          <w:rPr>
            <w:rStyle w:val="Hyperlink"/>
          </w:rPr>
          <w:t>https://www.cde.ca.gov/ds/ad/filesreclass.asp</w:t>
        </w:r>
      </w:hyperlink>
    </w:p>
    <w:p w14:paraId="39B2FB85" w14:textId="6CE86ED1" w:rsidR="001D7CE9" w:rsidRPr="000636EC" w:rsidRDefault="002C6261" w:rsidP="00A052B8">
      <w:pPr>
        <w:pStyle w:val="ListParagraph"/>
        <w:numPr>
          <w:ilvl w:val="1"/>
          <w:numId w:val="1"/>
        </w:numPr>
        <w:spacing w:after="100"/>
        <w:ind w:left="864" w:hanging="288"/>
      </w:pPr>
      <w:r>
        <w:rPr>
          <w:rStyle w:val="Strong"/>
        </w:rPr>
        <w:t xml:space="preserve">CDE </w:t>
      </w:r>
      <w:r w:rsidRPr="002C6261">
        <w:rPr>
          <w:rStyle w:val="Strong"/>
        </w:rPr>
        <w:t xml:space="preserve">Enrollment by </w:t>
      </w:r>
      <w:r w:rsidR="00827DE8" w:rsidRPr="00827DE8">
        <w:rPr>
          <w:rStyle w:val="Strong"/>
        </w:rPr>
        <w:t>ELAS</w:t>
      </w:r>
      <w:r w:rsidRPr="002C6261">
        <w:rPr>
          <w:rStyle w:val="Strong"/>
        </w:rPr>
        <w:t xml:space="preserve">, </w:t>
      </w:r>
      <w:r w:rsidR="00827DE8" w:rsidRPr="00827DE8">
        <w:rPr>
          <w:rStyle w:val="Strong"/>
        </w:rPr>
        <w:t>Long-Term English Learner (LTEL)</w:t>
      </w:r>
      <w:r w:rsidRPr="002C6261">
        <w:rPr>
          <w:rStyle w:val="Strong"/>
        </w:rPr>
        <w:t xml:space="preserve">, and At-Risk by Grade </w:t>
      </w:r>
      <w:r w:rsidRPr="002D015A">
        <w:t>web page</w:t>
      </w:r>
      <w:r>
        <w:rPr>
          <w:rStyle w:val="Strong"/>
        </w:rPr>
        <w:t xml:space="preserve"> </w:t>
      </w:r>
      <w:r w:rsidRPr="002D015A">
        <w:t>at</w:t>
      </w:r>
      <w:r w:rsidRPr="00D53874">
        <w:rPr>
          <w:rStyle w:val="Hyperlink"/>
          <w:u w:val="none"/>
          <w:lang w:val="en-US"/>
        </w:rPr>
        <w:t xml:space="preserve"> </w:t>
      </w:r>
      <w:hyperlink r:id="rId15" w:tooltip="CDE Enrollment by ELAS, LTEL, and At-Risk by Grade web page " w:history="1">
        <w:r w:rsidRPr="00E020D9">
          <w:rPr>
            <w:rStyle w:val="Hyperlink"/>
          </w:rPr>
          <w:t>https://www.cde.ca.gov/ds/ad/filesltel.asp</w:t>
        </w:r>
      </w:hyperlink>
    </w:p>
    <w:p w14:paraId="2267FDFA" w14:textId="77777777" w:rsidR="001D7CE9" w:rsidRPr="000636EC" w:rsidRDefault="001D7CE9" w:rsidP="001D7CE9">
      <w:pPr>
        <w:pStyle w:val="ListParagraph"/>
      </w:pPr>
      <w:r w:rsidRPr="000636EC">
        <w:t>Student-level LTEL data file (access was provided to the LEA CALPADS Coordinators in November 2021)</w:t>
      </w:r>
    </w:p>
    <w:p w14:paraId="709EBFB9" w14:textId="0F69B94B" w:rsidR="00F93C4E" w:rsidRPr="000636EC" w:rsidRDefault="001D7CE9" w:rsidP="00F93C4E">
      <w:pPr>
        <w:pStyle w:val="ListParagraph"/>
      </w:pPr>
      <w:r w:rsidRPr="000636EC">
        <w:t xml:space="preserve">Number of </w:t>
      </w:r>
      <w:bookmarkStart w:id="6" w:name="_Hlk90376420"/>
      <w:r w:rsidR="00323F65">
        <w:t>EL</w:t>
      </w:r>
      <w:bookmarkEnd w:id="6"/>
      <w:r w:rsidR="00323F65">
        <w:t xml:space="preserve"> students</w:t>
      </w:r>
      <w:r w:rsidRPr="000636EC">
        <w:t xml:space="preserve"> identified as students with disabilities</w:t>
      </w:r>
      <w:r w:rsidR="00F93C4E">
        <w:t xml:space="preserve"> </w:t>
      </w:r>
    </w:p>
    <w:p w14:paraId="63F0CAFB" w14:textId="2453792F" w:rsidR="00B73326" w:rsidRDefault="00F00F08" w:rsidP="003C39D7">
      <w:pPr>
        <w:pStyle w:val="Heading3"/>
      </w:pPr>
      <w:r>
        <w:t>Suspension</w:t>
      </w:r>
      <w:r w:rsidR="00470C8B">
        <w:t xml:space="preserve"> Rate Indicator</w:t>
      </w:r>
    </w:p>
    <w:p w14:paraId="39EF8E29" w14:textId="0A8E5089" w:rsidR="00893ECB" w:rsidRPr="000636EC" w:rsidRDefault="00893ECB" w:rsidP="00893ECB">
      <w:pPr>
        <w:widowControl w:val="0"/>
        <w:spacing w:after="240"/>
      </w:pPr>
      <w:r w:rsidRPr="000636EC">
        <w:t xml:space="preserve">This indicator is reported for students in </w:t>
      </w:r>
      <w:r w:rsidR="00F93C4E" w:rsidRPr="000636EC">
        <w:t>kindergarten</w:t>
      </w:r>
      <w:r w:rsidR="00F93C4E">
        <w:t xml:space="preserve"> </w:t>
      </w:r>
      <w:r w:rsidRPr="00245EC6">
        <w:t xml:space="preserve">through </w:t>
      </w:r>
      <w:r w:rsidR="00C54AFD">
        <w:t xml:space="preserve">grade </w:t>
      </w:r>
      <w:r w:rsidR="00F93C4E">
        <w:t xml:space="preserve">twelve </w:t>
      </w:r>
      <w:r w:rsidRPr="000636EC">
        <w:t xml:space="preserve">who are cumulatively enrolled and suspended at least once. The suspension data used for this indicator are sourced from </w:t>
      </w:r>
      <w:r w:rsidR="009B12F9">
        <w:t xml:space="preserve">the </w:t>
      </w:r>
      <w:r w:rsidRPr="000636EC">
        <w:t xml:space="preserve">data </w:t>
      </w:r>
      <w:r>
        <w:t xml:space="preserve">that </w:t>
      </w:r>
      <w:r w:rsidRPr="000636EC">
        <w:t xml:space="preserve">LEAs and schools submit to </w:t>
      </w:r>
      <w:r w:rsidR="009B12F9">
        <w:t xml:space="preserve">the </w:t>
      </w:r>
      <w:r w:rsidRPr="000636EC">
        <w:t>CALPADS.</w:t>
      </w:r>
    </w:p>
    <w:tbl>
      <w:tblPr>
        <w:tblStyle w:val="GridTable5Dark-Accent1"/>
        <w:tblW w:w="9810" w:type="dxa"/>
        <w:tblLayout w:type="fixed"/>
        <w:tblCellMar>
          <w:top w:w="58" w:type="dxa"/>
          <w:bottom w:w="58" w:type="dxa"/>
        </w:tblCellMar>
        <w:tblLook w:val="0620" w:firstRow="1" w:lastRow="0" w:firstColumn="0" w:lastColumn="0" w:noHBand="1" w:noVBand="1"/>
        <w:tblDescription w:val="Additional Reports to run and Data link for Run for Suspension."/>
      </w:tblPr>
      <w:tblGrid>
        <w:gridCol w:w="2065"/>
        <w:gridCol w:w="7745"/>
      </w:tblGrid>
      <w:tr w:rsidR="00B73326" w14:paraId="167938FF" w14:textId="77777777" w:rsidTr="00B30077">
        <w:trPr>
          <w:cnfStyle w:val="100000000000" w:firstRow="1" w:lastRow="0" w:firstColumn="0" w:lastColumn="0" w:oddVBand="0" w:evenVBand="0" w:oddHBand="0" w:evenHBand="0" w:firstRowFirstColumn="0" w:firstRowLastColumn="0" w:lastRowFirstColumn="0" w:lastRowLastColumn="0"/>
          <w:cantSplit/>
          <w:trHeight w:val="1489"/>
          <w:tblHeader/>
        </w:trPr>
        <w:tc>
          <w:tcPr>
            <w:tcW w:w="2065" w:type="dxa"/>
            <w:tcBorders>
              <w:bottom w:val="nil"/>
            </w:tcBorders>
          </w:tcPr>
          <w:p w14:paraId="27A7E0F8" w14:textId="7DD00079" w:rsidR="00B73326" w:rsidRPr="005A1D12" w:rsidRDefault="0005336B" w:rsidP="003B63C4">
            <w:pPr>
              <w:widowControl w:val="0"/>
              <w:spacing w:line="216" w:lineRule="auto"/>
            </w:pPr>
            <w:r w:rsidRPr="005A1D12">
              <w:t>State Indicator Reported</w:t>
            </w:r>
            <w:r w:rsidR="00F00F08" w:rsidRPr="005A1D12">
              <w:t xml:space="preserve"> on the Dashboard</w:t>
            </w:r>
            <w:r w:rsidRPr="005A1D12">
              <w:t>?</w:t>
            </w:r>
          </w:p>
        </w:tc>
        <w:tc>
          <w:tcPr>
            <w:tcW w:w="7745" w:type="dxa"/>
            <w:tcBorders>
              <w:bottom w:val="nil"/>
            </w:tcBorders>
          </w:tcPr>
          <w:p w14:paraId="6E6E3F24" w14:textId="21696BA6" w:rsidR="00B73326" w:rsidRPr="005A1D12" w:rsidRDefault="00307088" w:rsidP="003B63C4">
            <w:pPr>
              <w:widowControl w:val="0"/>
              <w:spacing w:line="216" w:lineRule="auto"/>
            </w:pPr>
            <w:r w:rsidRPr="005A1D12">
              <w:t>Other</w:t>
            </w:r>
            <w:r w:rsidR="00F00F08" w:rsidRPr="005A1D12">
              <w:t xml:space="preserve"> Reports to Run</w:t>
            </w:r>
          </w:p>
        </w:tc>
      </w:tr>
      <w:tr w:rsidR="00B73326" w14:paraId="6D8DFA7B" w14:textId="77777777" w:rsidTr="00B30077">
        <w:trPr>
          <w:cantSplit/>
          <w:trHeight w:val="771"/>
        </w:trPr>
        <w:tc>
          <w:tcPr>
            <w:tcW w:w="2065" w:type="dxa"/>
            <w:tcBorders>
              <w:top w:val="nil"/>
            </w:tcBorders>
          </w:tcPr>
          <w:p w14:paraId="438C5E49" w14:textId="08C63B75" w:rsidR="00B73326" w:rsidRPr="005A1D12" w:rsidRDefault="00F00F08">
            <w:pPr>
              <w:widowControl w:val="0"/>
            </w:pPr>
            <w:r w:rsidRPr="005A1D12">
              <w:t>No</w:t>
            </w:r>
          </w:p>
        </w:tc>
        <w:tc>
          <w:tcPr>
            <w:tcW w:w="7745" w:type="dxa"/>
            <w:tcBorders>
              <w:top w:val="nil"/>
            </w:tcBorders>
          </w:tcPr>
          <w:p w14:paraId="7B09F394" w14:textId="77777777" w:rsidR="00B73326" w:rsidRPr="005A1D12" w:rsidRDefault="00F00F08" w:rsidP="003B63C4">
            <w:pPr>
              <w:pStyle w:val="ListParagraph"/>
            </w:pPr>
            <w:r w:rsidRPr="005A1D12">
              <w:t>Suspension Rates (DataQuest)</w:t>
            </w:r>
          </w:p>
          <w:p w14:paraId="47D26588" w14:textId="77777777" w:rsidR="00B73326" w:rsidRPr="005A1D12" w:rsidRDefault="00F00F08" w:rsidP="003B63C4">
            <w:pPr>
              <w:pStyle w:val="ListParagraph"/>
            </w:pPr>
            <w:r w:rsidRPr="005A1D12">
              <w:t>Expulsion Rates (DataQuest)</w:t>
            </w:r>
          </w:p>
        </w:tc>
      </w:tr>
    </w:tbl>
    <w:p w14:paraId="3894B4DC" w14:textId="49DCED01" w:rsidR="0033253F" w:rsidRDefault="003C39D7" w:rsidP="003A60BB">
      <w:pPr>
        <w:spacing w:after="120"/>
      </w:pPr>
      <w:r>
        <w:br w:type="page"/>
      </w:r>
      <w:r w:rsidR="0033253F">
        <w:lastRenderedPageBreak/>
        <w:t>How to Run the DataQuest Report</w:t>
      </w:r>
    </w:p>
    <w:p w14:paraId="3BEB2BB9" w14:textId="3E92BE15" w:rsidR="0033253F" w:rsidRPr="0067789F" w:rsidRDefault="0033253F" w:rsidP="00613B72">
      <w:pPr>
        <w:pStyle w:val="ListParagraph"/>
        <w:numPr>
          <w:ilvl w:val="0"/>
          <w:numId w:val="11"/>
        </w:numPr>
        <w:ind w:left="576" w:hanging="288"/>
      </w:pPr>
      <w:r w:rsidRPr="0067789F">
        <w:t xml:space="preserve">Navigate to the </w:t>
      </w:r>
      <w:r w:rsidR="002D015A" w:rsidRPr="0067789F">
        <w:t xml:space="preserve">CDE </w:t>
      </w:r>
      <w:r w:rsidRPr="0067789F">
        <w:t>DataQuest web</w:t>
      </w:r>
      <w:r w:rsidR="002D015A" w:rsidRPr="0067789F">
        <w:t xml:space="preserve"> page at </w:t>
      </w:r>
      <w:hyperlink r:id="rId16" w:tooltip="CDE DataQuest web page " w:history="1">
        <w:r w:rsidR="002D015A" w:rsidRPr="007C7A6F">
          <w:rPr>
            <w:rStyle w:val="Hyperlink"/>
          </w:rPr>
          <w:t>https://dq.cde.ca.gov/dataquest/</w:t>
        </w:r>
      </w:hyperlink>
    </w:p>
    <w:p w14:paraId="47F91CD7" w14:textId="77777777" w:rsidR="0033253F" w:rsidRPr="0067789F" w:rsidRDefault="0033253F" w:rsidP="00613B72">
      <w:pPr>
        <w:pStyle w:val="ListParagraph"/>
        <w:numPr>
          <w:ilvl w:val="0"/>
          <w:numId w:val="11"/>
        </w:numPr>
        <w:ind w:left="576" w:hanging="288"/>
      </w:pPr>
      <w:r w:rsidRPr="0067789F">
        <w:t>Select a report Level</w:t>
      </w:r>
    </w:p>
    <w:p w14:paraId="3AD44CA2" w14:textId="77777777" w:rsidR="0033253F" w:rsidRPr="0067789F" w:rsidRDefault="0033253F" w:rsidP="00613B72">
      <w:pPr>
        <w:pStyle w:val="ListParagraph"/>
        <w:numPr>
          <w:ilvl w:val="0"/>
          <w:numId w:val="11"/>
        </w:numPr>
        <w:ind w:left="576" w:hanging="288"/>
      </w:pPr>
      <w:r w:rsidRPr="0067789F">
        <w:t>Select a report Subject</w:t>
      </w:r>
    </w:p>
    <w:p w14:paraId="7D8CA53C" w14:textId="3AC24180" w:rsidR="0033253F" w:rsidRPr="0067789F" w:rsidRDefault="0033253F" w:rsidP="00613B72">
      <w:pPr>
        <w:pStyle w:val="ListParagraph"/>
        <w:numPr>
          <w:ilvl w:val="1"/>
          <w:numId w:val="12"/>
        </w:numPr>
      </w:pPr>
      <w:r w:rsidRPr="0067789F">
        <w:t>Suspension</w:t>
      </w:r>
      <w:r w:rsidR="00893ECB" w:rsidRPr="0067789F">
        <w:t xml:space="preserve"> (</w:t>
      </w:r>
      <w:r w:rsidRPr="0067789F">
        <w:t>and Expulsion</w:t>
      </w:r>
      <w:r w:rsidR="00893ECB" w:rsidRPr="0067789F">
        <w:t>)</w:t>
      </w:r>
      <w:r w:rsidRPr="0067789F">
        <w:t xml:space="preserve"> Data</w:t>
      </w:r>
    </w:p>
    <w:p w14:paraId="17ABEC74" w14:textId="4CA53E72" w:rsidR="0033253F" w:rsidRPr="0067789F" w:rsidRDefault="0033253F" w:rsidP="00613B72">
      <w:pPr>
        <w:pStyle w:val="ListParagraph"/>
        <w:numPr>
          <w:ilvl w:val="0"/>
          <w:numId w:val="11"/>
        </w:numPr>
        <w:ind w:left="576" w:hanging="288"/>
      </w:pPr>
      <w:r w:rsidRPr="0067789F">
        <w:t xml:space="preserve">Select </w:t>
      </w:r>
      <w:r w:rsidR="0000169D">
        <w:t xml:space="preserve">the </w:t>
      </w:r>
      <w:r w:rsidRPr="0067789F">
        <w:t>Submit</w:t>
      </w:r>
      <w:r w:rsidR="0000169D">
        <w:t xml:space="preserve"> button</w:t>
      </w:r>
    </w:p>
    <w:p w14:paraId="22CB235B" w14:textId="3FDE06C8" w:rsidR="0033253F" w:rsidRDefault="0033253F" w:rsidP="0033253F">
      <w:pPr>
        <w:pStyle w:val="Heading4"/>
      </w:pPr>
      <w:bookmarkStart w:id="7" w:name="_zghjkcpysyh2" w:colFirst="0" w:colLast="0"/>
      <w:bookmarkStart w:id="8" w:name="_y1xlwaomywaq" w:colFirst="0" w:colLast="0"/>
      <w:bookmarkEnd w:id="7"/>
      <w:bookmarkEnd w:id="8"/>
      <w:r>
        <w:t>Additional Local Data Sources</w:t>
      </w:r>
    </w:p>
    <w:p w14:paraId="66182C8D" w14:textId="77777777" w:rsidR="0033253F" w:rsidRPr="0067789F" w:rsidRDefault="0033253F" w:rsidP="0067789F">
      <w:pPr>
        <w:pStyle w:val="ListParagraph"/>
      </w:pPr>
      <w:r w:rsidRPr="0067789F">
        <w:t>Office discipline referral data at the district and school level</w:t>
      </w:r>
    </w:p>
    <w:p w14:paraId="47D94D62" w14:textId="77777777" w:rsidR="00BE2232" w:rsidRPr="0067789F" w:rsidRDefault="00BE2232" w:rsidP="0067789F">
      <w:pPr>
        <w:pStyle w:val="ListParagraph"/>
      </w:pPr>
      <w:r w:rsidRPr="0067789F">
        <w:t>Student level disciplinary data from local student information systems</w:t>
      </w:r>
    </w:p>
    <w:p w14:paraId="5D709354" w14:textId="39B71644" w:rsidR="00BE2232" w:rsidRPr="0067789F" w:rsidRDefault="00BE2232" w:rsidP="0067789F">
      <w:pPr>
        <w:pStyle w:val="ListParagraph"/>
      </w:pPr>
      <w:bookmarkStart w:id="9" w:name="_otpo0d8fvhjt" w:colFirst="0" w:colLast="0"/>
      <w:bookmarkEnd w:id="9"/>
      <w:r w:rsidRPr="0067789F">
        <w:t>The number and rates of students who receive exclusionary discipline from local student information systems</w:t>
      </w:r>
    </w:p>
    <w:p w14:paraId="77F12490" w14:textId="1576B615" w:rsidR="00B73326" w:rsidRDefault="00F00F08" w:rsidP="00692E8A">
      <w:pPr>
        <w:pStyle w:val="Heading3"/>
      </w:pPr>
      <w:r>
        <w:t>Grad</w:t>
      </w:r>
      <w:r w:rsidR="00470C8B">
        <w:t>uation</w:t>
      </w:r>
      <w:r>
        <w:t xml:space="preserve"> Rate</w:t>
      </w:r>
      <w:r w:rsidR="00470C8B">
        <w:t xml:space="preserve"> Indicator</w:t>
      </w:r>
    </w:p>
    <w:p w14:paraId="12361432" w14:textId="4CA7D287" w:rsidR="00692E8A" w:rsidRPr="000636EC" w:rsidRDefault="00470C8B" w:rsidP="00692E8A">
      <w:pPr>
        <w:widowControl w:val="0"/>
        <w:spacing w:after="240"/>
      </w:pPr>
      <w:r w:rsidRPr="000636EC">
        <w:t xml:space="preserve">The Graduation Rate Indicator is only calculated for schools and districts that have grade </w:t>
      </w:r>
      <w:r w:rsidRPr="00470C8B">
        <w:t>twel</w:t>
      </w:r>
      <w:r w:rsidR="00952369">
        <w:t>ve</w:t>
      </w:r>
      <w:r w:rsidRPr="00470C8B">
        <w:t xml:space="preserve"> </w:t>
      </w:r>
      <w:r w:rsidRPr="000636EC">
        <w:t xml:space="preserve">students. The graduation rate data are sourced from </w:t>
      </w:r>
      <w:r w:rsidR="00697C8A">
        <w:t xml:space="preserve">the </w:t>
      </w:r>
      <w:r w:rsidRPr="000636EC">
        <w:t xml:space="preserve">data </w:t>
      </w:r>
      <w:r w:rsidR="00697C8A">
        <w:t xml:space="preserve">that </w:t>
      </w:r>
      <w:r w:rsidRPr="000636EC">
        <w:t xml:space="preserve">LEAs and schools submit to </w:t>
      </w:r>
      <w:r w:rsidR="003B3EAB">
        <w:t xml:space="preserve">the </w:t>
      </w:r>
      <w:r w:rsidRPr="000636EC">
        <w:t>CALPADS.</w:t>
      </w:r>
    </w:p>
    <w:tbl>
      <w:tblPr>
        <w:tblStyle w:val="GridTable5Dark-Accent1"/>
        <w:tblW w:w="9360" w:type="dxa"/>
        <w:tblLayout w:type="fixed"/>
        <w:tblCellMar>
          <w:top w:w="72" w:type="dxa"/>
          <w:bottom w:w="72" w:type="dxa"/>
        </w:tblCellMar>
        <w:tblLook w:val="0620" w:firstRow="1" w:lastRow="0" w:firstColumn="0" w:lastColumn="0" w:noHBand="1" w:noVBand="1"/>
        <w:tblDescription w:val="Additional Reports to run and Data link for Run for Grad Rates."/>
      </w:tblPr>
      <w:tblGrid>
        <w:gridCol w:w="2065"/>
        <w:gridCol w:w="7295"/>
      </w:tblGrid>
      <w:tr w:rsidR="00B73326" w14:paraId="3F3EE164" w14:textId="77777777" w:rsidTr="00B30077">
        <w:trPr>
          <w:cnfStyle w:val="100000000000" w:firstRow="1" w:lastRow="0" w:firstColumn="0" w:lastColumn="0" w:oddVBand="0" w:evenVBand="0" w:oddHBand="0" w:evenHBand="0" w:firstRowFirstColumn="0" w:firstRowLastColumn="0" w:lastRowFirstColumn="0" w:lastRowLastColumn="0"/>
          <w:cantSplit/>
          <w:trHeight w:val="1012"/>
          <w:tblHeader/>
        </w:trPr>
        <w:tc>
          <w:tcPr>
            <w:tcW w:w="0" w:type="dxa"/>
          </w:tcPr>
          <w:p w14:paraId="7914976E" w14:textId="648063A2" w:rsidR="00B73326" w:rsidRPr="005A1D12" w:rsidRDefault="0005336B">
            <w:pPr>
              <w:widowControl w:val="0"/>
            </w:pPr>
            <w:r w:rsidRPr="005A1D12">
              <w:t>State Indicator Reported</w:t>
            </w:r>
            <w:r w:rsidR="00F00F08" w:rsidRPr="005A1D12">
              <w:t xml:space="preserve"> on the Dashboard</w:t>
            </w:r>
            <w:r w:rsidRPr="005A1D12">
              <w:t>?</w:t>
            </w:r>
          </w:p>
        </w:tc>
        <w:tc>
          <w:tcPr>
            <w:tcW w:w="0" w:type="dxa"/>
          </w:tcPr>
          <w:p w14:paraId="26023F30" w14:textId="47E7765B" w:rsidR="00B73326" w:rsidRPr="005A1D12" w:rsidRDefault="00307088">
            <w:pPr>
              <w:widowControl w:val="0"/>
            </w:pPr>
            <w:r w:rsidRPr="005A1D12">
              <w:t>Other</w:t>
            </w:r>
            <w:r w:rsidR="00F00F08" w:rsidRPr="005A1D12">
              <w:t xml:space="preserve"> Reports to Run</w:t>
            </w:r>
          </w:p>
        </w:tc>
      </w:tr>
      <w:tr w:rsidR="00B73326" w14:paraId="5EF201B8" w14:textId="77777777" w:rsidTr="00B30077">
        <w:trPr>
          <w:cantSplit/>
          <w:trHeight w:val="2335"/>
        </w:trPr>
        <w:tc>
          <w:tcPr>
            <w:tcW w:w="2065" w:type="dxa"/>
          </w:tcPr>
          <w:p w14:paraId="3DCE781D" w14:textId="76AD3FB4" w:rsidR="00B73326" w:rsidRPr="005A1D12" w:rsidRDefault="00470C8B" w:rsidP="00822A56">
            <w:r w:rsidRPr="005A1D12">
              <w:t>No</w:t>
            </w:r>
            <w:r w:rsidR="00F00F08" w:rsidRPr="005A1D12">
              <w:t xml:space="preserve"> </w:t>
            </w:r>
          </w:p>
        </w:tc>
        <w:tc>
          <w:tcPr>
            <w:tcW w:w="7295" w:type="dxa"/>
          </w:tcPr>
          <w:p w14:paraId="01B5A593" w14:textId="3CE77E4D" w:rsidR="00470C8B" w:rsidRPr="005A1D12" w:rsidRDefault="00470C8B" w:rsidP="005A1D12">
            <w:pPr>
              <w:pStyle w:val="ListParagraph"/>
              <w:widowControl w:val="0"/>
              <w:numPr>
                <w:ilvl w:val="0"/>
                <w:numId w:val="17"/>
              </w:numPr>
              <w:spacing w:after="80"/>
            </w:pPr>
            <w:r w:rsidRPr="005A1D12">
              <w:t>Graduation Rates Additional Report</w:t>
            </w:r>
            <w:r w:rsidRPr="005A1D12">
              <w:rPr>
                <w:rStyle w:val="Strong"/>
              </w:rPr>
              <w:t xml:space="preserve"> (</w:t>
            </w:r>
            <w:r w:rsidR="007A3EFD">
              <w:rPr>
                <w:rStyle w:val="Strong"/>
              </w:rPr>
              <w:t xml:space="preserve">2021 report </w:t>
            </w:r>
            <w:r w:rsidRPr="005A1D12">
              <w:rPr>
                <w:rStyle w:val="Strong"/>
              </w:rPr>
              <w:t xml:space="preserve">available in </w:t>
            </w:r>
            <w:r w:rsidR="00D75942">
              <w:rPr>
                <w:rStyle w:val="Strong"/>
              </w:rPr>
              <w:t>February</w:t>
            </w:r>
            <w:r w:rsidR="00D75942" w:rsidRPr="005A1D12">
              <w:rPr>
                <w:rStyle w:val="Strong"/>
              </w:rPr>
              <w:t xml:space="preserve"> </w:t>
            </w:r>
            <w:r w:rsidRPr="005A1D12">
              <w:rPr>
                <w:rStyle w:val="Strong"/>
              </w:rPr>
              <w:t>2022)</w:t>
            </w:r>
            <w:r w:rsidRPr="005A1D12">
              <w:t>, which includes the combined four-</w:t>
            </w:r>
            <w:r w:rsidR="00D93DFE">
              <w:t xml:space="preserve"> </w:t>
            </w:r>
            <w:r w:rsidRPr="005A1D12">
              <w:t>and five-year graduation rate and Dashboard Alternative School Status (DASS) graduation rate</w:t>
            </w:r>
          </w:p>
          <w:p w14:paraId="56322077" w14:textId="3493364A" w:rsidR="0005336B" w:rsidRPr="005A1D12" w:rsidRDefault="009950D4" w:rsidP="005A1D12">
            <w:pPr>
              <w:pStyle w:val="ListParagraph"/>
              <w:widowControl w:val="0"/>
              <w:numPr>
                <w:ilvl w:val="0"/>
                <w:numId w:val="17"/>
              </w:numPr>
              <w:spacing w:after="80"/>
            </w:pPr>
            <w:r w:rsidRPr="005A1D12">
              <w:t>Graduation Rates</w:t>
            </w:r>
            <w:r w:rsidR="00C54AFD" w:rsidRPr="005A1D12">
              <w:t xml:space="preserve"> (DataQuest)</w:t>
            </w:r>
            <w:r w:rsidRPr="005A1D12">
              <w:t>:</w:t>
            </w:r>
          </w:p>
          <w:p w14:paraId="430D5285" w14:textId="7AA42253" w:rsidR="00273484" w:rsidRPr="005A1D12" w:rsidRDefault="00273484" w:rsidP="00273484">
            <w:pPr>
              <w:pStyle w:val="ListParagraph"/>
            </w:pPr>
            <w:r w:rsidRPr="005A1D12">
              <w:t>Four-</w:t>
            </w:r>
            <w:r w:rsidR="007A3EFD">
              <w:t>Y</w:t>
            </w:r>
            <w:r w:rsidRPr="005A1D12">
              <w:t xml:space="preserve">ear </w:t>
            </w:r>
            <w:r w:rsidR="007A3EFD">
              <w:t>Cohort Graduation Rates and Outcomes</w:t>
            </w:r>
          </w:p>
          <w:p w14:paraId="09997389" w14:textId="688980D8" w:rsidR="00B73326" w:rsidRPr="005A1D12" w:rsidRDefault="00273484" w:rsidP="00273484">
            <w:pPr>
              <w:pStyle w:val="ListParagraph"/>
            </w:pPr>
            <w:r w:rsidRPr="005A1D12">
              <w:t>Five-</w:t>
            </w:r>
            <w:r w:rsidR="007A3EFD">
              <w:t>Y</w:t>
            </w:r>
            <w:r w:rsidRPr="005A1D12">
              <w:t>ear</w:t>
            </w:r>
            <w:r w:rsidR="007A3EFD">
              <w:t xml:space="preserve"> Cohort Graduation Rates</w:t>
            </w:r>
          </w:p>
        </w:tc>
      </w:tr>
    </w:tbl>
    <w:p w14:paraId="590BD59B" w14:textId="57017A0A" w:rsidR="00273484" w:rsidRPr="00273484" w:rsidRDefault="00273484" w:rsidP="00273484">
      <w:pPr>
        <w:pStyle w:val="Heading4"/>
      </w:pPr>
      <w:r w:rsidRPr="00273484">
        <w:t>How to Run the Graduation Rate Additional Report (</w:t>
      </w:r>
      <w:r w:rsidR="007A3EFD">
        <w:t xml:space="preserve">2021 report </w:t>
      </w:r>
      <w:r w:rsidRPr="00273484">
        <w:t xml:space="preserve">available </w:t>
      </w:r>
      <w:r w:rsidR="00D75942">
        <w:t>February</w:t>
      </w:r>
      <w:r w:rsidR="00D75942" w:rsidRPr="00273484">
        <w:t xml:space="preserve"> </w:t>
      </w:r>
      <w:r w:rsidRPr="00273484">
        <w:t>2022)</w:t>
      </w:r>
    </w:p>
    <w:p w14:paraId="32D158BE" w14:textId="6D1CC55E" w:rsidR="00273484" w:rsidRPr="000636EC" w:rsidRDefault="00273484" w:rsidP="00613B72">
      <w:pPr>
        <w:pStyle w:val="ListParagraph"/>
        <w:numPr>
          <w:ilvl w:val="0"/>
          <w:numId w:val="4"/>
        </w:numPr>
      </w:pPr>
      <w:r w:rsidRPr="000636EC">
        <w:t xml:space="preserve">Navigate to the </w:t>
      </w:r>
      <w:r w:rsidR="002D015A">
        <w:t xml:space="preserve">CDE </w:t>
      </w:r>
      <w:r w:rsidRPr="000636EC">
        <w:t>School Dashboard and Additional Reports web</w:t>
      </w:r>
      <w:r w:rsidR="002D015A">
        <w:t xml:space="preserve"> page at</w:t>
      </w:r>
      <w:r w:rsidRPr="000636EC">
        <w:t xml:space="preserve"> </w:t>
      </w:r>
      <w:hyperlink r:id="rId17" w:tooltip="CDE School Dashboard and Additional Reports web page " w:history="1">
        <w:r w:rsidR="00C54AFD" w:rsidRPr="0053603C">
          <w:rPr>
            <w:rStyle w:val="Hyperlink"/>
          </w:rPr>
          <w:t>https://www6.cde.ca.gov/californiamodel/</w:t>
        </w:r>
      </w:hyperlink>
      <w:r w:rsidR="00C54AFD">
        <w:t>.</w:t>
      </w:r>
    </w:p>
    <w:p w14:paraId="7BB9F0CF" w14:textId="2CD01427" w:rsidR="00273484" w:rsidRDefault="00273484" w:rsidP="00613B72">
      <w:pPr>
        <w:pStyle w:val="ListParagraph"/>
        <w:numPr>
          <w:ilvl w:val="0"/>
          <w:numId w:val="4"/>
        </w:numPr>
      </w:pPr>
      <w:r w:rsidRPr="000636EC">
        <w:t>Enter a school or district name in the search box (you can also select the state report or county office of education report)</w:t>
      </w:r>
    </w:p>
    <w:p w14:paraId="39E7117B" w14:textId="77777777" w:rsidR="00273484" w:rsidRPr="000636EC" w:rsidRDefault="00273484" w:rsidP="00613B72">
      <w:pPr>
        <w:pStyle w:val="ListParagraph"/>
        <w:numPr>
          <w:ilvl w:val="0"/>
          <w:numId w:val="4"/>
        </w:numPr>
      </w:pPr>
      <w:r w:rsidRPr="000636EC">
        <w:rPr>
          <w:rFonts w:ascii="Helvetica" w:hAnsi="Helvetica" w:cs="Helvetica"/>
          <w:color w:val="000000"/>
          <w:shd w:val="clear" w:color="auto" w:fill="FFFFFF"/>
        </w:rPr>
        <w:t>Select a School or District from the drop-down search results</w:t>
      </w:r>
    </w:p>
    <w:p w14:paraId="70966496" w14:textId="77777777" w:rsidR="00273484" w:rsidRPr="000636EC" w:rsidRDefault="00273484" w:rsidP="00613B72">
      <w:pPr>
        <w:pStyle w:val="ListParagraph"/>
        <w:numPr>
          <w:ilvl w:val="0"/>
          <w:numId w:val="4"/>
        </w:numPr>
      </w:pPr>
      <w:r w:rsidRPr="000636EC">
        <w:rPr>
          <w:rFonts w:ascii="Helvetica" w:hAnsi="Helvetica" w:cs="Helvetica"/>
          <w:color w:val="000000"/>
          <w:shd w:val="clear" w:color="auto" w:fill="FFFFFF"/>
        </w:rPr>
        <w:t>Choose the Graduation Rate Additional Report</w:t>
      </w:r>
    </w:p>
    <w:p w14:paraId="69D8B6BB" w14:textId="231CD258" w:rsidR="00273484" w:rsidRPr="00273484" w:rsidRDefault="00273484" w:rsidP="00613B72">
      <w:pPr>
        <w:pStyle w:val="ListParagraph"/>
        <w:numPr>
          <w:ilvl w:val="0"/>
          <w:numId w:val="4"/>
        </w:numPr>
      </w:pPr>
      <w:r w:rsidRPr="000636EC">
        <w:rPr>
          <w:rFonts w:ascii="Helvetica" w:hAnsi="Helvetica" w:cs="Helvetica"/>
          <w:color w:val="000000"/>
          <w:shd w:val="clear" w:color="auto" w:fill="FFFFFF"/>
        </w:rPr>
        <w:t xml:space="preserve">Select </w:t>
      </w:r>
      <w:r w:rsidR="00E90098">
        <w:rPr>
          <w:rFonts w:ascii="Helvetica" w:hAnsi="Helvetica" w:cs="Helvetica"/>
          <w:color w:val="000000"/>
          <w:shd w:val="clear" w:color="auto" w:fill="FFFFFF"/>
        </w:rPr>
        <w:t xml:space="preserve">the </w:t>
      </w:r>
      <w:r w:rsidRPr="000636EC">
        <w:rPr>
          <w:rFonts w:ascii="Helvetica" w:hAnsi="Helvetica" w:cs="Helvetica"/>
          <w:color w:val="000000"/>
          <w:shd w:val="clear" w:color="auto" w:fill="FFFFFF"/>
        </w:rPr>
        <w:t>Submit</w:t>
      </w:r>
      <w:r w:rsidR="00E90098">
        <w:rPr>
          <w:rFonts w:ascii="Helvetica" w:hAnsi="Helvetica" w:cs="Helvetica"/>
          <w:color w:val="000000"/>
          <w:shd w:val="clear" w:color="auto" w:fill="FFFFFF"/>
        </w:rPr>
        <w:t xml:space="preserve"> button</w:t>
      </w:r>
    </w:p>
    <w:p w14:paraId="23541475" w14:textId="134B661A" w:rsidR="00273484" w:rsidRPr="000636EC" w:rsidRDefault="00273484" w:rsidP="00273484">
      <w:pPr>
        <w:pStyle w:val="Heading4"/>
      </w:pPr>
      <w:r w:rsidRPr="000636EC">
        <w:lastRenderedPageBreak/>
        <w:t>How to Run the DataQuest Report</w:t>
      </w:r>
    </w:p>
    <w:p w14:paraId="6BA1945C" w14:textId="3D9B9EB2" w:rsidR="00273484" w:rsidRPr="000636EC" w:rsidRDefault="00273484" w:rsidP="00613B72">
      <w:pPr>
        <w:pStyle w:val="ListParagraph"/>
        <w:numPr>
          <w:ilvl w:val="0"/>
          <w:numId w:val="10"/>
        </w:numPr>
        <w:snapToGrid w:val="0"/>
        <w:spacing w:after="80"/>
      </w:pPr>
      <w:r w:rsidRPr="000636EC">
        <w:t xml:space="preserve">Navigate to the </w:t>
      </w:r>
      <w:r w:rsidR="002D015A">
        <w:t xml:space="preserve">CDE </w:t>
      </w:r>
      <w:r w:rsidRPr="000636EC">
        <w:t>DataQuest web</w:t>
      </w:r>
      <w:r w:rsidR="002D015A">
        <w:t xml:space="preserve"> page at</w:t>
      </w:r>
      <w:r w:rsidRPr="000636EC">
        <w:t xml:space="preserve"> </w:t>
      </w:r>
      <w:hyperlink r:id="rId18" w:tooltip="CDE DataQuest web page " w:history="1">
        <w:r w:rsidR="002D015A" w:rsidRPr="00E020D9">
          <w:rPr>
            <w:rStyle w:val="Hyperlink"/>
          </w:rPr>
          <w:t>https://dq.cde.ca.gov/dataquest/</w:t>
        </w:r>
      </w:hyperlink>
      <w:r w:rsidR="002D015A">
        <w:t>.</w:t>
      </w:r>
    </w:p>
    <w:p w14:paraId="30C56EAE" w14:textId="77777777" w:rsidR="00273484" w:rsidRPr="000636EC" w:rsidRDefault="00273484" w:rsidP="00613B72">
      <w:pPr>
        <w:pStyle w:val="ListParagraph"/>
        <w:numPr>
          <w:ilvl w:val="0"/>
          <w:numId w:val="10"/>
        </w:numPr>
        <w:snapToGrid w:val="0"/>
        <w:spacing w:after="80"/>
      </w:pPr>
      <w:r w:rsidRPr="000636EC">
        <w:t>Select a report Level</w:t>
      </w:r>
    </w:p>
    <w:p w14:paraId="2133DA5C" w14:textId="77777777" w:rsidR="00273484" w:rsidRPr="000636EC" w:rsidRDefault="00273484" w:rsidP="00613B72">
      <w:pPr>
        <w:pStyle w:val="ListParagraph"/>
        <w:numPr>
          <w:ilvl w:val="0"/>
          <w:numId w:val="10"/>
        </w:numPr>
        <w:snapToGrid w:val="0"/>
        <w:spacing w:after="80"/>
      </w:pPr>
      <w:r w:rsidRPr="000636EC">
        <w:t>Select a report Subject</w:t>
      </w:r>
    </w:p>
    <w:p w14:paraId="5D4CCA65" w14:textId="77777777" w:rsidR="00273484" w:rsidRPr="000636EC" w:rsidRDefault="00273484" w:rsidP="00613B72">
      <w:pPr>
        <w:pStyle w:val="ListParagraph"/>
        <w:numPr>
          <w:ilvl w:val="1"/>
          <w:numId w:val="10"/>
        </w:numPr>
        <w:snapToGrid w:val="0"/>
        <w:spacing w:after="80"/>
      </w:pPr>
      <w:r w:rsidRPr="000636EC">
        <w:t>Four-year Cohort Graduation Rates &amp; Outcomes</w:t>
      </w:r>
    </w:p>
    <w:p w14:paraId="3B495082" w14:textId="3C5165D0" w:rsidR="00273484" w:rsidRPr="000636EC" w:rsidRDefault="00273484" w:rsidP="005A1D12">
      <w:pPr>
        <w:pStyle w:val="ListParagraph"/>
        <w:numPr>
          <w:ilvl w:val="1"/>
          <w:numId w:val="10"/>
        </w:numPr>
        <w:snapToGrid w:val="0"/>
        <w:spacing w:after="80"/>
      </w:pPr>
      <w:r w:rsidRPr="000636EC">
        <w:t>Five-year Cohort Graduation Rates</w:t>
      </w:r>
    </w:p>
    <w:p w14:paraId="2A2D34EC" w14:textId="741FB56A" w:rsidR="00273484" w:rsidRPr="000636EC" w:rsidRDefault="00273484" w:rsidP="00613B72">
      <w:pPr>
        <w:pStyle w:val="ListParagraph"/>
        <w:numPr>
          <w:ilvl w:val="0"/>
          <w:numId w:val="10"/>
        </w:numPr>
        <w:snapToGrid w:val="0"/>
        <w:spacing w:after="80"/>
      </w:pPr>
      <w:r w:rsidRPr="000636EC">
        <w:t xml:space="preserve">Select </w:t>
      </w:r>
      <w:r w:rsidR="002B7F21">
        <w:t xml:space="preserve">the </w:t>
      </w:r>
      <w:r w:rsidRPr="000636EC">
        <w:t>Submit</w:t>
      </w:r>
      <w:r w:rsidR="002B7F21">
        <w:t xml:space="preserve"> button</w:t>
      </w:r>
    </w:p>
    <w:p w14:paraId="74CA1262" w14:textId="159F1922" w:rsidR="00600638" w:rsidRPr="000730CF" w:rsidRDefault="00273484" w:rsidP="005A1D12">
      <w:pPr>
        <w:pStyle w:val="Heading4"/>
      </w:pPr>
      <w:r w:rsidRPr="00273484">
        <w:t xml:space="preserve">What </w:t>
      </w:r>
      <w:r w:rsidR="009F02EC">
        <w:t>I</w:t>
      </w:r>
      <w:r w:rsidRPr="00273484">
        <w:t>s Different Between DataQuest and Graduation Rate Additional Report</w:t>
      </w:r>
    </w:p>
    <w:p w14:paraId="40690CCC" w14:textId="3DFF32BF" w:rsidR="009F02EC" w:rsidRPr="000636EC" w:rsidRDefault="009F02EC" w:rsidP="009F02EC">
      <w:pPr>
        <w:spacing w:after="80"/>
        <w:ind w:left="144"/>
      </w:pPr>
      <w:r w:rsidRPr="000636EC">
        <w:t>DataQuest has multiple graduation reports:</w:t>
      </w:r>
    </w:p>
    <w:p w14:paraId="2564CBCB" w14:textId="4B40733B" w:rsidR="0033253F" w:rsidRDefault="0033253F" w:rsidP="00FC2D9A">
      <w:pPr>
        <w:pStyle w:val="ListParagraph"/>
      </w:pPr>
      <w:r>
        <w:t xml:space="preserve">The four-year </w:t>
      </w:r>
      <w:r w:rsidR="007A3EFD">
        <w:t>Adjusted Cohort Graduation Rate (</w:t>
      </w:r>
      <w:r w:rsidR="008C073E" w:rsidRPr="008C073E">
        <w:t>ACGR</w:t>
      </w:r>
      <w:r w:rsidR="007A3EFD">
        <w:t>)</w:t>
      </w:r>
      <w:r>
        <w:t xml:space="preserve"> and outcome data report includes graduates and the percent</w:t>
      </w:r>
      <w:r w:rsidR="00522C7A">
        <w:t>age</w:t>
      </w:r>
      <w:r>
        <w:t xml:space="preserve"> of graduates who meet </w:t>
      </w:r>
      <w:r w:rsidR="00245EC6" w:rsidRPr="00245EC6">
        <w:t>University of California (UC)</w:t>
      </w:r>
      <w:r>
        <w:t>/</w:t>
      </w:r>
      <w:r w:rsidR="00245EC6" w:rsidRPr="00245EC6">
        <w:t>California State University (CSU)</w:t>
      </w:r>
      <w:r>
        <w:t xml:space="preserve"> requirements, earn a seal of biliteracy, or earn a Golden State Seal merit diploma.</w:t>
      </w:r>
    </w:p>
    <w:p w14:paraId="26EAE352" w14:textId="64A50C1C" w:rsidR="0033253F" w:rsidRDefault="0033253F" w:rsidP="00FC2D9A">
      <w:pPr>
        <w:pStyle w:val="ListParagraph"/>
      </w:pPr>
      <w:r>
        <w:t>The five-year cohort graduation rate report calculates the percent</w:t>
      </w:r>
      <w:r w:rsidR="00540E87">
        <w:t>age</w:t>
      </w:r>
      <w:r>
        <w:t xml:space="preserve"> of students graduating within five years of starting ninth grade</w:t>
      </w:r>
      <w:r w:rsidR="00BD4205">
        <w:t>.</w:t>
      </w:r>
    </w:p>
    <w:p w14:paraId="47634FD1" w14:textId="64455402" w:rsidR="00BB3CF7" w:rsidRDefault="00C54AFD" w:rsidP="00BB3CF7">
      <w:pPr>
        <w:spacing w:before="240" w:after="80"/>
        <w:ind w:left="144"/>
      </w:pPr>
      <w:r>
        <w:t>On the other hand, d</w:t>
      </w:r>
      <w:r w:rsidR="00BB3CF7" w:rsidRPr="000636EC">
        <w:t>epending on school type (i.e., DASS or non-DASS) or report level, the Graduation Rate Additional Report displays the number and percentage of students who:</w:t>
      </w:r>
    </w:p>
    <w:p w14:paraId="42B35840" w14:textId="7EADEC4A" w:rsidR="00BB3CF7" w:rsidRPr="00BB3CF7" w:rsidRDefault="00BB3CF7" w:rsidP="00BB3CF7">
      <w:pPr>
        <w:pStyle w:val="ListParagraph"/>
      </w:pPr>
      <w:r w:rsidRPr="00BB3CF7">
        <w:t>Received a high school diploma within four or five years of entering ninth grade at comprehensive high schools</w:t>
      </w:r>
      <w:r w:rsidR="00123766">
        <w:t>;</w:t>
      </w:r>
      <w:r w:rsidRPr="00BB3CF7">
        <w:t xml:space="preserve"> </w:t>
      </w:r>
      <w:r w:rsidR="000730CF">
        <w:t>and/</w:t>
      </w:r>
      <w:r w:rsidRPr="00BB3CF7">
        <w:t xml:space="preserve">or </w:t>
      </w:r>
    </w:p>
    <w:p w14:paraId="59E509BC" w14:textId="3054B08F" w:rsidR="00BB3CF7" w:rsidRDefault="00BB3CF7" w:rsidP="00F75BAA">
      <w:pPr>
        <w:pStyle w:val="ListParagraph"/>
        <w:spacing w:after="240"/>
      </w:pPr>
      <w:r w:rsidRPr="00BB3CF7">
        <w:t>Completed graduation requirements at an alternative school.</w:t>
      </w:r>
    </w:p>
    <w:p w14:paraId="3C061FBD" w14:textId="6F0CF1D4" w:rsidR="00540E87" w:rsidRPr="00BB3CF7" w:rsidRDefault="00540E87" w:rsidP="00540E87">
      <w:r w:rsidRPr="000636EC">
        <w:t>The Graduation Rate Additional Report</w:t>
      </w:r>
      <w:r w:rsidRPr="00540E87">
        <w:rPr>
          <w:b/>
        </w:rPr>
        <w:t xml:space="preserve"> </w:t>
      </w:r>
      <w:r w:rsidRPr="00540E87">
        <w:rPr>
          <w:rStyle w:val="Strong"/>
        </w:rPr>
        <w:t>does not</w:t>
      </w:r>
      <w:r w:rsidRPr="00540E87">
        <w:rPr>
          <w:b/>
        </w:rPr>
        <w:t xml:space="preserve"> </w:t>
      </w:r>
      <w:r w:rsidRPr="000636EC">
        <w:t xml:space="preserve">report the difference (Change) from prior graduation rates, and it also </w:t>
      </w:r>
      <w:r w:rsidRPr="00540E87">
        <w:rPr>
          <w:rStyle w:val="Strong"/>
        </w:rPr>
        <w:t>does not</w:t>
      </w:r>
      <w:r w:rsidRPr="00540E87">
        <w:rPr>
          <w:b/>
        </w:rPr>
        <w:t xml:space="preserve"> </w:t>
      </w:r>
      <w:r w:rsidRPr="000636EC">
        <w:t>report any Dashboard performance colors.</w:t>
      </w:r>
    </w:p>
    <w:p w14:paraId="4BA06880" w14:textId="2D26065F" w:rsidR="0033253F" w:rsidRDefault="0033253F" w:rsidP="00DF2365">
      <w:pPr>
        <w:pStyle w:val="Heading4"/>
      </w:pPr>
      <w:r>
        <w:t>Additional Local Data Sources</w:t>
      </w:r>
    </w:p>
    <w:p w14:paraId="0538DD78" w14:textId="0A3A12F5" w:rsidR="00B73326" w:rsidRDefault="0033253F" w:rsidP="00DF2365">
      <w:pPr>
        <w:pStyle w:val="ListParagraph"/>
      </w:pPr>
      <w:r>
        <w:t xml:space="preserve">On-track reports (graduation, a-g, etc.) for current </w:t>
      </w:r>
      <w:r w:rsidR="00540E87">
        <w:t xml:space="preserve">twelfth </w:t>
      </w:r>
      <w:r>
        <w:t xml:space="preserve">grade students and </w:t>
      </w:r>
      <w:bookmarkStart w:id="10" w:name="_2vuddnqlw520" w:colFirst="0" w:colLast="0"/>
      <w:bookmarkEnd w:id="10"/>
      <w:r w:rsidR="00540E87" w:rsidRPr="00540E87">
        <w:t>students in grades nine through eleven</w:t>
      </w:r>
      <w:r w:rsidR="00540E87">
        <w:t>.</w:t>
      </w:r>
    </w:p>
    <w:p w14:paraId="7194EE1A" w14:textId="34B6AF92" w:rsidR="00B73326" w:rsidRDefault="00F00F08" w:rsidP="00220994">
      <w:pPr>
        <w:pStyle w:val="Heading3"/>
        <w:pageBreakBefore/>
      </w:pPr>
      <w:r>
        <w:lastRenderedPageBreak/>
        <w:t>College/Career</w:t>
      </w:r>
      <w:r w:rsidR="00F43837">
        <w:t xml:space="preserve"> Indicator (CCI)</w:t>
      </w:r>
    </w:p>
    <w:p w14:paraId="78ED763C" w14:textId="5166AD63" w:rsidR="0033253F" w:rsidRPr="0033253F" w:rsidRDefault="00822A56" w:rsidP="00DF2365">
      <w:pPr>
        <w:widowControl w:val="0"/>
        <w:spacing w:after="240"/>
      </w:pPr>
      <w:r w:rsidRPr="00822A56">
        <w:t xml:space="preserve">This indicator is reported for high schools and LEAs with students in the combined four- and five-year graduation rate and/or the DASS graduation rate. It uses various </w:t>
      </w:r>
      <w:r w:rsidR="00C2764A">
        <w:t xml:space="preserve">measures </w:t>
      </w:r>
      <w:r w:rsidRPr="00822A56">
        <w:t>to evaluate a student’s preparedness for postsecondary</w:t>
      </w:r>
      <w:r w:rsidR="00C2764A">
        <w:t xml:space="preserve"> education or careers</w:t>
      </w:r>
      <w:r w:rsidRPr="00822A56">
        <w:t>.</w:t>
      </w:r>
    </w:p>
    <w:tbl>
      <w:tblPr>
        <w:tblStyle w:val="GridTable5Dark-Accent1"/>
        <w:tblW w:w="9360" w:type="dxa"/>
        <w:tblLayout w:type="fixed"/>
        <w:tblCellMar>
          <w:top w:w="72" w:type="dxa"/>
          <w:bottom w:w="72" w:type="dxa"/>
        </w:tblCellMar>
        <w:tblLook w:val="0620" w:firstRow="1" w:lastRow="0" w:firstColumn="0" w:lastColumn="0" w:noHBand="1" w:noVBand="1"/>
        <w:tblDescription w:val="Additional Reports to run and Data link for Run for College/Career."/>
      </w:tblPr>
      <w:tblGrid>
        <w:gridCol w:w="2065"/>
        <w:gridCol w:w="7295"/>
      </w:tblGrid>
      <w:tr w:rsidR="00B73326" w14:paraId="081758EF" w14:textId="77777777" w:rsidTr="00B30077">
        <w:trPr>
          <w:cnfStyle w:val="100000000000" w:firstRow="1" w:lastRow="0" w:firstColumn="0" w:lastColumn="0" w:oddVBand="0" w:evenVBand="0" w:oddHBand="0" w:evenHBand="0" w:firstRowFirstColumn="0" w:firstRowLastColumn="0" w:lastRowFirstColumn="0" w:lastRowLastColumn="0"/>
          <w:cantSplit/>
          <w:trHeight w:val="1075"/>
          <w:tblHeader/>
        </w:trPr>
        <w:tc>
          <w:tcPr>
            <w:tcW w:w="0" w:type="dxa"/>
            <w:tcMar>
              <w:top w:w="58" w:type="dxa"/>
              <w:bottom w:w="58" w:type="dxa"/>
            </w:tcMar>
          </w:tcPr>
          <w:p w14:paraId="797F4D68" w14:textId="5980D907" w:rsidR="00B73326" w:rsidRPr="005A1D12" w:rsidRDefault="0005336B">
            <w:pPr>
              <w:widowControl w:val="0"/>
            </w:pPr>
            <w:r w:rsidRPr="005A1D12">
              <w:t>State Indicator Reported</w:t>
            </w:r>
            <w:r w:rsidR="00F00F08" w:rsidRPr="005A1D12">
              <w:t xml:space="preserve"> on the Dashboard</w:t>
            </w:r>
            <w:r w:rsidRPr="005A1D12">
              <w:t>?</w:t>
            </w:r>
          </w:p>
        </w:tc>
        <w:tc>
          <w:tcPr>
            <w:tcW w:w="0" w:type="dxa"/>
            <w:tcMar>
              <w:top w:w="58" w:type="dxa"/>
              <w:bottom w:w="58" w:type="dxa"/>
            </w:tcMar>
          </w:tcPr>
          <w:p w14:paraId="23C999A0" w14:textId="66D6ECB7" w:rsidR="00B73326" w:rsidRPr="005A1D12" w:rsidRDefault="00307088">
            <w:pPr>
              <w:widowControl w:val="0"/>
            </w:pPr>
            <w:r w:rsidRPr="005A1D12">
              <w:t>Other</w:t>
            </w:r>
            <w:r w:rsidR="00F00F08" w:rsidRPr="005A1D12">
              <w:t xml:space="preserve"> Reports to Run</w:t>
            </w:r>
          </w:p>
        </w:tc>
      </w:tr>
      <w:tr w:rsidR="00B73326" w14:paraId="1A92A0DF" w14:textId="77777777" w:rsidTr="00B30077">
        <w:trPr>
          <w:cantSplit/>
          <w:trHeight w:val="3516"/>
        </w:trPr>
        <w:tc>
          <w:tcPr>
            <w:tcW w:w="2065" w:type="dxa"/>
            <w:tcMar>
              <w:top w:w="58" w:type="dxa"/>
              <w:left w:w="115" w:type="dxa"/>
              <w:bottom w:w="58" w:type="dxa"/>
              <w:right w:w="115" w:type="dxa"/>
            </w:tcMar>
          </w:tcPr>
          <w:p w14:paraId="0075F394" w14:textId="4E9FFCF6" w:rsidR="00B73326" w:rsidRPr="005A1D12" w:rsidRDefault="00822A56" w:rsidP="00822A56">
            <w:r w:rsidRPr="005A1D12">
              <w:t>No</w:t>
            </w:r>
          </w:p>
        </w:tc>
        <w:tc>
          <w:tcPr>
            <w:tcW w:w="7295" w:type="dxa"/>
            <w:tcMar>
              <w:top w:w="58" w:type="dxa"/>
              <w:left w:w="115" w:type="dxa"/>
              <w:bottom w:w="58" w:type="dxa"/>
              <w:right w:w="115" w:type="dxa"/>
            </w:tcMar>
          </w:tcPr>
          <w:p w14:paraId="63D3F230" w14:textId="444CE7FB" w:rsidR="00307088" w:rsidRPr="005A1D12" w:rsidRDefault="00307088" w:rsidP="00307088">
            <w:pPr>
              <w:widowControl w:val="0"/>
              <w:spacing w:after="60"/>
            </w:pPr>
            <w:r w:rsidRPr="005A1D12">
              <w:t xml:space="preserve">College/Career (Select Measures Only) Additional Report </w:t>
            </w:r>
            <w:r w:rsidRPr="005A1D12">
              <w:rPr>
                <w:rStyle w:val="Strong"/>
              </w:rPr>
              <w:t>(</w:t>
            </w:r>
            <w:r w:rsidR="007A3EFD">
              <w:rPr>
                <w:rStyle w:val="Strong"/>
              </w:rPr>
              <w:t xml:space="preserve">2021 report </w:t>
            </w:r>
            <w:r w:rsidRPr="005A1D12">
              <w:rPr>
                <w:rStyle w:val="Strong"/>
              </w:rPr>
              <w:t xml:space="preserve">available </w:t>
            </w:r>
            <w:r w:rsidR="00D75942">
              <w:rPr>
                <w:rStyle w:val="Strong"/>
              </w:rPr>
              <w:t>February</w:t>
            </w:r>
            <w:r w:rsidR="00D75942" w:rsidRPr="005A1D12">
              <w:rPr>
                <w:rStyle w:val="Strong"/>
              </w:rPr>
              <w:t xml:space="preserve"> </w:t>
            </w:r>
            <w:r w:rsidRPr="005A1D12">
              <w:rPr>
                <w:rStyle w:val="Strong"/>
              </w:rPr>
              <w:t>2022),</w:t>
            </w:r>
            <w:r w:rsidRPr="005A1D12">
              <w:rPr>
                <w:b/>
              </w:rPr>
              <w:t xml:space="preserve"> </w:t>
            </w:r>
            <w:r w:rsidRPr="005A1D12">
              <w:t>which contains the following data:</w:t>
            </w:r>
          </w:p>
          <w:p w14:paraId="54FF0CA7" w14:textId="4505E926" w:rsidR="00307088" w:rsidRPr="005A1D12" w:rsidRDefault="00307088" w:rsidP="00307088">
            <w:pPr>
              <w:pStyle w:val="ListParagraph"/>
              <w:spacing w:after="40"/>
            </w:pPr>
            <w:r w:rsidRPr="005A1D12">
              <w:t>Advanced Placement (AP)/International Baccalaureate (IB) exam results</w:t>
            </w:r>
          </w:p>
          <w:p w14:paraId="57954E1D" w14:textId="3250873B" w:rsidR="00307088" w:rsidRPr="005A1D12" w:rsidRDefault="00307088" w:rsidP="00307088">
            <w:pPr>
              <w:pStyle w:val="ListParagraph"/>
              <w:spacing w:after="40"/>
            </w:pPr>
            <w:r w:rsidRPr="005A1D12">
              <w:t>Career Technical Education</w:t>
            </w:r>
            <w:r w:rsidRPr="005A1D12">
              <w:rPr>
                <w:b/>
                <w:bCs/>
                <w:color w:val="000000"/>
                <w:sz w:val="20"/>
                <w:szCs w:val="20"/>
                <w:shd w:val="clear" w:color="auto" w:fill="FFFFFF"/>
              </w:rPr>
              <w:t xml:space="preserve"> </w:t>
            </w:r>
            <w:r w:rsidRPr="005A1D12">
              <w:t>(CTE) pathway completion</w:t>
            </w:r>
          </w:p>
          <w:p w14:paraId="15E29A82" w14:textId="5793E191" w:rsidR="00307088" w:rsidRPr="005A1D12" w:rsidRDefault="00307088" w:rsidP="00307088">
            <w:pPr>
              <w:pStyle w:val="ListParagraph"/>
              <w:spacing w:after="40"/>
            </w:pPr>
            <w:r w:rsidRPr="005A1D12">
              <w:t>a-g completion</w:t>
            </w:r>
          </w:p>
          <w:p w14:paraId="314E3D40" w14:textId="79E97E9B" w:rsidR="00307088" w:rsidRPr="005A1D12" w:rsidRDefault="00307088" w:rsidP="00307088">
            <w:pPr>
              <w:pStyle w:val="ListParagraph"/>
              <w:spacing w:after="40"/>
            </w:pPr>
            <w:r w:rsidRPr="005A1D12">
              <w:t>College credit course completion</w:t>
            </w:r>
          </w:p>
          <w:p w14:paraId="219099CB" w14:textId="77777777" w:rsidR="00307088" w:rsidRPr="005A1D12" w:rsidRDefault="00307088" w:rsidP="00307088">
            <w:pPr>
              <w:pStyle w:val="ListParagraph"/>
              <w:spacing w:after="40"/>
            </w:pPr>
            <w:r w:rsidRPr="005A1D12">
              <w:t>Earned State Seal of Biliteracy</w:t>
            </w:r>
          </w:p>
          <w:p w14:paraId="232FDC5F" w14:textId="7CA8B3F6" w:rsidR="00307088" w:rsidRPr="005A1D12" w:rsidRDefault="00307088" w:rsidP="00307088">
            <w:pPr>
              <w:widowControl w:val="0"/>
              <w:spacing w:before="120" w:after="60"/>
            </w:pPr>
            <w:r w:rsidRPr="005A1D12">
              <w:t>Post-Secondary Preparation (DataQuest)</w:t>
            </w:r>
          </w:p>
          <w:p w14:paraId="6407CEBA" w14:textId="7E25F53C" w:rsidR="00B73326" w:rsidRPr="005A1D12" w:rsidRDefault="00307088" w:rsidP="00307088">
            <w:pPr>
              <w:pStyle w:val="ListParagraph"/>
            </w:pPr>
            <w:r w:rsidRPr="005A1D12">
              <w:t>ACT, SAT, AP results</w:t>
            </w:r>
          </w:p>
        </w:tc>
      </w:tr>
    </w:tbl>
    <w:p w14:paraId="6156C4F5" w14:textId="49CD1C46" w:rsidR="0033253F" w:rsidRDefault="0033253F" w:rsidP="0033253F">
      <w:pPr>
        <w:pStyle w:val="Heading4"/>
      </w:pPr>
      <w:bookmarkStart w:id="11" w:name="_vfq15nhql2vn" w:colFirst="0" w:colLast="0"/>
      <w:bookmarkEnd w:id="11"/>
      <w:r>
        <w:t xml:space="preserve">How to Run the </w:t>
      </w:r>
      <w:r w:rsidR="0005336B">
        <w:t>College/Career Additional</w:t>
      </w:r>
      <w:r>
        <w:t xml:space="preserve"> Report</w:t>
      </w:r>
      <w:r w:rsidR="000730CF">
        <w:t xml:space="preserve"> (</w:t>
      </w:r>
      <w:r w:rsidR="007A3EFD">
        <w:t xml:space="preserve">2021 report </w:t>
      </w:r>
      <w:r w:rsidR="000730CF">
        <w:t xml:space="preserve">available </w:t>
      </w:r>
      <w:r w:rsidR="00D75942">
        <w:t xml:space="preserve">February </w:t>
      </w:r>
      <w:r w:rsidR="000730CF">
        <w:t>2022)</w:t>
      </w:r>
    </w:p>
    <w:p w14:paraId="3FC5CECF" w14:textId="67B15118" w:rsidR="002D015A" w:rsidRPr="000636EC" w:rsidRDefault="002D015A" w:rsidP="00613B72">
      <w:pPr>
        <w:pStyle w:val="ListParagraph"/>
        <w:numPr>
          <w:ilvl w:val="0"/>
          <w:numId w:val="5"/>
        </w:numPr>
      </w:pPr>
      <w:r w:rsidRPr="000636EC">
        <w:t xml:space="preserve">Navigate to the </w:t>
      </w:r>
      <w:r>
        <w:t xml:space="preserve">CDE </w:t>
      </w:r>
      <w:r w:rsidRPr="000636EC">
        <w:t>School Dashboard and Additional Reports web</w:t>
      </w:r>
      <w:r>
        <w:t xml:space="preserve"> page </w:t>
      </w:r>
      <w:r w:rsidR="00592BA1">
        <w:t xml:space="preserve">at </w:t>
      </w:r>
      <w:hyperlink r:id="rId19" w:tooltip="CDE School Dashboard and Additional Reports web page " w:history="1">
        <w:r w:rsidR="00592BA1" w:rsidRPr="00E020D9">
          <w:rPr>
            <w:rStyle w:val="Hyperlink"/>
          </w:rPr>
          <w:t>https://www6.cde.ca.gov/californiamodel/</w:t>
        </w:r>
      </w:hyperlink>
    </w:p>
    <w:p w14:paraId="69BA4996" w14:textId="2548E691" w:rsidR="00B513BF" w:rsidRPr="000636EC" w:rsidRDefault="00B513BF" w:rsidP="00613B72">
      <w:pPr>
        <w:pStyle w:val="ListParagraph"/>
        <w:numPr>
          <w:ilvl w:val="0"/>
          <w:numId w:val="5"/>
        </w:numPr>
      </w:pPr>
      <w:bookmarkStart w:id="12" w:name="_7vlmwddmvrly" w:colFirst="0" w:colLast="0"/>
      <w:bookmarkEnd w:id="12"/>
      <w:r w:rsidRPr="000636EC">
        <w:t>Enter a school or district name in the search box (you may also select the state report or county office of education report)</w:t>
      </w:r>
    </w:p>
    <w:p w14:paraId="2AA5EEEA" w14:textId="77777777" w:rsidR="00B513BF" w:rsidRPr="000636EC" w:rsidRDefault="00B513BF" w:rsidP="00613B72">
      <w:pPr>
        <w:pStyle w:val="ListParagraph"/>
        <w:numPr>
          <w:ilvl w:val="0"/>
          <w:numId w:val="5"/>
        </w:numPr>
      </w:pPr>
      <w:r w:rsidRPr="000636EC">
        <w:rPr>
          <w:rFonts w:ascii="Helvetica" w:hAnsi="Helvetica" w:cs="Helvetica"/>
          <w:color w:val="000000"/>
          <w:shd w:val="clear" w:color="auto" w:fill="FFFFFF"/>
        </w:rPr>
        <w:t>Select a School or District from the drop-down search results</w:t>
      </w:r>
    </w:p>
    <w:p w14:paraId="3ACB3E4E" w14:textId="77777777" w:rsidR="00B513BF" w:rsidRPr="000636EC" w:rsidRDefault="00B513BF" w:rsidP="00613B72">
      <w:pPr>
        <w:pStyle w:val="ListParagraph"/>
        <w:numPr>
          <w:ilvl w:val="0"/>
          <w:numId w:val="5"/>
        </w:numPr>
      </w:pPr>
      <w:r w:rsidRPr="000636EC">
        <w:rPr>
          <w:rFonts w:ascii="Helvetica" w:hAnsi="Helvetica" w:cs="Helvetica"/>
          <w:color w:val="000000"/>
          <w:shd w:val="clear" w:color="auto" w:fill="FFFFFF"/>
        </w:rPr>
        <w:t xml:space="preserve">Choose the 2021 </w:t>
      </w:r>
      <w:r w:rsidRPr="000636EC">
        <w:t>College/Career (Select Measures Only) Additional Report</w:t>
      </w:r>
    </w:p>
    <w:p w14:paraId="22221220" w14:textId="2471A677" w:rsidR="00B513BF" w:rsidRPr="007C7A6F" w:rsidRDefault="00B513BF" w:rsidP="00613B72">
      <w:pPr>
        <w:pStyle w:val="ListParagraph"/>
        <w:numPr>
          <w:ilvl w:val="0"/>
          <w:numId w:val="5"/>
        </w:numPr>
      </w:pPr>
      <w:r w:rsidRPr="000636EC">
        <w:rPr>
          <w:rFonts w:ascii="Helvetica" w:hAnsi="Helvetica" w:cs="Helvetica"/>
          <w:color w:val="000000"/>
          <w:shd w:val="clear" w:color="auto" w:fill="FFFFFF"/>
        </w:rPr>
        <w:t xml:space="preserve">Select </w:t>
      </w:r>
      <w:r w:rsidR="00103864">
        <w:rPr>
          <w:rFonts w:ascii="Helvetica" w:hAnsi="Helvetica" w:cs="Helvetica"/>
          <w:color w:val="000000"/>
          <w:shd w:val="clear" w:color="auto" w:fill="FFFFFF"/>
        </w:rPr>
        <w:t xml:space="preserve">the </w:t>
      </w:r>
      <w:r w:rsidRPr="000636EC">
        <w:rPr>
          <w:rFonts w:ascii="Helvetica" w:hAnsi="Helvetica" w:cs="Helvetica"/>
          <w:color w:val="000000"/>
          <w:shd w:val="clear" w:color="auto" w:fill="FFFFFF"/>
        </w:rPr>
        <w:t>Submit</w:t>
      </w:r>
      <w:r w:rsidR="00103864">
        <w:rPr>
          <w:rFonts w:ascii="Helvetica" w:hAnsi="Helvetica" w:cs="Helvetica"/>
          <w:color w:val="000000"/>
          <w:shd w:val="clear" w:color="auto" w:fill="FFFFFF"/>
        </w:rPr>
        <w:t xml:space="preserve"> button</w:t>
      </w:r>
    </w:p>
    <w:p w14:paraId="05136AE7" w14:textId="31E6273D" w:rsidR="007C7A6F" w:rsidRPr="000636EC" w:rsidRDefault="007C7A6F" w:rsidP="007C7A6F">
      <w:pPr>
        <w:pStyle w:val="Heading4"/>
      </w:pPr>
      <w:r w:rsidRPr="000636EC">
        <w:t>How to Run the DataQuest Report</w:t>
      </w:r>
    </w:p>
    <w:p w14:paraId="54F8CAA0" w14:textId="58199D29" w:rsidR="007C7A6F" w:rsidRPr="00BD6E05" w:rsidRDefault="00BD6E05" w:rsidP="00613B72">
      <w:pPr>
        <w:pStyle w:val="ListParagraph"/>
        <w:numPr>
          <w:ilvl w:val="0"/>
          <w:numId w:val="13"/>
        </w:numPr>
        <w:ind w:left="576" w:hanging="288"/>
      </w:pPr>
      <w:r w:rsidRPr="00BD6E05">
        <w:t>Navigate to the CDE DataQuest web page</w:t>
      </w:r>
      <w:r w:rsidR="00973932">
        <w:t xml:space="preserve"> at</w:t>
      </w:r>
      <w:r w:rsidRPr="00BD6E05">
        <w:t xml:space="preserve"> </w:t>
      </w:r>
      <w:hyperlink r:id="rId20" w:tooltip="CDE DataQuest web page" w:history="1">
        <w:r w:rsidR="00973932" w:rsidRPr="005E5159">
          <w:rPr>
            <w:rStyle w:val="Hyperlink"/>
          </w:rPr>
          <w:t>https://dq.cde.ca.gov/dataquest/</w:t>
        </w:r>
      </w:hyperlink>
    </w:p>
    <w:p w14:paraId="67824A7E" w14:textId="77777777" w:rsidR="007C7A6F" w:rsidRPr="00BD6E05" w:rsidRDefault="007C7A6F" w:rsidP="00613B72">
      <w:pPr>
        <w:pStyle w:val="ListParagraph"/>
        <w:numPr>
          <w:ilvl w:val="0"/>
          <w:numId w:val="13"/>
        </w:numPr>
        <w:ind w:left="576" w:hanging="288"/>
      </w:pPr>
      <w:r w:rsidRPr="00BD6E05">
        <w:t>Select a report Level</w:t>
      </w:r>
    </w:p>
    <w:p w14:paraId="0C70B2F8" w14:textId="77777777" w:rsidR="007C7A6F" w:rsidRPr="00BD6E05" w:rsidRDefault="007C7A6F" w:rsidP="00613B72">
      <w:pPr>
        <w:pStyle w:val="ListParagraph"/>
        <w:numPr>
          <w:ilvl w:val="0"/>
          <w:numId w:val="13"/>
        </w:numPr>
        <w:ind w:left="576" w:hanging="288"/>
      </w:pPr>
      <w:r w:rsidRPr="00BD6E05">
        <w:t>Select a report Subject</w:t>
      </w:r>
    </w:p>
    <w:p w14:paraId="5A8E9CD9" w14:textId="77777777" w:rsidR="007C7A6F" w:rsidRPr="00BD6E05" w:rsidRDefault="007C7A6F" w:rsidP="00613B72">
      <w:pPr>
        <w:pStyle w:val="ListParagraph"/>
        <w:numPr>
          <w:ilvl w:val="1"/>
          <w:numId w:val="13"/>
        </w:numPr>
      </w:pPr>
      <w:r w:rsidRPr="00BD6E05">
        <w:t xml:space="preserve"> Postsecondary Preparation (SAT, ACT, AP)</w:t>
      </w:r>
    </w:p>
    <w:p w14:paraId="65623EE3" w14:textId="54818901" w:rsidR="007C7A6F" w:rsidRPr="00BD6E05" w:rsidRDefault="007C7A6F" w:rsidP="00613B72">
      <w:pPr>
        <w:pStyle w:val="ListParagraph"/>
        <w:numPr>
          <w:ilvl w:val="0"/>
          <w:numId w:val="13"/>
        </w:numPr>
        <w:ind w:left="576" w:hanging="288"/>
      </w:pPr>
      <w:r w:rsidRPr="00BD6E05">
        <w:t xml:space="preserve">Select </w:t>
      </w:r>
      <w:r w:rsidR="006C6346">
        <w:t xml:space="preserve">the </w:t>
      </w:r>
      <w:r w:rsidRPr="00BD6E05">
        <w:t>Submit</w:t>
      </w:r>
      <w:r w:rsidR="006C6346">
        <w:t xml:space="preserve"> button</w:t>
      </w:r>
    </w:p>
    <w:p w14:paraId="18F7B236" w14:textId="4E3D700C" w:rsidR="00433C78" w:rsidRDefault="00433C78" w:rsidP="002F43CE">
      <w:pPr>
        <w:pStyle w:val="Heading4"/>
      </w:pPr>
      <w:r w:rsidRPr="00433C78">
        <w:lastRenderedPageBreak/>
        <w:t xml:space="preserve">What </w:t>
      </w:r>
      <w:r>
        <w:t>I</w:t>
      </w:r>
      <w:r w:rsidRPr="00433C78">
        <w:t>s Different Between DataQuest, College/Career Additional Report, and Local Data</w:t>
      </w:r>
    </w:p>
    <w:p w14:paraId="34DC8352" w14:textId="786B4886" w:rsidR="00433C78" w:rsidRDefault="00433C78" w:rsidP="00807C0E">
      <w:pPr>
        <w:spacing w:before="240" w:after="240"/>
      </w:pPr>
      <w:r w:rsidRPr="000636EC">
        <w:t xml:space="preserve">The Postsecondary Preparation reports on DataQuest contain results for students who took the SAT, ACT, and/or AP exams. In comparison, the </w:t>
      </w:r>
      <w:r w:rsidRPr="003E757E">
        <w:t>College/Career (Select Measures Only)</w:t>
      </w:r>
      <w:r>
        <w:t xml:space="preserve"> </w:t>
      </w:r>
      <w:r w:rsidRPr="003E757E">
        <w:t>Additional Report</w:t>
      </w:r>
      <w:r w:rsidRPr="000636EC">
        <w:t xml:space="preserve"> displays the number and percentage of students who completed specific measures that are included in the CCI. </w:t>
      </w:r>
    </w:p>
    <w:p w14:paraId="098E0161" w14:textId="7242C17A" w:rsidR="00433C78" w:rsidRPr="000636EC" w:rsidRDefault="00433C78" w:rsidP="00C751FC">
      <w:pPr>
        <w:spacing w:after="240"/>
      </w:pPr>
      <w:r w:rsidRPr="000636EC">
        <w:t xml:space="preserve">Note that this year’s </w:t>
      </w:r>
      <w:r w:rsidR="00047FC9">
        <w:t xml:space="preserve">College/Career </w:t>
      </w:r>
      <w:r w:rsidRPr="000636EC">
        <w:t>Additional Report is different from prior years in that it does not contain any data on Prepared, Approaching Prepared, and Not Prepared levels.</w:t>
      </w:r>
      <w:r>
        <w:t xml:space="preserve"> </w:t>
      </w:r>
      <w:r w:rsidRPr="000636EC">
        <w:t>The reason is that with the suspension of the 2020 Smarter Balanced Assessments, there are no test results for the Class of 2021. Because the Smarter Balanced Assessments is not only a standalone measure in the CCI, but also used in conjunction with other measures, determinations for Prepared, Approaching Prepared, and Not Prepared cannot be made.</w:t>
      </w:r>
    </w:p>
    <w:p w14:paraId="17B1D651" w14:textId="470CCECA" w:rsidR="00433C78" w:rsidRPr="000636EC" w:rsidRDefault="00433C78" w:rsidP="00807C0E">
      <w:pPr>
        <w:spacing w:after="240"/>
      </w:pPr>
      <w:r w:rsidRPr="000636EC">
        <w:t xml:space="preserve">The College/Career Additional Report </w:t>
      </w:r>
      <w:r w:rsidRPr="002F43CE">
        <w:rPr>
          <w:rStyle w:val="Strong"/>
        </w:rPr>
        <w:t>does not</w:t>
      </w:r>
      <w:r w:rsidRPr="000636EC">
        <w:rPr>
          <w:b/>
        </w:rPr>
        <w:t xml:space="preserve"> </w:t>
      </w:r>
      <w:r w:rsidRPr="000636EC">
        <w:t xml:space="preserve">display the difference from prior CCI data (Change), and it also </w:t>
      </w:r>
      <w:r w:rsidRPr="002F43CE">
        <w:rPr>
          <w:rStyle w:val="Strong"/>
        </w:rPr>
        <w:t>does not</w:t>
      </w:r>
      <w:r w:rsidRPr="000636EC">
        <w:rPr>
          <w:b/>
        </w:rPr>
        <w:t xml:space="preserve"> </w:t>
      </w:r>
      <w:r w:rsidRPr="000636EC">
        <w:t>report any Dashboard performance colors.</w:t>
      </w:r>
    </w:p>
    <w:p w14:paraId="41F5C952" w14:textId="65448A87" w:rsidR="00433C78" w:rsidRDefault="00433C78" w:rsidP="00103604">
      <w:pPr>
        <w:spacing w:before="80" w:after="120"/>
      </w:pPr>
      <w:r w:rsidRPr="000636EC">
        <w:t>Local data will show what courses, tests, or programs students completed. If LEAs would like to determine Approaching Prepared or Prepared on their own, they will have do so manually by using the preparedness criteria in the following two CCI flyers:</w:t>
      </w:r>
    </w:p>
    <w:p w14:paraId="431902A0" w14:textId="4532D44F" w:rsidR="00251A26" w:rsidRDefault="00CF17F2" w:rsidP="00047FC9">
      <w:pPr>
        <w:pStyle w:val="ListParagraph"/>
        <w:numPr>
          <w:ilvl w:val="0"/>
          <w:numId w:val="18"/>
        </w:numPr>
        <w:spacing w:before="80" w:after="120"/>
      </w:pPr>
      <w:r w:rsidRPr="00047FC9">
        <w:t xml:space="preserve">The </w:t>
      </w:r>
      <w:r w:rsidR="00103604" w:rsidRPr="00047FC9">
        <w:t>CDE</w:t>
      </w:r>
      <w:r w:rsidRPr="00047FC9">
        <w:t xml:space="preserve"> </w:t>
      </w:r>
      <w:r w:rsidRPr="00047FC9">
        <w:rPr>
          <w:rStyle w:val="Strong"/>
        </w:rPr>
        <w:t>College</w:t>
      </w:r>
      <w:r w:rsidRPr="00251A26">
        <w:rPr>
          <w:rStyle w:val="Strong"/>
        </w:rPr>
        <w:t xml:space="preserve">/Career Indicator (CCI): Measures of College Readiness </w:t>
      </w:r>
      <w:r w:rsidR="00B93029">
        <w:t xml:space="preserve">flyer </w:t>
      </w:r>
      <w:r w:rsidRPr="00CF17F2">
        <w:t>is available</w:t>
      </w:r>
      <w:r>
        <w:t xml:space="preserve"> at </w:t>
      </w:r>
      <w:hyperlink r:id="rId21" w:tooltip="Dashboard College/Career Indicator (CCI) Measures of College Readiness: PDF" w:history="1">
        <w:r w:rsidRPr="00AB0E9B">
          <w:rPr>
            <w:rStyle w:val="Hyperlink"/>
          </w:rPr>
          <w:t>https://www.cde.ca.gov/ta/ac/cm/documents/ccicollege.pdf</w:t>
        </w:r>
      </w:hyperlink>
      <w:r w:rsidR="00251A26">
        <w:t>.</w:t>
      </w:r>
    </w:p>
    <w:p w14:paraId="4B45CCAA" w14:textId="5696B11F" w:rsidR="0033253F" w:rsidRDefault="00CF17F2" w:rsidP="00047FC9">
      <w:pPr>
        <w:pStyle w:val="ListParagraph"/>
        <w:numPr>
          <w:ilvl w:val="0"/>
          <w:numId w:val="18"/>
        </w:numPr>
        <w:spacing w:before="80" w:after="240"/>
      </w:pPr>
      <w:r>
        <w:t xml:space="preserve">The </w:t>
      </w:r>
      <w:r w:rsidR="00047FC9" w:rsidRPr="00047FC9">
        <w:t xml:space="preserve">CDE </w:t>
      </w:r>
      <w:r w:rsidRPr="00047FC9">
        <w:rPr>
          <w:rStyle w:val="Strong"/>
        </w:rPr>
        <w:t>College</w:t>
      </w:r>
      <w:r w:rsidRPr="00251A26">
        <w:rPr>
          <w:rStyle w:val="Strong"/>
        </w:rPr>
        <w:t xml:space="preserve">/Career Indicator (CCI): </w:t>
      </w:r>
      <w:r w:rsidR="00251A26" w:rsidRPr="00251A26">
        <w:rPr>
          <w:rStyle w:val="Strong"/>
        </w:rPr>
        <w:t>Measures of Career Readiness</w:t>
      </w:r>
      <w:r>
        <w:t xml:space="preserve"> </w:t>
      </w:r>
      <w:r w:rsidR="00B93029">
        <w:t xml:space="preserve">flyer </w:t>
      </w:r>
      <w:r w:rsidRPr="00CF17F2">
        <w:t>is available</w:t>
      </w:r>
      <w:r>
        <w:t xml:space="preserve"> at </w:t>
      </w:r>
      <w:hyperlink r:id="rId22" w:tooltip="Dashboard College/Career Indicator (CCI) Measures of Career Readiness: PDF">
        <w:r w:rsidR="0033253F" w:rsidRPr="0049490F">
          <w:rPr>
            <w:rStyle w:val="Hyperlink"/>
          </w:rPr>
          <w:t>https://www.cde.ca.gov/ta/ac/cm/documents/ccicareer.pdf</w:t>
        </w:r>
      </w:hyperlink>
      <w:r w:rsidR="00251A26">
        <w:t>.</w:t>
      </w:r>
    </w:p>
    <w:p w14:paraId="4FC97823" w14:textId="27591ED1" w:rsidR="0033253F" w:rsidRDefault="0033253F" w:rsidP="0033253F">
      <w:pPr>
        <w:pStyle w:val="Heading4"/>
        <w:rPr>
          <w:b w:val="0"/>
        </w:rPr>
      </w:pPr>
      <w:bookmarkStart w:id="13" w:name="_mkgltggu4ke" w:colFirst="0" w:colLast="0"/>
      <w:bookmarkEnd w:id="13"/>
      <w:r>
        <w:t>Additional Local Data Sources</w:t>
      </w:r>
    </w:p>
    <w:p w14:paraId="3284E14C" w14:textId="209B34C2" w:rsidR="008F51CA" w:rsidRPr="000636EC" w:rsidRDefault="008F51CA" w:rsidP="008F51CA">
      <w:pPr>
        <w:pStyle w:val="ListParagraph"/>
      </w:pPr>
      <w:r w:rsidRPr="000636EC">
        <w:t xml:space="preserve">On-track reports (graduation, a-g, etc.) for current grade </w:t>
      </w:r>
      <w:r w:rsidR="00047FC9">
        <w:t xml:space="preserve">twelve </w:t>
      </w:r>
      <w:r w:rsidRPr="000636EC">
        <w:t xml:space="preserve">students and </w:t>
      </w:r>
      <w:r>
        <w:t>students in grades nine through eleven</w:t>
      </w:r>
    </w:p>
    <w:p w14:paraId="2EC3F9A0" w14:textId="77777777" w:rsidR="008F51CA" w:rsidRPr="000636EC" w:rsidRDefault="008F51CA" w:rsidP="008F51CA">
      <w:pPr>
        <w:pStyle w:val="ListParagraph"/>
      </w:pPr>
      <w:r w:rsidRPr="000636EC">
        <w:t>Student course enrollment for current students</w:t>
      </w:r>
    </w:p>
    <w:p w14:paraId="0B30D0E1" w14:textId="6C378CD0" w:rsidR="00C012D9" w:rsidRPr="00C012D9" w:rsidRDefault="008F51CA" w:rsidP="00C012D9">
      <w:pPr>
        <w:pStyle w:val="ListParagraph"/>
        <w:spacing w:after="120"/>
        <w:rPr>
          <w:b/>
          <w:color w:val="1A2029" w:themeColor="text1" w:themeShade="80"/>
          <w:sz w:val="30"/>
          <w:szCs w:val="28"/>
          <w:shd w:val="clear" w:color="auto" w:fill="F3F3F3"/>
        </w:rPr>
      </w:pPr>
      <w:r w:rsidRPr="000636EC">
        <w:t xml:space="preserve">Disaggregated list of AP exam results, IB exams results, and grade </w:t>
      </w:r>
      <w:r>
        <w:t>eleven</w:t>
      </w:r>
      <w:r w:rsidRPr="000636EC">
        <w:t xml:space="preserve"> Smarter Balanced results. (See AP and IB exam results obtained from The College Board and your local CAASPP TOMS file</w:t>
      </w:r>
      <w:r w:rsidR="00952369">
        <w:t>.</w:t>
      </w:r>
      <w:r w:rsidRPr="000636EC">
        <w:t>)</w:t>
      </w:r>
    </w:p>
    <w:p w14:paraId="063242B0" w14:textId="2A21E8D2" w:rsidR="00B73326" w:rsidRDefault="00F00F08" w:rsidP="00C012D9">
      <w:pPr>
        <w:pStyle w:val="Heading3"/>
        <w:pageBreakBefore/>
      </w:pPr>
      <w:r>
        <w:lastRenderedPageBreak/>
        <w:t>Chronic Absenteeism</w:t>
      </w:r>
      <w:r w:rsidR="00744498">
        <w:t xml:space="preserve"> Indicator</w:t>
      </w:r>
    </w:p>
    <w:p w14:paraId="6C80BC6A" w14:textId="269A8776" w:rsidR="00961C98" w:rsidRDefault="00961C98" w:rsidP="00CD447C">
      <w:pPr>
        <w:spacing w:after="360"/>
        <w:rPr>
          <w:rFonts w:ascii="Helvetica" w:hAnsi="Helvetica" w:cs="Helvetica"/>
          <w:color w:val="000000"/>
          <w:shd w:val="clear" w:color="auto" w:fill="FFFFFF"/>
        </w:rPr>
      </w:pPr>
      <w:r w:rsidRPr="000636EC">
        <w:t>This indicator is reported for students in</w:t>
      </w:r>
      <w:r w:rsidR="00FD55EC">
        <w:t xml:space="preserve"> </w:t>
      </w:r>
      <w:r w:rsidR="00047FC9">
        <w:t xml:space="preserve">kindergarten </w:t>
      </w:r>
      <w:r w:rsidR="00952369">
        <w:t xml:space="preserve">through </w:t>
      </w:r>
      <w:r w:rsidR="00047FC9">
        <w:t xml:space="preserve">grade </w:t>
      </w:r>
      <w:r w:rsidR="00952369">
        <w:t>eight</w:t>
      </w:r>
      <w:r w:rsidRPr="000636EC">
        <w:t>.</w:t>
      </w:r>
      <w:r>
        <w:t xml:space="preserve"> </w:t>
      </w:r>
      <w:r w:rsidRPr="000636EC">
        <w:t xml:space="preserve">The attendance data used for this indicator are sourced from </w:t>
      </w:r>
      <w:r w:rsidR="00940B6B">
        <w:t xml:space="preserve">the </w:t>
      </w:r>
      <w:r w:rsidRPr="000636EC">
        <w:t xml:space="preserve">data </w:t>
      </w:r>
      <w:r w:rsidR="00940B6B">
        <w:t xml:space="preserve">that </w:t>
      </w:r>
      <w:r w:rsidRPr="000636EC">
        <w:t xml:space="preserve">LEAs and schools submit to </w:t>
      </w:r>
      <w:r w:rsidR="0081723C">
        <w:t xml:space="preserve">the </w:t>
      </w:r>
      <w:r w:rsidRPr="000636EC">
        <w:t>CALPADS.</w:t>
      </w:r>
      <w:r>
        <w:t xml:space="preserve"> (Note that </w:t>
      </w:r>
      <w:r>
        <w:rPr>
          <w:rFonts w:ascii="Helvetica" w:hAnsi="Helvetica" w:cs="Helvetica"/>
          <w:color w:val="000000"/>
          <w:shd w:val="clear" w:color="auto" w:fill="FFFFFF"/>
        </w:rPr>
        <w:t>as a result of the statewide physical school closures that occurred in February</w:t>
      </w:r>
      <w:r w:rsidR="00933DBF">
        <w:rPr>
          <w:rFonts w:ascii="Helvetica" w:hAnsi="Helvetica" w:cs="Helvetica"/>
          <w:color w:val="000000"/>
          <w:shd w:val="clear" w:color="auto" w:fill="FFFFFF"/>
        </w:rPr>
        <w:t>/</w:t>
      </w:r>
      <w:r>
        <w:rPr>
          <w:rFonts w:ascii="Helvetica" w:hAnsi="Helvetica" w:cs="Helvetica"/>
          <w:color w:val="000000"/>
          <w:shd w:val="clear" w:color="auto" w:fill="FFFFFF"/>
        </w:rPr>
        <w:t>March</w:t>
      </w:r>
      <w:r w:rsidR="00026A50">
        <w:rPr>
          <w:rFonts w:ascii="Helvetica" w:hAnsi="Helvetica" w:cs="Helvetica"/>
          <w:color w:val="000000"/>
          <w:shd w:val="clear" w:color="auto" w:fill="FFFFFF"/>
        </w:rPr>
        <w:t> </w:t>
      </w:r>
      <w:r>
        <w:rPr>
          <w:rFonts w:ascii="Helvetica" w:hAnsi="Helvetica" w:cs="Helvetica"/>
          <w:color w:val="000000"/>
          <w:shd w:val="clear" w:color="auto" w:fill="FFFFFF"/>
        </w:rPr>
        <w:t>2020 due to the COVID-19 pandemic, the 2019–20 absenteeism data were not reported.)</w:t>
      </w:r>
    </w:p>
    <w:tbl>
      <w:tblPr>
        <w:tblStyle w:val="GridTable5Dark-Accent1"/>
        <w:tblW w:w="9360" w:type="dxa"/>
        <w:tblLayout w:type="fixed"/>
        <w:tblCellMar>
          <w:top w:w="72" w:type="dxa"/>
          <w:bottom w:w="72" w:type="dxa"/>
        </w:tblCellMar>
        <w:tblLook w:val="0620" w:firstRow="1" w:lastRow="0" w:firstColumn="0" w:lastColumn="0" w:noHBand="1" w:noVBand="1"/>
        <w:tblDescription w:val="Additional Reports to run and Data link for Run for Chronic Absenteeism."/>
      </w:tblPr>
      <w:tblGrid>
        <w:gridCol w:w="2335"/>
        <w:gridCol w:w="7025"/>
      </w:tblGrid>
      <w:tr w:rsidR="00B73326" w14:paraId="4BB2A765" w14:textId="77777777" w:rsidTr="00B30077">
        <w:trPr>
          <w:cnfStyle w:val="100000000000" w:firstRow="1" w:lastRow="0" w:firstColumn="0" w:lastColumn="0" w:oddVBand="0" w:evenVBand="0" w:oddHBand="0" w:evenHBand="0" w:firstRowFirstColumn="0" w:firstRowLastColumn="0" w:lastRowFirstColumn="0" w:lastRowLastColumn="0"/>
          <w:cantSplit/>
          <w:trHeight w:val="1102"/>
          <w:tblHeader/>
        </w:trPr>
        <w:tc>
          <w:tcPr>
            <w:tcW w:w="2335" w:type="dxa"/>
          </w:tcPr>
          <w:p w14:paraId="51350BD7" w14:textId="6F902CA4" w:rsidR="00B73326" w:rsidRPr="001C685A" w:rsidRDefault="000B4286" w:rsidP="003B63C4">
            <w:pPr>
              <w:widowControl w:val="0"/>
              <w:spacing w:line="216" w:lineRule="auto"/>
            </w:pPr>
            <w:r w:rsidRPr="001C685A">
              <w:t>State Indicator Reported</w:t>
            </w:r>
            <w:r w:rsidR="00F00F08" w:rsidRPr="001C685A">
              <w:t xml:space="preserve"> on the Dashboard</w:t>
            </w:r>
            <w:r w:rsidRPr="001C685A">
              <w:t>?</w:t>
            </w:r>
          </w:p>
        </w:tc>
        <w:tc>
          <w:tcPr>
            <w:tcW w:w="7025" w:type="dxa"/>
          </w:tcPr>
          <w:p w14:paraId="7B140FE4" w14:textId="115A86F0" w:rsidR="00B73326" w:rsidRPr="001C685A" w:rsidRDefault="004B7BEB" w:rsidP="003B63C4">
            <w:pPr>
              <w:widowControl w:val="0"/>
              <w:spacing w:line="216" w:lineRule="auto"/>
            </w:pPr>
            <w:r w:rsidRPr="001C685A">
              <w:t xml:space="preserve">Other </w:t>
            </w:r>
            <w:r w:rsidR="00F00F08" w:rsidRPr="001C685A">
              <w:t>Reports to Run</w:t>
            </w:r>
          </w:p>
        </w:tc>
      </w:tr>
      <w:tr w:rsidR="00B73326" w14:paraId="18FBBB1B" w14:textId="77777777" w:rsidTr="00B30077">
        <w:trPr>
          <w:cantSplit/>
          <w:trHeight w:val="769"/>
        </w:trPr>
        <w:tc>
          <w:tcPr>
            <w:tcW w:w="2335" w:type="dxa"/>
          </w:tcPr>
          <w:p w14:paraId="1FCCBA6A" w14:textId="5C3B2859" w:rsidR="00B73326" w:rsidRDefault="00F00F08">
            <w:pPr>
              <w:widowControl w:val="0"/>
            </w:pPr>
            <w:r>
              <w:t>No</w:t>
            </w:r>
          </w:p>
        </w:tc>
        <w:tc>
          <w:tcPr>
            <w:tcW w:w="7025" w:type="dxa"/>
          </w:tcPr>
          <w:p w14:paraId="3EBB5DAD" w14:textId="77777777" w:rsidR="008058DE" w:rsidRPr="000636EC" w:rsidRDefault="008058DE" w:rsidP="008058DE">
            <w:pPr>
              <w:pStyle w:val="ListParagraph"/>
            </w:pPr>
            <w:r w:rsidRPr="000636EC">
              <w:t>Chronic Absenteeism Rates (DataQuest)</w:t>
            </w:r>
          </w:p>
          <w:p w14:paraId="0C183D7E" w14:textId="35057C5B" w:rsidR="00B73326" w:rsidRDefault="008058DE" w:rsidP="008058DE">
            <w:pPr>
              <w:pStyle w:val="ListParagraph"/>
            </w:pPr>
            <w:r w:rsidRPr="000636EC">
              <w:t>Absenteeism by Reason (DataQuest)</w:t>
            </w:r>
          </w:p>
        </w:tc>
      </w:tr>
    </w:tbl>
    <w:p w14:paraId="6D9C937E" w14:textId="77777777" w:rsidR="008058DE" w:rsidRPr="008058DE" w:rsidRDefault="008058DE" w:rsidP="008058DE">
      <w:pPr>
        <w:pStyle w:val="Heading4"/>
        <w:rPr>
          <w:color w:val="auto"/>
          <w:sz w:val="24"/>
        </w:rPr>
      </w:pPr>
      <w:r w:rsidRPr="008058DE">
        <w:t>How to Run the Chronic Absenteeism and Absenteeism by Reason DataQuest Reports</w:t>
      </w:r>
    </w:p>
    <w:p w14:paraId="05DA39A0" w14:textId="3E283078" w:rsidR="008058DE" w:rsidRPr="00BD6E05" w:rsidRDefault="008058DE" w:rsidP="00613B72">
      <w:pPr>
        <w:pStyle w:val="ListParagraph"/>
        <w:numPr>
          <w:ilvl w:val="0"/>
          <w:numId w:val="14"/>
        </w:numPr>
      </w:pPr>
      <w:r w:rsidRPr="00BD6E05">
        <w:t xml:space="preserve">Navigate to the CDE DataQuest web page </w:t>
      </w:r>
      <w:hyperlink r:id="rId23" w:tooltip="CDE DataQuest web page" w:history="1">
        <w:r w:rsidRPr="00FF25CD">
          <w:t xml:space="preserve">at </w:t>
        </w:r>
        <w:r w:rsidRPr="00961C98">
          <w:rPr>
            <w:rStyle w:val="Hyperlink"/>
          </w:rPr>
          <w:t>https://dq.cde.ca.gov/dataquest/</w:t>
        </w:r>
      </w:hyperlink>
    </w:p>
    <w:p w14:paraId="0558D2BF" w14:textId="77777777" w:rsidR="0033253F" w:rsidRDefault="0033253F" w:rsidP="00613B72">
      <w:pPr>
        <w:pStyle w:val="ListParagraph"/>
        <w:numPr>
          <w:ilvl w:val="0"/>
          <w:numId w:val="14"/>
        </w:numPr>
      </w:pPr>
      <w:r>
        <w:t>Select a report Level</w:t>
      </w:r>
    </w:p>
    <w:p w14:paraId="3B9998BE" w14:textId="77777777" w:rsidR="0033253F" w:rsidRDefault="0033253F" w:rsidP="00613B72">
      <w:pPr>
        <w:pStyle w:val="ListParagraph"/>
        <w:numPr>
          <w:ilvl w:val="0"/>
          <w:numId w:val="14"/>
        </w:numPr>
      </w:pPr>
      <w:r>
        <w:t>Select a report Subject</w:t>
      </w:r>
    </w:p>
    <w:p w14:paraId="5A3862F6" w14:textId="77777777" w:rsidR="008058DE" w:rsidRPr="000636EC" w:rsidRDefault="008058DE" w:rsidP="00613B72">
      <w:pPr>
        <w:pStyle w:val="ListParagraph"/>
        <w:numPr>
          <w:ilvl w:val="1"/>
          <w:numId w:val="14"/>
        </w:numPr>
      </w:pPr>
      <w:r w:rsidRPr="000636EC">
        <w:t>Absenteeism Data</w:t>
      </w:r>
    </w:p>
    <w:p w14:paraId="403957A6" w14:textId="45B2BF6B" w:rsidR="008058DE" w:rsidRPr="000636EC" w:rsidRDefault="008058DE" w:rsidP="00613B72">
      <w:pPr>
        <w:pStyle w:val="ListParagraph"/>
        <w:numPr>
          <w:ilvl w:val="0"/>
          <w:numId w:val="14"/>
        </w:numPr>
      </w:pPr>
      <w:r w:rsidRPr="000636EC">
        <w:t xml:space="preserve">Select </w:t>
      </w:r>
      <w:r w:rsidR="00E54B2B">
        <w:t xml:space="preserve">the </w:t>
      </w:r>
      <w:r w:rsidRPr="000636EC">
        <w:t>Submit</w:t>
      </w:r>
      <w:r w:rsidR="00E54B2B">
        <w:t xml:space="preserve"> button</w:t>
      </w:r>
    </w:p>
    <w:p w14:paraId="72E464CD" w14:textId="77777777" w:rsidR="008058DE" w:rsidRPr="000636EC" w:rsidRDefault="008058DE" w:rsidP="00613B72">
      <w:pPr>
        <w:pStyle w:val="ListParagraph"/>
        <w:numPr>
          <w:ilvl w:val="0"/>
          <w:numId w:val="14"/>
        </w:numPr>
      </w:pPr>
      <w:r w:rsidRPr="000636EC">
        <w:t>Select the Absenteeism by Reason Report or the Chronic Absenteeism Rate Report</w:t>
      </w:r>
    </w:p>
    <w:p w14:paraId="5816F7A2" w14:textId="01B38D6D" w:rsidR="0033253F" w:rsidRDefault="0033253F" w:rsidP="0061725D">
      <w:pPr>
        <w:pStyle w:val="Heading4"/>
      </w:pPr>
      <w:r>
        <w:t>Additional Local Data Sources</w:t>
      </w:r>
    </w:p>
    <w:p w14:paraId="0426EE94" w14:textId="5DE77A45" w:rsidR="0033253F" w:rsidRDefault="0033253F" w:rsidP="0061725D">
      <w:pPr>
        <w:pStyle w:val="ListParagraph"/>
      </w:pPr>
      <w:r>
        <w:t xml:space="preserve">Quarterly attendance reports by </w:t>
      </w:r>
      <w:r w:rsidR="00F653F0">
        <w:t xml:space="preserve">grade </w:t>
      </w:r>
      <w:r>
        <w:t>level (high school, middle school, elementary school) and student group</w:t>
      </w:r>
    </w:p>
    <w:p w14:paraId="0C45B45B" w14:textId="43DA0A8C" w:rsidR="00B73326" w:rsidRDefault="0033253F" w:rsidP="0061725D">
      <w:pPr>
        <w:pStyle w:val="ListParagraph"/>
      </w:pPr>
      <w:r>
        <w:t>Suspension data by month including school distribution</w:t>
      </w:r>
    </w:p>
    <w:p w14:paraId="7687C562" w14:textId="3BA701A6" w:rsidR="00B73326" w:rsidRDefault="00F00F08" w:rsidP="00EA00C7">
      <w:pPr>
        <w:pStyle w:val="Heading2"/>
        <w:pageBreakBefore/>
        <w:rPr>
          <w:shd w:val="clear" w:color="auto" w:fill="auto"/>
        </w:rPr>
      </w:pPr>
      <w:bookmarkStart w:id="14" w:name="_su5jeftkj1iq" w:colFirst="0" w:colLast="0"/>
      <w:bookmarkStart w:id="15" w:name="_ekj804a7gbac" w:colFirst="0" w:colLast="0"/>
      <w:bookmarkStart w:id="16" w:name="_5v76pwq0rhwq" w:colFirst="0" w:colLast="0"/>
      <w:bookmarkStart w:id="17" w:name="_g3vw9oulb4ri" w:colFirst="0" w:colLast="0"/>
      <w:bookmarkEnd w:id="14"/>
      <w:bookmarkEnd w:id="15"/>
      <w:bookmarkEnd w:id="16"/>
      <w:bookmarkEnd w:id="17"/>
      <w:r w:rsidRPr="0061725D">
        <w:rPr>
          <w:shd w:val="clear" w:color="auto" w:fill="auto"/>
        </w:rPr>
        <w:lastRenderedPageBreak/>
        <w:t>Dashboard Local Indicators</w:t>
      </w:r>
    </w:p>
    <w:p w14:paraId="2BB25056" w14:textId="63F5C5CB" w:rsidR="004B7BEB" w:rsidRPr="000636EC" w:rsidRDefault="004B7BEB" w:rsidP="00C72F64">
      <w:pPr>
        <w:widowControl w:val="0"/>
        <w:spacing w:after="240"/>
      </w:pPr>
      <w:r w:rsidRPr="000636EC">
        <w:t>Consistent with AB 130, the CDE will publish local indicator data reported by LEAs in the 2021 Dashboard. However, LEAs will not be assigned a Performance Level (i.e.</w:t>
      </w:r>
      <w:r w:rsidR="0009079B">
        <w:t>,</w:t>
      </w:r>
      <w:r w:rsidRPr="000636EC">
        <w:t xml:space="preserve"> Met, Not Met, Not Met for Two or More Years) for accountability purposes in the 2021 Dashboard.</w:t>
      </w:r>
    </w:p>
    <w:p w14:paraId="05B0CA39" w14:textId="1F2FFBE0" w:rsidR="004B7BEB" w:rsidRPr="000636EC" w:rsidRDefault="004B7BEB" w:rsidP="00F375FA">
      <w:pPr>
        <w:widowControl w:val="0"/>
      </w:pPr>
      <w:r w:rsidRPr="000636EC">
        <w:t xml:space="preserve">LEAs are required to annually measure their progress in meeting the requirements of the specific </w:t>
      </w:r>
      <w:r w:rsidR="003F4786">
        <w:t>Local Control Funding Formula</w:t>
      </w:r>
      <w:r w:rsidRPr="000636EC">
        <w:t xml:space="preserve"> priority, report the results to the LEA’s local governing board/body in conjunction with the adoption of the </w:t>
      </w:r>
      <w:r w:rsidR="00EA0CDF">
        <w:t>Local Control and Accountability Plan</w:t>
      </w:r>
      <w:r w:rsidRPr="000636EC">
        <w:t xml:space="preserve">, and report results to the public through the Dashboard utilizing the </w:t>
      </w:r>
      <w:r w:rsidR="00641A3B">
        <w:t>State Board of Education</w:t>
      </w:r>
      <w:r w:rsidRPr="000636EC">
        <w:t>-adopted self-reflection tools for each local indicator.</w:t>
      </w:r>
    </w:p>
    <w:p w14:paraId="6A4AA93F" w14:textId="27F4525F" w:rsidR="004B7BEB" w:rsidRPr="000636EC" w:rsidRDefault="004B7BEB" w:rsidP="0009079B">
      <w:pPr>
        <w:widowControl w:val="0"/>
        <w:spacing w:before="240" w:after="240"/>
      </w:pPr>
      <w:r w:rsidRPr="000636EC">
        <w:t xml:space="preserve">Please </w:t>
      </w:r>
      <w:r w:rsidR="00867B85">
        <w:t>access</w:t>
      </w:r>
      <w:r w:rsidRPr="000636EC">
        <w:t xml:space="preserve"> the Local Performance Indicator Quick Guide, found on the CDE Local Indicator web page</w:t>
      </w:r>
      <w:r w:rsidR="00E0481E">
        <w:t xml:space="preserve"> at</w:t>
      </w:r>
      <w:r w:rsidRPr="000636EC">
        <w:t xml:space="preserve"> </w:t>
      </w:r>
      <w:hyperlink r:id="rId24" w:tooltip="CDE’s Local Indicator web page " w:history="1">
        <w:r w:rsidRPr="000636EC">
          <w:rPr>
            <w:rStyle w:val="Hyperlink"/>
          </w:rPr>
          <w:t>https://www.cde.ca.gov/ta/ac/cm/localindicators.asp</w:t>
        </w:r>
      </w:hyperlink>
      <w:r w:rsidRPr="000636EC">
        <w:t>, for additional information about the self-reflection tools that an LEA uses to report its progress on the local indicators.</w:t>
      </w:r>
    </w:p>
    <w:p w14:paraId="0EB8BF41" w14:textId="1514AADC" w:rsidR="00F02B1A" w:rsidRDefault="004B7BEB" w:rsidP="0009079B">
      <w:pPr>
        <w:spacing w:after="360"/>
      </w:pPr>
      <w:r w:rsidRPr="00E0481E">
        <w:t>The following table provides an overview of the type of data reported for each local indicator.</w:t>
      </w:r>
    </w:p>
    <w:p w14:paraId="6785CB94" w14:textId="77777777" w:rsidR="00117D00" w:rsidRDefault="00117D00" w:rsidP="00117D00">
      <w:pPr>
        <w:widowControl w:val="0"/>
        <w:spacing w:before="120"/>
      </w:pPr>
      <w:r>
        <w:t>* COE Only</w:t>
      </w:r>
    </w:p>
    <w:tbl>
      <w:tblPr>
        <w:tblStyle w:val="GridTable5Dark-Accent1"/>
        <w:tblW w:w="9805" w:type="dxa"/>
        <w:tblLayout w:type="fixed"/>
        <w:tblCellMar>
          <w:top w:w="58" w:type="dxa"/>
          <w:bottom w:w="58" w:type="dxa"/>
        </w:tblCellMar>
        <w:tblLook w:val="0620" w:firstRow="1" w:lastRow="0" w:firstColumn="0" w:lastColumn="0" w:noHBand="1" w:noVBand="1"/>
        <w:tblDescription w:val="Dashboard Local Indicators."/>
      </w:tblPr>
      <w:tblGrid>
        <w:gridCol w:w="2065"/>
        <w:gridCol w:w="4140"/>
        <w:gridCol w:w="3600"/>
      </w:tblGrid>
      <w:tr w:rsidR="00B73326" w14:paraId="51FA3F86" w14:textId="77777777" w:rsidTr="00117D00">
        <w:trPr>
          <w:cnfStyle w:val="100000000000" w:firstRow="1" w:lastRow="0" w:firstColumn="0" w:lastColumn="0" w:oddVBand="0" w:evenVBand="0" w:oddHBand="0" w:evenHBand="0" w:firstRowFirstColumn="0" w:firstRowLastColumn="0" w:lastRowFirstColumn="0" w:lastRowLastColumn="0"/>
          <w:cantSplit/>
          <w:trHeight w:val="652"/>
          <w:tblHeader/>
        </w:trPr>
        <w:tc>
          <w:tcPr>
            <w:tcW w:w="2065" w:type="dxa"/>
          </w:tcPr>
          <w:p w14:paraId="51AC2B60" w14:textId="025AD20C" w:rsidR="00B73326" w:rsidRPr="001C685A" w:rsidRDefault="00F00F08" w:rsidP="003B63C4">
            <w:pPr>
              <w:widowControl w:val="0"/>
              <w:spacing w:line="216" w:lineRule="auto"/>
              <w:jc w:val="center"/>
              <w:rPr>
                <w:b w:val="0"/>
              </w:rPr>
            </w:pPr>
            <w:r w:rsidRPr="001C685A">
              <w:t xml:space="preserve">Dashboard </w:t>
            </w:r>
            <w:r w:rsidR="00580F88" w:rsidRPr="001C685A">
              <w:t xml:space="preserve">Local </w:t>
            </w:r>
            <w:r w:rsidRPr="001C685A">
              <w:t>Indicator</w:t>
            </w:r>
          </w:p>
        </w:tc>
        <w:tc>
          <w:tcPr>
            <w:tcW w:w="4140" w:type="dxa"/>
          </w:tcPr>
          <w:p w14:paraId="5508D592" w14:textId="340B8ECE" w:rsidR="00B73326" w:rsidRPr="001C685A" w:rsidRDefault="00F02B1A" w:rsidP="003B63C4">
            <w:pPr>
              <w:widowControl w:val="0"/>
              <w:spacing w:line="216" w:lineRule="auto"/>
              <w:jc w:val="center"/>
              <w:rPr>
                <w:b w:val="0"/>
              </w:rPr>
            </w:pPr>
            <w:r w:rsidRPr="001C685A">
              <w:t xml:space="preserve"> Re</w:t>
            </w:r>
            <w:r w:rsidR="00E107ED" w:rsidRPr="001C685A">
              <w:t>p</w:t>
            </w:r>
            <w:r w:rsidRPr="001C685A">
              <w:t xml:space="preserve">orts </w:t>
            </w:r>
            <w:r w:rsidR="00716931">
              <w:t>P</w:t>
            </w:r>
            <w:r w:rsidRPr="001C685A">
              <w:t xml:space="preserve">rogress </w:t>
            </w:r>
            <w:r w:rsidR="00716931">
              <w:t>R</w:t>
            </w:r>
            <w:r w:rsidRPr="001C685A">
              <w:t xml:space="preserve">elated </w:t>
            </w:r>
            <w:r w:rsidR="00716931">
              <w:t>T</w:t>
            </w:r>
            <w:r w:rsidRPr="001C685A">
              <w:t>o</w:t>
            </w:r>
          </w:p>
        </w:tc>
        <w:tc>
          <w:tcPr>
            <w:tcW w:w="3600" w:type="dxa"/>
          </w:tcPr>
          <w:p w14:paraId="4EF617C2" w14:textId="7E97C138" w:rsidR="00B73326" w:rsidRPr="001C685A" w:rsidRDefault="00F00F08" w:rsidP="003B63C4">
            <w:pPr>
              <w:widowControl w:val="0"/>
              <w:spacing w:line="216" w:lineRule="auto"/>
              <w:jc w:val="center"/>
              <w:rPr>
                <w:b w:val="0"/>
              </w:rPr>
            </w:pPr>
            <w:r w:rsidRPr="001C685A">
              <w:t xml:space="preserve">Additional </w:t>
            </w:r>
            <w:r w:rsidR="0045390F" w:rsidRPr="001C685A">
              <w:t>R</w:t>
            </w:r>
            <w:r w:rsidRPr="001C685A">
              <w:t>esources</w:t>
            </w:r>
          </w:p>
        </w:tc>
      </w:tr>
      <w:tr w:rsidR="00B73326" w14:paraId="1FDCBF18" w14:textId="77777777" w:rsidTr="00117D00">
        <w:trPr>
          <w:cantSplit/>
          <w:trHeight w:val="2002"/>
        </w:trPr>
        <w:tc>
          <w:tcPr>
            <w:tcW w:w="2065" w:type="dxa"/>
          </w:tcPr>
          <w:p w14:paraId="0863CD8D" w14:textId="72C263A8" w:rsidR="00B73326" w:rsidRDefault="00F00F08" w:rsidP="0017351A">
            <w:pPr>
              <w:widowControl w:val="0"/>
              <w:pBdr>
                <w:top w:val="nil"/>
                <w:left w:val="nil"/>
                <w:bottom w:val="nil"/>
                <w:right w:val="nil"/>
                <w:between w:val="nil"/>
              </w:pBdr>
            </w:pPr>
            <w:r>
              <w:t>Priority 1</w:t>
            </w:r>
            <w:r w:rsidR="00784399">
              <w:t>—</w:t>
            </w:r>
            <w:r>
              <w:t>Basics: Teachers, Instructional Materials, Facilities</w:t>
            </w:r>
          </w:p>
        </w:tc>
        <w:tc>
          <w:tcPr>
            <w:tcW w:w="4140" w:type="dxa"/>
          </w:tcPr>
          <w:p w14:paraId="74754BF0" w14:textId="482F3F63" w:rsidR="00F02B1A" w:rsidRPr="000636EC" w:rsidRDefault="00F02B1A" w:rsidP="00F02B1A">
            <w:pPr>
              <w:pStyle w:val="ListParagraph"/>
            </w:pPr>
            <w:r w:rsidRPr="000636EC">
              <w:t>Appropriately Assigned and Credentialed Teachers</w:t>
            </w:r>
          </w:p>
          <w:p w14:paraId="52EF32B8" w14:textId="1ED5A5C3" w:rsidR="00F02B1A" w:rsidRPr="000636EC" w:rsidRDefault="00F02B1A" w:rsidP="00F02B1A">
            <w:pPr>
              <w:pStyle w:val="ListParagraph"/>
            </w:pPr>
            <w:r w:rsidRPr="000636EC">
              <w:t>Access to Curriculum-Aligned Instructional Materials</w:t>
            </w:r>
          </w:p>
          <w:p w14:paraId="39A2A074" w14:textId="0B8B2682" w:rsidR="00B73326" w:rsidRDefault="00F02B1A" w:rsidP="00F02B1A">
            <w:pPr>
              <w:pStyle w:val="ListParagraph"/>
            </w:pPr>
            <w:r w:rsidRPr="000636EC">
              <w:t>Safe, Clean and Functional School Facilities</w:t>
            </w:r>
          </w:p>
        </w:tc>
        <w:tc>
          <w:tcPr>
            <w:tcW w:w="3600" w:type="dxa"/>
          </w:tcPr>
          <w:p w14:paraId="2EF248B9" w14:textId="77777777" w:rsidR="00B73326" w:rsidRDefault="00F00F08" w:rsidP="002C0E53">
            <w:pPr>
              <w:widowControl w:val="0"/>
              <w:pBdr>
                <w:top w:val="nil"/>
                <w:left w:val="nil"/>
                <w:bottom w:val="nil"/>
                <w:right w:val="nil"/>
                <w:between w:val="nil"/>
              </w:pBdr>
            </w:pPr>
            <w:r>
              <w:t>SARC</w:t>
            </w:r>
          </w:p>
        </w:tc>
      </w:tr>
      <w:tr w:rsidR="00B73326" w14:paraId="603B254A" w14:textId="77777777" w:rsidTr="00117D00">
        <w:trPr>
          <w:cantSplit/>
          <w:trHeight w:val="1579"/>
        </w:trPr>
        <w:tc>
          <w:tcPr>
            <w:tcW w:w="2065" w:type="dxa"/>
          </w:tcPr>
          <w:p w14:paraId="729BC60B" w14:textId="7FFB179F" w:rsidR="00B73326" w:rsidRDefault="00F00F08" w:rsidP="002C0E53">
            <w:pPr>
              <w:widowControl w:val="0"/>
              <w:pBdr>
                <w:top w:val="nil"/>
                <w:left w:val="nil"/>
                <w:bottom w:val="nil"/>
                <w:right w:val="nil"/>
                <w:between w:val="nil"/>
              </w:pBdr>
            </w:pPr>
            <w:r>
              <w:t>Priority 2</w:t>
            </w:r>
            <w:r w:rsidR="00784399">
              <w:t>—</w:t>
            </w:r>
            <w:r>
              <w:t>Implementation of State Academic Standards</w:t>
            </w:r>
          </w:p>
        </w:tc>
        <w:tc>
          <w:tcPr>
            <w:tcW w:w="4140" w:type="dxa"/>
          </w:tcPr>
          <w:p w14:paraId="5D099B64" w14:textId="71A010AE" w:rsidR="00B73326" w:rsidRDefault="00F02B1A" w:rsidP="002C0E53">
            <w:r w:rsidRPr="000636EC">
              <w:t xml:space="preserve">Local self-assessment related to the </w:t>
            </w:r>
            <w:r w:rsidRPr="000636EC">
              <w:rPr>
                <w:color w:val="333333"/>
              </w:rPr>
              <w:t>implementation of state academic performance and content standards</w:t>
            </w:r>
            <w:r>
              <w:rPr>
                <w:color w:val="333333"/>
              </w:rPr>
              <w:t xml:space="preserve"> </w:t>
            </w:r>
          </w:p>
        </w:tc>
        <w:tc>
          <w:tcPr>
            <w:tcW w:w="3600" w:type="dxa"/>
          </w:tcPr>
          <w:p w14:paraId="549B2DDC" w14:textId="77777777" w:rsidR="00B73326" w:rsidRDefault="00F00F08" w:rsidP="002C0E53">
            <w:pPr>
              <w:widowControl w:val="0"/>
              <w:pBdr>
                <w:top w:val="nil"/>
                <w:left w:val="nil"/>
                <w:bottom w:val="nil"/>
                <w:right w:val="nil"/>
                <w:between w:val="nil"/>
              </w:pBdr>
            </w:pPr>
            <w:r>
              <w:t>SARC</w:t>
            </w:r>
          </w:p>
        </w:tc>
      </w:tr>
      <w:tr w:rsidR="00B73326" w14:paraId="36048D04" w14:textId="77777777" w:rsidTr="00B30077">
        <w:trPr>
          <w:cantSplit/>
        </w:trPr>
        <w:tc>
          <w:tcPr>
            <w:tcW w:w="2065" w:type="dxa"/>
          </w:tcPr>
          <w:p w14:paraId="581275F4" w14:textId="716F6938" w:rsidR="00B73326" w:rsidRDefault="00F00F08" w:rsidP="002C0E53">
            <w:pPr>
              <w:widowControl w:val="0"/>
              <w:pBdr>
                <w:top w:val="nil"/>
                <w:left w:val="nil"/>
                <w:bottom w:val="nil"/>
                <w:right w:val="nil"/>
                <w:between w:val="nil"/>
              </w:pBdr>
            </w:pPr>
            <w:r>
              <w:lastRenderedPageBreak/>
              <w:t>Priority 3</w:t>
            </w:r>
            <w:r w:rsidR="00784399">
              <w:t>—</w:t>
            </w:r>
            <w:r>
              <w:t>Parent and Family Engagement</w:t>
            </w:r>
          </w:p>
        </w:tc>
        <w:tc>
          <w:tcPr>
            <w:tcW w:w="4140" w:type="dxa"/>
            <w:tcMar>
              <w:top w:w="72" w:type="dxa"/>
              <w:left w:w="115" w:type="dxa"/>
              <w:bottom w:w="72" w:type="dxa"/>
              <w:right w:w="115" w:type="dxa"/>
            </w:tcMar>
          </w:tcPr>
          <w:p w14:paraId="55EAAB5C" w14:textId="41934CB6" w:rsidR="00B73326" w:rsidRDefault="00E107ED" w:rsidP="00720C13">
            <w:pPr>
              <w:ind w:left="144"/>
            </w:pPr>
            <w:r w:rsidRPr="000636EC">
              <w:t xml:space="preserve">Local self-assessment related to </w:t>
            </w:r>
            <w:r w:rsidRPr="00720C13">
              <w:rPr>
                <w:color w:val="242424"/>
              </w:rPr>
              <w:t>parental involvement and family engagement, including how an LEA builds relationships between school staff and families, builds partnerships for student outcomes and seeks input for decision-making</w:t>
            </w:r>
          </w:p>
        </w:tc>
        <w:tc>
          <w:tcPr>
            <w:tcW w:w="3600" w:type="dxa"/>
          </w:tcPr>
          <w:p w14:paraId="26BCDA04" w14:textId="37479802" w:rsidR="00B73326" w:rsidRDefault="00835502" w:rsidP="002C0E53">
            <w:pPr>
              <w:widowControl w:val="0"/>
              <w:pBdr>
                <w:top w:val="nil"/>
                <w:left w:val="nil"/>
                <w:bottom w:val="nil"/>
                <w:right w:val="nil"/>
                <w:between w:val="nil"/>
              </w:pBdr>
            </w:pPr>
            <w:r>
              <w:t>None</w:t>
            </w:r>
          </w:p>
        </w:tc>
      </w:tr>
      <w:tr w:rsidR="00B73326" w14:paraId="1647EA87" w14:textId="77777777" w:rsidTr="00117D00">
        <w:trPr>
          <w:cantSplit/>
          <w:trHeight w:val="2272"/>
        </w:trPr>
        <w:tc>
          <w:tcPr>
            <w:tcW w:w="2065" w:type="dxa"/>
          </w:tcPr>
          <w:p w14:paraId="67A2A9D1" w14:textId="152DBD59" w:rsidR="00B73326" w:rsidRDefault="00F00F08" w:rsidP="002C0E53">
            <w:pPr>
              <w:widowControl w:val="0"/>
              <w:pBdr>
                <w:top w:val="nil"/>
                <w:left w:val="nil"/>
                <w:bottom w:val="nil"/>
                <w:right w:val="nil"/>
                <w:between w:val="nil"/>
              </w:pBdr>
            </w:pPr>
            <w:r>
              <w:t>Priority 6</w:t>
            </w:r>
            <w:r w:rsidR="00784399">
              <w:t>—</w:t>
            </w:r>
            <w:r w:rsidR="00E107ED">
              <w:t xml:space="preserve">School </w:t>
            </w:r>
            <w:r>
              <w:t xml:space="preserve">Climate </w:t>
            </w:r>
          </w:p>
        </w:tc>
        <w:tc>
          <w:tcPr>
            <w:tcW w:w="4140" w:type="dxa"/>
          </w:tcPr>
          <w:p w14:paraId="0BEFDA61" w14:textId="5CBF0130" w:rsidR="00B73326" w:rsidRDefault="00F02B1A" w:rsidP="007E0A92">
            <w:pPr>
              <w:ind w:left="144"/>
            </w:pPr>
            <w:r w:rsidRPr="000636EC">
              <w:t xml:space="preserve">Local self-assessment related to </w:t>
            </w:r>
            <w:r w:rsidR="00E107ED">
              <w:t>s</w:t>
            </w:r>
            <w:r w:rsidRPr="000636EC">
              <w:t xml:space="preserve">chool safety and connectedness </w:t>
            </w:r>
            <w:r w:rsidRPr="007E0A92">
              <w:rPr>
                <w:color w:val="333333"/>
              </w:rPr>
              <w:t xml:space="preserve">in at least one grade within the grade span (e.g., </w:t>
            </w:r>
            <w:r w:rsidR="00262310">
              <w:rPr>
                <w:color w:val="333333"/>
              </w:rPr>
              <w:t>kindergarten through grade five, grades six through eight, grades nine through twelve</w:t>
            </w:r>
            <w:r w:rsidRPr="007E0A92">
              <w:rPr>
                <w:color w:val="333333"/>
              </w:rPr>
              <w:t>) based on student surveys</w:t>
            </w:r>
          </w:p>
        </w:tc>
        <w:tc>
          <w:tcPr>
            <w:tcW w:w="3600" w:type="dxa"/>
          </w:tcPr>
          <w:p w14:paraId="398AE98B" w14:textId="0A792DD2" w:rsidR="00EA5E8E" w:rsidRDefault="00F00F08" w:rsidP="00DA29EE">
            <w:pPr>
              <w:widowControl w:val="0"/>
              <w:pBdr>
                <w:top w:val="nil"/>
                <w:left w:val="nil"/>
                <w:bottom w:val="nil"/>
                <w:right w:val="nil"/>
                <w:between w:val="nil"/>
              </w:pBdr>
              <w:spacing w:line="216" w:lineRule="auto"/>
            </w:pPr>
            <w:r>
              <w:t>California Healthy Kids Survey 2019 reported by County</w:t>
            </w:r>
            <w:r w:rsidR="00EA5E8E">
              <w:t xml:space="preserve">: </w:t>
            </w:r>
          </w:p>
          <w:p w14:paraId="0B9961C1" w14:textId="190A9DB9" w:rsidR="00B73326" w:rsidRDefault="008058DE" w:rsidP="003E0B94">
            <w:pPr>
              <w:widowControl w:val="0"/>
              <w:pBdr>
                <w:top w:val="nil"/>
                <w:left w:val="nil"/>
                <w:bottom w:val="nil"/>
                <w:right w:val="nil"/>
                <w:between w:val="nil"/>
              </w:pBdr>
            </w:pPr>
            <w:r w:rsidRPr="00AF368D">
              <w:rPr>
                <w:rStyle w:val="Strong"/>
                <w:b w:val="0"/>
                <w:bCs w:val="0"/>
              </w:rPr>
              <w:t>CDE</w:t>
            </w:r>
            <w:r w:rsidRPr="00AF368D">
              <w:rPr>
                <w:b/>
                <w:bCs/>
              </w:rPr>
              <w:t xml:space="preserve"> </w:t>
            </w:r>
            <w:r w:rsidR="00DA29EE" w:rsidRPr="00AF368D">
              <w:rPr>
                <w:rStyle w:val="Strong"/>
                <w:b w:val="0"/>
                <w:bCs w:val="0"/>
              </w:rPr>
              <w:t>DataQuest</w:t>
            </w:r>
            <w:r w:rsidR="00DA29EE">
              <w:t xml:space="preserve"> web page</w:t>
            </w:r>
            <w:r>
              <w:t xml:space="preserve"> at</w:t>
            </w:r>
            <w:r w:rsidR="00DA29EE">
              <w:t xml:space="preserve"> </w:t>
            </w:r>
            <w:hyperlink r:id="rId25" w:tooltip="CDE DataQuest web page " w:history="1">
              <w:r w:rsidR="00DA29EE" w:rsidRPr="009D7FA2">
                <w:rPr>
                  <w:rStyle w:val="Hyperlink"/>
                  <w:spacing w:val="-6"/>
                </w:rPr>
                <w:t>https://dq.cde.ca.gov/dataquest/</w:t>
              </w:r>
            </w:hyperlink>
          </w:p>
        </w:tc>
      </w:tr>
      <w:tr w:rsidR="00B73326" w14:paraId="11FCA19D" w14:textId="77777777" w:rsidTr="00117D00">
        <w:trPr>
          <w:cantSplit/>
          <w:trHeight w:val="1489"/>
        </w:trPr>
        <w:tc>
          <w:tcPr>
            <w:tcW w:w="2065" w:type="dxa"/>
          </w:tcPr>
          <w:p w14:paraId="5FFD0679" w14:textId="42F58E8F" w:rsidR="00B73326" w:rsidRDefault="00F00F08" w:rsidP="002C0E53">
            <w:pPr>
              <w:widowControl w:val="0"/>
              <w:pBdr>
                <w:top w:val="nil"/>
                <w:left w:val="nil"/>
                <w:bottom w:val="nil"/>
                <w:right w:val="nil"/>
                <w:between w:val="nil"/>
              </w:pBdr>
            </w:pPr>
            <w:r>
              <w:t>Priority 7</w:t>
            </w:r>
            <w:r w:rsidR="00784399">
              <w:t>—</w:t>
            </w:r>
            <w:r>
              <w:t>Access to a Broad Course of Study</w:t>
            </w:r>
          </w:p>
        </w:tc>
        <w:tc>
          <w:tcPr>
            <w:tcW w:w="4140" w:type="dxa"/>
          </w:tcPr>
          <w:p w14:paraId="08EE2A19" w14:textId="02F39184" w:rsidR="00B73326" w:rsidRDefault="00F02B1A" w:rsidP="002C0E53">
            <w:r w:rsidRPr="000636EC">
              <w:t>Local self-assessment related to the extent to which students have access to, and are enrolled in, a broad course of study</w:t>
            </w:r>
          </w:p>
        </w:tc>
        <w:tc>
          <w:tcPr>
            <w:tcW w:w="3600" w:type="dxa"/>
          </w:tcPr>
          <w:p w14:paraId="33D1C844" w14:textId="79894A69" w:rsidR="00B73326" w:rsidRDefault="00835502" w:rsidP="002C0E53">
            <w:pPr>
              <w:widowControl w:val="0"/>
              <w:pBdr>
                <w:top w:val="nil"/>
                <w:left w:val="nil"/>
                <w:bottom w:val="nil"/>
                <w:right w:val="nil"/>
                <w:between w:val="nil"/>
              </w:pBdr>
            </w:pPr>
            <w:r>
              <w:t>None</w:t>
            </w:r>
          </w:p>
        </w:tc>
      </w:tr>
      <w:tr w:rsidR="00B73326" w14:paraId="4059DDC9" w14:textId="77777777" w:rsidTr="00117D00">
        <w:trPr>
          <w:cantSplit/>
          <w:trHeight w:val="1588"/>
        </w:trPr>
        <w:tc>
          <w:tcPr>
            <w:tcW w:w="2065" w:type="dxa"/>
          </w:tcPr>
          <w:p w14:paraId="23D0AD66" w14:textId="5E2FA482" w:rsidR="00B73326" w:rsidRDefault="00F00F08" w:rsidP="002C0E53">
            <w:pPr>
              <w:widowControl w:val="0"/>
              <w:pBdr>
                <w:top w:val="nil"/>
                <w:left w:val="nil"/>
                <w:bottom w:val="nil"/>
                <w:right w:val="nil"/>
                <w:between w:val="nil"/>
              </w:pBdr>
            </w:pPr>
            <w:r>
              <w:t>*Priority 9</w:t>
            </w:r>
            <w:r w:rsidR="00784399">
              <w:t>—</w:t>
            </w:r>
            <w:r>
              <w:t>Coordination of Services for Expelled Youth</w:t>
            </w:r>
          </w:p>
        </w:tc>
        <w:tc>
          <w:tcPr>
            <w:tcW w:w="4140" w:type="dxa"/>
          </w:tcPr>
          <w:p w14:paraId="1798DFB9" w14:textId="20FB2E3A" w:rsidR="00B73326" w:rsidRDefault="00F02B1A" w:rsidP="002C0E53">
            <w:r w:rsidRPr="000636EC">
              <w:t>Local self-assessment related to the coordination of educational services for expelled youth</w:t>
            </w:r>
          </w:p>
        </w:tc>
        <w:tc>
          <w:tcPr>
            <w:tcW w:w="3600" w:type="dxa"/>
          </w:tcPr>
          <w:p w14:paraId="5ECB827D" w14:textId="3947F7B5" w:rsidR="00B73326" w:rsidRDefault="00835502" w:rsidP="002C0E53">
            <w:pPr>
              <w:widowControl w:val="0"/>
              <w:pBdr>
                <w:top w:val="nil"/>
                <w:left w:val="nil"/>
                <w:bottom w:val="nil"/>
                <w:right w:val="nil"/>
                <w:between w:val="nil"/>
              </w:pBdr>
            </w:pPr>
            <w:r>
              <w:t>None</w:t>
            </w:r>
          </w:p>
        </w:tc>
      </w:tr>
      <w:tr w:rsidR="00B73326" w14:paraId="59EC7788" w14:textId="77777777" w:rsidTr="00B30077">
        <w:trPr>
          <w:cantSplit/>
          <w:trHeight w:val="1255"/>
        </w:trPr>
        <w:tc>
          <w:tcPr>
            <w:tcW w:w="2065" w:type="dxa"/>
          </w:tcPr>
          <w:p w14:paraId="529E42D5" w14:textId="3E861BBC" w:rsidR="00B73326" w:rsidRDefault="00F00F08" w:rsidP="002C0E53">
            <w:pPr>
              <w:widowControl w:val="0"/>
              <w:pBdr>
                <w:top w:val="nil"/>
                <w:left w:val="nil"/>
                <w:bottom w:val="nil"/>
                <w:right w:val="nil"/>
                <w:between w:val="nil"/>
              </w:pBdr>
            </w:pPr>
            <w:r>
              <w:t>*Priority 10</w:t>
            </w:r>
            <w:r w:rsidR="00784399">
              <w:t>—</w:t>
            </w:r>
            <w:r>
              <w:t>Coordination of Services for Foster Youth</w:t>
            </w:r>
          </w:p>
        </w:tc>
        <w:tc>
          <w:tcPr>
            <w:tcW w:w="4140" w:type="dxa"/>
          </w:tcPr>
          <w:p w14:paraId="1C76C4EA" w14:textId="40B609DF" w:rsidR="00B73326" w:rsidRDefault="00F02B1A" w:rsidP="002C0E53">
            <w:r w:rsidRPr="000636EC">
              <w:t>Local self-assessment related to the coordination of services for foster youth</w:t>
            </w:r>
          </w:p>
        </w:tc>
        <w:tc>
          <w:tcPr>
            <w:tcW w:w="3600" w:type="dxa"/>
          </w:tcPr>
          <w:p w14:paraId="136D0F31" w14:textId="763E4105" w:rsidR="00B73326" w:rsidRDefault="00835502" w:rsidP="002C0E53">
            <w:pPr>
              <w:widowControl w:val="0"/>
              <w:pBdr>
                <w:top w:val="nil"/>
                <w:left w:val="nil"/>
                <w:bottom w:val="nil"/>
                <w:right w:val="nil"/>
                <w:between w:val="nil"/>
              </w:pBdr>
            </w:pPr>
            <w:r>
              <w:t>None</w:t>
            </w:r>
          </w:p>
        </w:tc>
      </w:tr>
    </w:tbl>
    <w:p w14:paraId="31C31100" w14:textId="299D5D65" w:rsidR="00164DF8" w:rsidRDefault="00164DF8" w:rsidP="00117D00">
      <w:pPr>
        <w:widowControl w:val="0"/>
        <w:spacing w:before="120"/>
      </w:pPr>
    </w:p>
    <w:sectPr w:rsidR="00164DF8" w:rsidSect="00D27C57">
      <w:footerReference w:type="default" r:id="rId26"/>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262F" w14:textId="77777777" w:rsidR="003970C1" w:rsidRDefault="003970C1">
      <w:r>
        <w:separator/>
      </w:r>
    </w:p>
  </w:endnote>
  <w:endnote w:type="continuationSeparator" w:id="0">
    <w:p w14:paraId="0BD64011" w14:textId="77777777" w:rsidR="003970C1" w:rsidRDefault="0039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swald">
    <w:altName w:val="Arial Narrow"/>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3068" w14:textId="2D649763" w:rsidR="00B73326" w:rsidRPr="00380336" w:rsidRDefault="00380336" w:rsidP="00380336">
    <w:pPr>
      <w:pStyle w:val="Footer"/>
    </w:pPr>
    <w:r>
      <w:tab/>
    </w:r>
    <w:r>
      <w:tab/>
    </w:r>
    <w:sdt>
      <w:sdtPr>
        <w:id w:val="20373041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5C8E5" w14:textId="77777777" w:rsidR="003970C1" w:rsidRDefault="003970C1">
      <w:r>
        <w:separator/>
      </w:r>
    </w:p>
  </w:footnote>
  <w:footnote w:type="continuationSeparator" w:id="0">
    <w:p w14:paraId="7975A455" w14:textId="77777777" w:rsidR="003970C1" w:rsidRDefault="00397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1971"/>
    <w:multiLevelType w:val="multilevel"/>
    <w:tmpl w:val="5740954E"/>
    <w:lvl w:ilvl="0">
      <w:start w:val="1"/>
      <w:numFmt w:val="decimal"/>
      <w:lvlText w:val="%1."/>
      <w:lvlJc w:val="left"/>
      <w:pPr>
        <w:ind w:left="360" w:hanging="360"/>
      </w:pPr>
      <w:rPr>
        <w:rFonts w:ascii="Arial" w:hAnsi="Arial" w:cs="Arial" w:hint="default"/>
        <w:b/>
        <w:bCs/>
        <w:i w:val="0"/>
        <w:iCs w:val="0"/>
        <w:color w:val="354052" w:themeColor="text1"/>
        <w:spacing w:val="0"/>
        <w:w w:val="100"/>
        <w:position w:val="0"/>
        <w:sz w:val="24"/>
      </w:rPr>
    </w:lvl>
    <w:lvl w:ilvl="1">
      <w:start w:val="1"/>
      <w:numFmt w:val="lowerLetter"/>
      <w:lvlText w:val="%2."/>
      <w:lvlJc w:val="left"/>
      <w:pPr>
        <w:ind w:left="1080" w:hanging="360"/>
      </w:pPr>
      <w:rPr>
        <w:rFonts w:hint="default"/>
        <w:b w:val="0"/>
        <w:i w:val="0"/>
        <w:color w:val="354052" w:themeColor="text1"/>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287366E"/>
    <w:multiLevelType w:val="hybridMultilevel"/>
    <w:tmpl w:val="D710137E"/>
    <w:lvl w:ilvl="0" w:tplc="054A53A6">
      <w:start w:val="1"/>
      <w:numFmt w:val="decimal"/>
      <w:lvlText w:val="%1."/>
      <w:lvlJc w:val="left"/>
      <w:pPr>
        <w:ind w:left="648" w:hanging="360"/>
      </w:pPr>
      <w:rPr>
        <w:rFonts w:ascii="Arial" w:hAnsi="Arial" w:cs="Arial" w:hint="default"/>
        <w:b/>
        <w:bCs/>
        <w:i w:val="0"/>
        <w:iCs w:val="0"/>
        <w:color w:val="354052" w:themeColor="text1"/>
        <w:spacing w:val="0"/>
        <w:w w:val="100"/>
        <w:position w:val="0"/>
        <w:sz w:val="24"/>
      </w:rPr>
    </w:lvl>
    <w:lvl w:ilvl="1" w:tplc="FFFFFFFF">
      <w:start w:val="1"/>
      <w:numFmt w:val="bullet"/>
      <w:lvlText w:val="o"/>
      <w:lvlJc w:val="left"/>
      <w:pPr>
        <w:ind w:left="1368" w:hanging="360"/>
      </w:pPr>
      <w:rPr>
        <w:rFonts w:ascii="Courier New" w:hAnsi="Courier New" w:cs="Courier New" w:hint="default"/>
      </w:rPr>
    </w:lvl>
    <w:lvl w:ilvl="2" w:tplc="FFFFFFFF" w:tentative="1">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2" w15:restartNumberingAfterBreak="0">
    <w:nsid w:val="16AD25CA"/>
    <w:multiLevelType w:val="hybridMultilevel"/>
    <w:tmpl w:val="05C0FBD8"/>
    <w:lvl w:ilvl="0" w:tplc="054A53A6">
      <w:start w:val="1"/>
      <w:numFmt w:val="decimal"/>
      <w:lvlText w:val="%1."/>
      <w:lvlJc w:val="left"/>
      <w:pPr>
        <w:ind w:left="1440" w:hanging="360"/>
      </w:pPr>
      <w:rPr>
        <w:rFonts w:ascii="Arial" w:hAnsi="Arial" w:cs="Arial" w:hint="default"/>
        <w:b/>
        <w:bCs/>
        <w:i w:val="0"/>
        <w:iCs w:val="0"/>
        <w:color w:val="354052" w:themeColor="text1"/>
        <w:spacing w:val="0"/>
        <w:w w:val="100"/>
        <w:position w:val="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DED2B3C"/>
    <w:multiLevelType w:val="multilevel"/>
    <w:tmpl w:val="D12886C8"/>
    <w:lvl w:ilvl="0">
      <w:start w:val="1"/>
      <w:numFmt w:val="decimal"/>
      <w:lvlText w:val="%1."/>
      <w:lvlJc w:val="left"/>
      <w:pPr>
        <w:ind w:left="360" w:hanging="360"/>
      </w:pPr>
      <w:rPr>
        <w:rFonts w:ascii="Arial" w:hAnsi="Arial" w:cs="Arial" w:hint="default"/>
        <w:b/>
        <w:bCs/>
        <w:i w:val="0"/>
        <w:iCs w:val="0"/>
        <w:color w:val="354052" w:themeColor="text1"/>
        <w:spacing w:val="0"/>
        <w:w w:val="100"/>
        <w:position w:val="0"/>
        <w:sz w:val="24"/>
      </w:rPr>
    </w:lvl>
    <w:lvl w:ilvl="1">
      <w:start w:val="1"/>
      <w:numFmt w:val="lowerLetter"/>
      <w:lvlText w:val="%2."/>
      <w:lvlJc w:val="left"/>
      <w:pPr>
        <w:ind w:left="1080" w:hanging="360"/>
      </w:pPr>
      <w:rPr>
        <w:rFonts w:hint="default"/>
        <w:b w:val="0"/>
        <w:i w:val="0"/>
        <w:color w:val="354052" w:themeColor="text1"/>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2BA3494"/>
    <w:multiLevelType w:val="multilevel"/>
    <w:tmpl w:val="3AAC455C"/>
    <w:styleLink w:val="Style1"/>
    <w:lvl w:ilvl="0">
      <w:start w:val="1"/>
      <w:numFmt w:val="decimal"/>
      <w:lvlText w:val="%1."/>
      <w:lvlJc w:val="left"/>
      <w:pPr>
        <w:ind w:left="720" w:hanging="360"/>
      </w:pPr>
      <w:rPr>
        <w:rFonts w:ascii="Arial" w:hAnsi="Arial" w:cs="Arial" w:hint="default"/>
        <w:b/>
        <w:bCs/>
        <w:i w:val="0"/>
        <w:iCs w:val="0"/>
        <w:color w:val="354052" w:themeColor="text1"/>
        <w:spacing w:val="0"/>
        <w:w w:val="100"/>
        <w:position w:val="0"/>
        <w:sz w:val="24"/>
      </w:rPr>
    </w:lvl>
    <w:lvl w:ilvl="1">
      <w:start w:val="1"/>
      <w:numFmt w:val="lowerLetter"/>
      <w:lvlText w:val="%2."/>
      <w:lvlJc w:val="left"/>
      <w:pPr>
        <w:ind w:left="1440" w:hanging="360"/>
      </w:pPr>
      <w:rPr>
        <w:rFonts w:hint="default"/>
      </w:rPr>
    </w:lvl>
    <w:lvl w:ilvl="2">
      <w:start w:val="1"/>
      <w:numFmt w:val="russianLower"/>
      <w:lvlText w:val="%3"/>
      <w:lvlJc w:val="left"/>
      <w:pPr>
        <w:ind w:left="2160" w:hanging="360"/>
      </w:pPr>
      <w:rPr>
        <w:rFonts w:ascii="Times New Roman" w:hAnsi="Times New Roman" w:hint="default"/>
        <w:b/>
        <w:color w:val="354052"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272A7B"/>
    <w:multiLevelType w:val="hybridMultilevel"/>
    <w:tmpl w:val="14704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F47AA"/>
    <w:multiLevelType w:val="multilevel"/>
    <w:tmpl w:val="FD625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045823"/>
    <w:multiLevelType w:val="hybridMultilevel"/>
    <w:tmpl w:val="F95E2424"/>
    <w:lvl w:ilvl="0" w:tplc="054A53A6">
      <w:start w:val="1"/>
      <w:numFmt w:val="decimal"/>
      <w:lvlText w:val="%1."/>
      <w:lvlJc w:val="left"/>
      <w:pPr>
        <w:ind w:left="720" w:hanging="360"/>
      </w:pPr>
      <w:rPr>
        <w:rFonts w:ascii="Arial" w:hAnsi="Arial" w:cs="Arial" w:hint="default"/>
        <w:b/>
        <w:bCs/>
        <w:i w:val="0"/>
        <w:iCs w:val="0"/>
        <w:color w:val="354052" w:themeColor="text1"/>
        <w:spacing w:val="0"/>
        <w:w w:val="100"/>
        <w:position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D56E25"/>
    <w:multiLevelType w:val="hybridMultilevel"/>
    <w:tmpl w:val="B2BC707A"/>
    <w:lvl w:ilvl="0" w:tplc="054A53A6">
      <w:start w:val="1"/>
      <w:numFmt w:val="decimal"/>
      <w:lvlText w:val="%1."/>
      <w:lvlJc w:val="left"/>
      <w:pPr>
        <w:ind w:left="720" w:hanging="360"/>
      </w:pPr>
      <w:rPr>
        <w:rFonts w:ascii="Arial" w:hAnsi="Arial" w:cs="Arial" w:hint="default"/>
        <w:b/>
        <w:bCs/>
        <w:i w:val="0"/>
        <w:iCs w:val="0"/>
        <w:color w:val="354052" w:themeColor="text1"/>
        <w:spacing w:val="0"/>
        <w:w w:val="100"/>
        <w:position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8266A"/>
    <w:multiLevelType w:val="hybridMultilevel"/>
    <w:tmpl w:val="CAFEF440"/>
    <w:lvl w:ilvl="0" w:tplc="054A53A6">
      <w:start w:val="1"/>
      <w:numFmt w:val="decimal"/>
      <w:lvlText w:val="%1."/>
      <w:lvlJc w:val="left"/>
      <w:pPr>
        <w:ind w:left="720" w:hanging="360"/>
      </w:pPr>
      <w:rPr>
        <w:rFonts w:ascii="Arial" w:hAnsi="Arial" w:cs="Arial" w:hint="default"/>
        <w:b/>
        <w:bCs/>
        <w:i w:val="0"/>
        <w:iCs w:val="0"/>
        <w:color w:val="354052" w:themeColor="text1"/>
        <w:spacing w:val="0"/>
        <w:w w:val="100"/>
        <w:position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C5D07"/>
    <w:multiLevelType w:val="hybridMultilevel"/>
    <w:tmpl w:val="24763862"/>
    <w:lvl w:ilvl="0" w:tplc="054A53A6">
      <w:start w:val="1"/>
      <w:numFmt w:val="decimal"/>
      <w:lvlText w:val="%1."/>
      <w:lvlJc w:val="left"/>
      <w:pPr>
        <w:ind w:left="720" w:hanging="360"/>
      </w:pPr>
      <w:rPr>
        <w:rFonts w:ascii="Arial" w:hAnsi="Arial" w:cs="Arial" w:hint="default"/>
        <w:b/>
        <w:bCs/>
        <w:i w:val="0"/>
        <w:iCs w:val="0"/>
        <w:color w:val="354052" w:themeColor="text1"/>
        <w:spacing w:val="0"/>
        <w:w w:val="100"/>
        <w:position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32672"/>
    <w:multiLevelType w:val="multilevel"/>
    <w:tmpl w:val="7554BD04"/>
    <w:lvl w:ilvl="0">
      <w:start w:val="1"/>
      <w:numFmt w:val="decimal"/>
      <w:lvlText w:val="%1."/>
      <w:lvlJc w:val="left"/>
      <w:pPr>
        <w:ind w:left="720" w:hanging="360"/>
      </w:pPr>
      <w:rPr>
        <w:rFonts w:ascii="Arial" w:hAnsi="Arial" w:cs="Arial" w:hint="default"/>
        <w:b/>
        <w:bCs/>
        <w:i w:val="0"/>
        <w:iCs w:val="0"/>
        <w:color w:val="354052" w:themeColor="text1"/>
        <w:spacing w:val="0"/>
        <w:w w:val="100"/>
        <w:position w:val="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9A55CCD"/>
    <w:multiLevelType w:val="multilevel"/>
    <w:tmpl w:val="E5322BC2"/>
    <w:lvl w:ilvl="0">
      <w:start w:val="1"/>
      <w:numFmt w:val="decimal"/>
      <w:lvlText w:val="%1."/>
      <w:lvlJc w:val="left"/>
      <w:pPr>
        <w:ind w:left="360" w:hanging="360"/>
      </w:pPr>
      <w:rPr>
        <w:rFonts w:ascii="Arial" w:hAnsi="Arial" w:cs="Arial" w:hint="default"/>
        <w:b/>
        <w:bCs/>
        <w:i w:val="0"/>
        <w:iCs w:val="0"/>
        <w:color w:val="354052" w:themeColor="text1"/>
        <w:spacing w:val="0"/>
        <w:w w:val="100"/>
        <w:position w:val="0"/>
        <w:sz w:val="24"/>
      </w:rPr>
    </w:lvl>
    <w:lvl w:ilvl="1">
      <w:start w:val="1"/>
      <w:numFmt w:val="bullet"/>
      <w:lvlText w:val=""/>
      <w:lvlJc w:val="left"/>
      <w:pPr>
        <w:ind w:left="1080" w:hanging="360"/>
      </w:pPr>
      <w:rPr>
        <w:rFonts w:ascii="Symbol" w:hAnsi="Symbol" w:cs="Courier New" w:hint="default"/>
        <w:color w:val="2B50AC" w:themeColor="text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EA8138C"/>
    <w:multiLevelType w:val="hybridMultilevel"/>
    <w:tmpl w:val="DFFC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56787"/>
    <w:multiLevelType w:val="hybridMultilevel"/>
    <w:tmpl w:val="E88AB374"/>
    <w:lvl w:ilvl="0" w:tplc="74E4D9F4">
      <w:start w:val="1"/>
      <w:numFmt w:val="bullet"/>
      <w:pStyle w:val="ListParagraph"/>
      <w:lvlText w:val=""/>
      <w:lvlJc w:val="left"/>
      <w:pPr>
        <w:ind w:left="1440" w:hanging="360"/>
      </w:pPr>
      <w:rPr>
        <w:rFonts w:ascii="Symbol" w:hAnsi="Symbol" w:cs="Symbol" w:hint="default"/>
        <w:color w:val="2B50AC"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15" w15:restartNumberingAfterBreak="0">
    <w:nsid w:val="6C013379"/>
    <w:multiLevelType w:val="multilevel"/>
    <w:tmpl w:val="E74C0E6E"/>
    <w:numStyleLink w:val="Introlist"/>
  </w:abstractNum>
  <w:abstractNum w:abstractNumId="16" w15:restartNumberingAfterBreak="0">
    <w:nsid w:val="76E61D2A"/>
    <w:multiLevelType w:val="multilevel"/>
    <w:tmpl w:val="1D70A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2B50AC"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D0E5768"/>
    <w:multiLevelType w:val="hybridMultilevel"/>
    <w:tmpl w:val="D34EF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7B19E6"/>
    <w:multiLevelType w:val="hybridMultilevel"/>
    <w:tmpl w:val="7A4C3EE2"/>
    <w:lvl w:ilvl="0" w:tplc="AD785FC6">
      <w:start w:val="1"/>
      <w:numFmt w:val="decimal"/>
      <w:lvlText w:val="%1."/>
      <w:lvlJc w:val="left"/>
      <w:pPr>
        <w:ind w:left="1440" w:hanging="360"/>
      </w:pPr>
      <w:rPr>
        <w:rFonts w:ascii="Arial" w:hAnsi="Arial" w:cs="Arial" w:hint="default"/>
        <w:b/>
        <w:bCs/>
        <w:i w:val="0"/>
        <w:iCs w:val="0"/>
        <w:color w:val="auto"/>
        <w:spacing w:val="0"/>
        <w:w w:val="100"/>
        <w:position w:val="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958100194">
    <w:abstractNumId w:val="14"/>
  </w:num>
  <w:num w:numId="2" w16cid:durableId="681781650">
    <w:abstractNumId w:val="11"/>
  </w:num>
  <w:num w:numId="3" w16cid:durableId="1602840299">
    <w:abstractNumId w:val="4"/>
  </w:num>
  <w:num w:numId="4" w16cid:durableId="1964538519">
    <w:abstractNumId w:val="7"/>
  </w:num>
  <w:num w:numId="5" w16cid:durableId="79454712">
    <w:abstractNumId w:val="9"/>
  </w:num>
  <w:num w:numId="6" w16cid:durableId="1248920645">
    <w:abstractNumId w:val="15"/>
  </w:num>
  <w:num w:numId="7" w16cid:durableId="538006706">
    <w:abstractNumId w:val="17"/>
  </w:num>
  <w:num w:numId="8" w16cid:durableId="519778090">
    <w:abstractNumId w:val="19"/>
  </w:num>
  <w:num w:numId="9" w16cid:durableId="1555775457">
    <w:abstractNumId w:val="1"/>
  </w:num>
  <w:num w:numId="10" w16cid:durableId="1073940189">
    <w:abstractNumId w:val="10"/>
  </w:num>
  <w:num w:numId="11" w16cid:durableId="212429086">
    <w:abstractNumId w:val="12"/>
  </w:num>
  <w:num w:numId="12" w16cid:durableId="2131119879">
    <w:abstractNumId w:val="0"/>
  </w:num>
  <w:num w:numId="13" w16cid:durableId="520705137">
    <w:abstractNumId w:val="3"/>
  </w:num>
  <w:num w:numId="14" w16cid:durableId="1329793427">
    <w:abstractNumId w:val="8"/>
  </w:num>
  <w:num w:numId="15" w16cid:durableId="1725323801">
    <w:abstractNumId w:val="2"/>
  </w:num>
  <w:num w:numId="16" w16cid:durableId="998966705">
    <w:abstractNumId w:val="18"/>
  </w:num>
  <w:num w:numId="17" w16cid:durableId="184369858">
    <w:abstractNumId w:val="5"/>
  </w:num>
  <w:num w:numId="18" w16cid:durableId="1903447370">
    <w:abstractNumId w:val="13"/>
  </w:num>
  <w:num w:numId="19" w16cid:durableId="440225411">
    <w:abstractNumId w:val="16"/>
  </w:num>
  <w:num w:numId="20" w16cid:durableId="58969955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26"/>
    <w:rsid w:val="0000169D"/>
    <w:rsid w:val="000017A9"/>
    <w:rsid w:val="00003F28"/>
    <w:rsid w:val="00006049"/>
    <w:rsid w:val="00020868"/>
    <w:rsid w:val="00026A50"/>
    <w:rsid w:val="00047FC9"/>
    <w:rsid w:val="00051D29"/>
    <w:rsid w:val="0005336B"/>
    <w:rsid w:val="00063645"/>
    <w:rsid w:val="000730CF"/>
    <w:rsid w:val="000733C8"/>
    <w:rsid w:val="0009079B"/>
    <w:rsid w:val="000A6B6F"/>
    <w:rsid w:val="000B137D"/>
    <w:rsid w:val="000B4286"/>
    <w:rsid w:val="000B69BE"/>
    <w:rsid w:val="000D47DF"/>
    <w:rsid w:val="000E416F"/>
    <w:rsid w:val="000E6076"/>
    <w:rsid w:val="00103604"/>
    <w:rsid w:val="00103864"/>
    <w:rsid w:val="00117D00"/>
    <w:rsid w:val="00121EFC"/>
    <w:rsid w:val="00123766"/>
    <w:rsid w:val="00125FF0"/>
    <w:rsid w:val="00130104"/>
    <w:rsid w:val="0014471B"/>
    <w:rsid w:val="00153CB5"/>
    <w:rsid w:val="00160D30"/>
    <w:rsid w:val="00164DF8"/>
    <w:rsid w:val="00165F03"/>
    <w:rsid w:val="0017351A"/>
    <w:rsid w:val="00180477"/>
    <w:rsid w:val="00181A4E"/>
    <w:rsid w:val="0018303B"/>
    <w:rsid w:val="00192FBC"/>
    <w:rsid w:val="001A00FA"/>
    <w:rsid w:val="001B4C91"/>
    <w:rsid w:val="001C4422"/>
    <w:rsid w:val="001C685A"/>
    <w:rsid w:val="001D7CE9"/>
    <w:rsid w:val="001F197F"/>
    <w:rsid w:val="00206E61"/>
    <w:rsid w:val="00210C87"/>
    <w:rsid w:val="0021238C"/>
    <w:rsid w:val="00215620"/>
    <w:rsid w:val="00220994"/>
    <w:rsid w:val="00222BB1"/>
    <w:rsid w:val="002274D3"/>
    <w:rsid w:val="00230D98"/>
    <w:rsid w:val="00245EC6"/>
    <w:rsid w:val="002509D6"/>
    <w:rsid w:val="00251A26"/>
    <w:rsid w:val="00262310"/>
    <w:rsid w:val="00271C7B"/>
    <w:rsid w:val="00273484"/>
    <w:rsid w:val="002809E9"/>
    <w:rsid w:val="00283C58"/>
    <w:rsid w:val="00292B82"/>
    <w:rsid w:val="002B7F21"/>
    <w:rsid w:val="002C0E53"/>
    <w:rsid w:val="002C2963"/>
    <w:rsid w:val="002C604B"/>
    <w:rsid w:val="002C6261"/>
    <w:rsid w:val="002D015A"/>
    <w:rsid w:val="002D4142"/>
    <w:rsid w:val="002D6FBA"/>
    <w:rsid w:val="002F43CE"/>
    <w:rsid w:val="002F5514"/>
    <w:rsid w:val="00307088"/>
    <w:rsid w:val="00323F65"/>
    <w:rsid w:val="0033253F"/>
    <w:rsid w:val="00341A4C"/>
    <w:rsid w:val="00344968"/>
    <w:rsid w:val="00351640"/>
    <w:rsid w:val="00380336"/>
    <w:rsid w:val="003970C1"/>
    <w:rsid w:val="003A60BB"/>
    <w:rsid w:val="003B1874"/>
    <w:rsid w:val="003B3EAB"/>
    <w:rsid w:val="003B63C4"/>
    <w:rsid w:val="003C39D7"/>
    <w:rsid w:val="003C77F7"/>
    <w:rsid w:val="003E0B94"/>
    <w:rsid w:val="003E3901"/>
    <w:rsid w:val="003E6819"/>
    <w:rsid w:val="003F0328"/>
    <w:rsid w:val="003F4786"/>
    <w:rsid w:val="003F59D0"/>
    <w:rsid w:val="0041309B"/>
    <w:rsid w:val="004243CB"/>
    <w:rsid w:val="00426CB6"/>
    <w:rsid w:val="00433087"/>
    <w:rsid w:val="004333E4"/>
    <w:rsid w:val="00433C78"/>
    <w:rsid w:val="004518E3"/>
    <w:rsid w:val="0045390F"/>
    <w:rsid w:val="00465771"/>
    <w:rsid w:val="00470C8B"/>
    <w:rsid w:val="00482FCF"/>
    <w:rsid w:val="0048314D"/>
    <w:rsid w:val="0048796F"/>
    <w:rsid w:val="0049490F"/>
    <w:rsid w:val="00496D70"/>
    <w:rsid w:val="004B7BEB"/>
    <w:rsid w:val="004D11F9"/>
    <w:rsid w:val="004D2D61"/>
    <w:rsid w:val="004E4C7D"/>
    <w:rsid w:val="004F4DD7"/>
    <w:rsid w:val="004F6973"/>
    <w:rsid w:val="00520F49"/>
    <w:rsid w:val="00522C7A"/>
    <w:rsid w:val="00523C4B"/>
    <w:rsid w:val="00531F12"/>
    <w:rsid w:val="0053445C"/>
    <w:rsid w:val="0053445F"/>
    <w:rsid w:val="00540E87"/>
    <w:rsid w:val="005430AB"/>
    <w:rsid w:val="00547103"/>
    <w:rsid w:val="005740D0"/>
    <w:rsid w:val="005743A9"/>
    <w:rsid w:val="00580F88"/>
    <w:rsid w:val="005914F9"/>
    <w:rsid w:val="00592BA1"/>
    <w:rsid w:val="00597A17"/>
    <w:rsid w:val="005A1D12"/>
    <w:rsid w:val="005A4171"/>
    <w:rsid w:val="005C047B"/>
    <w:rsid w:val="005E7C03"/>
    <w:rsid w:val="00600638"/>
    <w:rsid w:val="006045B0"/>
    <w:rsid w:val="00613B72"/>
    <w:rsid w:val="0061725D"/>
    <w:rsid w:val="00617FC3"/>
    <w:rsid w:val="006274B2"/>
    <w:rsid w:val="006365C0"/>
    <w:rsid w:val="00641A3B"/>
    <w:rsid w:val="00662217"/>
    <w:rsid w:val="00662542"/>
    <w:rsid w:val="00674EB1"/>
    <w:rsid w:val="0067789F"/>
    <w:rsid w:val="00680527"/>
    <w:rsid w:val="006814A6"/>
    <w:rsid w:val="00683425"/>
    <w:rsid w:val="00692E8A"/>
    <w:rsid w:val="00697C8A"/>
    <w:rsid w:val="006A4C3F"/>
    <w:rsid w:val="006C6346"/>
    <w:rsid w:val="006F58D4"/>
    <w:rsid w:val="00704473"/>
    <w:rsid w:val="00716931"/>
    <w:rsid w:val="00720C13"/>
    <w:rsid w:val="00721114"/>
    <w:rsid w:val="00730753"/>
    <w:rsid w:val="00744498"/>
    <w:rsid w:val="007517E5"/>
    <w:rsid w:val="00767355"/>
    <w:rsid w:val="00774E75"/>
    <w:rsid w:val="00784399"/>
    <w:rsid w:val="0078788C"/>
    <w:rsid w:val="00792512"/>
    <w:rsid w:val="007A3EFD"/>
    <w:rsid w:val="007A5FBB"/>
    <w:rsid w:val="007C7A6F"/>
    <w:rsid w:val="007D4834"/>
    <w:rsid w:val="007E0A92"/>
    <w:rsid w:val="008058DE"/>
    <w:rsid w:val="00806BAB"/>
    <w:rsid w:val="00807C0E"/>
    <w:rsid w:val="008162D6"/>
    <w:rsid w:val="0081723C"/>
    <w:rsid w:val="00822A56"/>
    <w:rsid w:val="00827DE8"/>
    <w:rsid w:val="00835502"/>
    <w:rsid w:val="00844124"/>
    <w:rsid w:val="008449EF"/>
    <w:rsid w:val="00855E47"/>
    <w:rsid w:val="00864FEF"/>
    <w:rsid w:val="00867B85"/>
    <w:rsid w:val="0088357F"/>
    <w:rsid w:val="00893ECB"/>
    <w:rsid w:val="008A0FEC"/>
    <w:rsid w:val="008C073E"/>
    <w:rsid w:val="008C12B5"/>
    <w:rsid w:val="008C5097"/>
    <w:rsid w:val="008D0D3B"/>
    <w:rsid w:val="008D3FEA"/>
    <w:rsid w:val="008D5C79"/>
    <w:rsid w:val="008F51CA"/>
    <w:rsid w:val="0090728D"/>
    <w:rsid w:val="009107E1"/>
    <w:rsid w:val="00933DBF"/>
    <w:rsid w:val="009353B2"/>
    <w:rsid w:val="0094032C"/>
    <w:rsid w:val="00940B6B"/>
    <w:rsid w:val="00946B80"/>
    <w:rsid w:val="00947B87"/>
    <w:rsid w:val="00952369"/>
    <w:rsid w:val="00961C98"/>
    <w:rsid w:val="00973932"/>
    <w:rsid w:val="009852D6"/>
    <w:rsid w:val="009950D4"/>
    <w:rsid w:val="009B12F9"/>
    <w:rsid w:val="009B4D9D"/>
    <w:rsid w:val="009D7FA2"/>
    <w:rsid w:val="009E0B97"/>
    <w:rsid w:val="009E397F"/>
    <w:rsid w:val="009F02EC"/>
    <w:rsid w:val="009F218E"/>
    <w:rsid w:val="009F7DED"/>
    <w:rsid w:val="00A02D4E"/>
    <w:rsid w:val="00A052B8"/>
    <w:rsid w:val="00A200CC"/>
    <w:rsid w:val="00A439E2"/>
    <w:rsid w:val="00A60FF0"/>
    <w:rsid w:val="00A61E22"/>
    <w:rsid w:val="00A72497"/>
    <w:rsid w:val="00A828C1"/>
    <w:rsid w:val="00AB53D2"/>
    <w:rsid w:val="00AC3DFD"/>
    <w:rsid w:val="00AD4AE0"/>
    <w:rsid w:val="00AD5F72"/>
    <w:rsid w:val="00AE7828"/>
    <w:rsid w:val="00AF368D"/>
    <w:rsid w:val="00AF3E54"/>
    <w:rsid w:val="00AF51F8"/>
    <w:rsid w:val="00AF776A"/>
    <w:rsid w:val="00B24318"/>
    <w:rsid w:val="00B24C05"/>
    <w:rsid w:val="00B278E0"/>
    <w:rsid w:val="00B30077"/>
    <w:rsid w:val="00B4656F"/>
    <w:rsid w:val="00B46EBB"/>
    <w:rsid w:val="00B513BF"/>
    <w:rsid w:val="00B73326"/>
    <w:rsid w:val="00B739A5"/>
    <w:rsid w:val="00B87A96"/>
    <w:rsid w:val="00B90AC1"/>
    <w:rsid w:val="00B93029"/>
    <w:rsid w:val="00B95CD6"/>
    <w:rsid w:val="00BA1210"/>
    <w:rsid w:val="00BB3CF7"/>
    <w:rsid w:val="00BC2EDF"/>
    <w:rsid w:val="00BD4080"/>
    <w:rsid w:val="00BD4205"/>
    <w:rsid w:val="00BD4D40"/>
    <w:rsid w:val="00BD6E05"/>
    <w:rsid w:val="00BE2232"/>
    <w:rsid w:val="00BF212A"/>
    <w:rsid w:val="00BF3DFF"/>
    <w:rsid w:val="00C012D9"/>
    <w:rsid w:val="00C041A1"/>
    <w:rsid w:val="00C0546F"/>
    <w:rsid w:val="00C0773D"/>
    <w:rsid w:val="00C1692C"/>
    <w:rsid w:val="00C24C4F"/>
    <w:rsid w:val="00C25D26"/>
    <w:rsid w:val="00C2764A"/>
    <w:rsid w:val="00C30E52"/>
    <w:rsid w:val="00C530A9"/>
    <w:rsid w:val="00C54AFD"/>
    <w:rsid w:val="00C57DB9"/>
    <w:rsid w:val="00C72F64"/>
    <w:rsid w:val="00C751FC"/>
    <w:rsid w:val="00CA2581"/>
    <w:rsid w:val="00CB3F20"/>
    <w:rsid w:val="00CD447C"/>
    <w:rsid w:val="00CD749B"/>
    <w:rsid w:val="00CF17F2"/>
    <w:rsid w:val="00D112C0"/>
    <w:rsid w:val="00D15A54"/>
    <w:rsid w:val="00D27C57"/>
    <w:rsid w:val="00D32940"/>
    <w:rsid w:val="00D51743"/>
    <w:rsid w:val="00D53874"/>
    <w:rsid w:val="00D67BC9"/>
    <w:rsid w:val="00D72CA7"/>
    <w:rsid w:val="00D75942"/>
    <w:rsid w:val="00D93DFE"/>
    <w:rsid w:val="00D94D8C"/>
    <w:rsid w:val="00D978B8"/>
    <w:rsid w:val="00DA07F1"/>
    <w:rsid w:val="00DA29EE"/>
    <w:rsid w:val="00DB672B"/>
    <w:rsid w:val="00DC7D8C"/>
    <w:rsid w:val="00DD092F"/>
    <w:rsid w:val="00DD0A60"/>
    <w:rsid w:val="00DD16CE"/>
    <w:rsid w:val="00DD2505"/>
    <w:rsid w:val="00DE0BA0"/>
    <w:rsid w:val="00DF0802"/>
    <w:rsid w:val="00DF2365"/>
    <w:rsid w:val="00DF7ED3"/>
    <w:rsid w:val="00E0481E"/>
    <w:rsid w:val="00E107ED"/>
    <w:rsid w:val="00E13515"/>
    <w:rsid w:val="00E17033"/>
    <w:rsid w:val="00E27964"/>
    <w:rsid w:val="00E368B1"/>
    <w:rsid w:val="00E409E7"/>
    <w:rsid w:val="00E54B2B"/>
    <w:rsid w:val="00E607AD"/>
    <w:rsid w:val="00E71AA2"/>
    <w:rsid w:val="00E82D06"/>
    <w:rsid w:val="00E90098"/>
    <w:rsid w:val="00E90A30"/>
    <w:rsid w:val="00E9721C"/>
    <w:rsid w:val="00EA00C7"/>
    <w:rsid w:val="00EA0CDF"/>
    <w:rsid w:val="00EA5E8E"/>
    <w:rsid w:val="00EB20B8"/>
    <w:rsid w:val="00EC39C3"/>
    <w:rsid w:val="00ED34EE"/>
    <w:rsid w:val="00EF6B35"/>
    <w:rsid w:val="00F00F08"/>
    <w:rsid w:val="00F02B1A"/>
    <w:rsid w:val="00F128CD"/>
    <w:rsid w:val="00F158F8"/>
    <w:rsid w:val="00F26615"/>
    <w:rsid w:val="00F375FA"/>
    <w:rsid w:val="00F379E1"/>
    <w:rsid w:val="00F43837"/>
    <w:rsid w:val="00F653F0"/>
    <w:rsid w:val="00F75BAA"/>
    <w:rsid w:val="00F76E26"/>
    <w:rsid w:val="00F827C7"/>
    <w:rsid w:val="00F83006"/>
    <w:rsid w:val="00F9164A"/>
    <w:rsid w:val="00F93C4E"/>
    <w:rsid w:val="00FB2A45"/>
    <w:rsid w:val="00FC2D9A"/>
    <w:rsid w:val="00FD55EC"/>
    <w:rsid w:val="00FD6E3B"/>
    <w:rsid w:val="00FF0D77"/>
    <w:rsid w:val="00FF25CD"/>
    <w:rsid w:val="00FF3A46"/>
    <w:rsid w:val="04CD002A"/>
    <w:rsid w:val="1B8E73B3"/>
    <w:rsid w:val="2E3F9017"/>
    <w:rsid w:val="2ED2B72C"/>
    <w:rsid w:val="3556B15A"/>
    <w:rsid w:val="3CEDA3BF"/>
    <w:rsid w:val="5E384DE8"/>
    <w:rsid w:val="635024E5"/>
    <w:rsid w:val="7A73A8FB"/>
    <w:rsid w:val="7F4994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A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4E"/>
  </w:style>
  <w:style w:type="paragraph" w:styleId="Heading1">
    <w:name w:val="heading 1"/>
    <w:basedOn w:val="Normal"/>
    <w:next w:val="Normal"/>
    <w:uiPriority w:val="9"/>
    <w:qFormat/>
    <w:rsid w:val="009107E1"/>
    <w:pPr>
      <w:keepNext/>
      <w:keepLines/>
      <w:pBdr>
        <w:bottom w:val="single" w:sz="36" w:space="2" w:color="CFD9F3" w:themeColor="text2" w:themeTint="33"/>
      </w:pBdr>
      <w:spacing w:before="240"/>
      <w:jc w:val="center"/>
      <w:outlineLvl w:val="0"/>
    </w:pPr>
    <w:rPr>
      <w:b/>
      <w:color w:val="354052" w:themeColor="text1"/>
      <w:sz w:val="56"/>
      <w:szCs w:val="40"/>
    </w:rPr>
  </w:style>
  <w:style w:type="paragraph" w:styleId="Heading2">
    <w:name w:val="heading 2"/>
    <w:basedOn w:val="Normal"/>
    <w:next w:val="Normal"/>
    <w:uiPriority w:val="9"/>
    <w:unhideWhenUsed/>
    <w:qFormat/>
    <w:rsid w:val="0088357F"/>
    <w:pPr>
      <w:keepNext/>
      <w:keepLines/>
      <w:spacing w:before="240" w:after="240"/>
      <w:outlineLvl w:val="1"/>
    </w:pPr>
    <w:rPr>
      <w:rFonts w:eastAsia="Oswald" w:cs="Oswald"/>
      <w:b/>
      <w:color w:val="27499D"/>
      <w:sz w:val="44"/>
      <w:szCs w:val="44"/>
      <w:shd w:val="clear" w:color="auto" w:fill="F3F3F3"/>
    </w:rPr>
  </w:style>
  <w:style w:type="paragraph" w:styleId="Heading3">
    <w:name w:val="heading 3"/>
    <w:basedOn w:val="Normal"/>
    <w:next w:val="Normal"/>
    <w:uiPriority w:val="9"/>
    <w:unhideWhenUsed/>
    <w:qFormat/>
    <w:rsid w:val="0061725D"/>
    <w:pPr>
      <w:keepNext/>
      <w:keepLines/>
      <w:pBdr>
        <w:left w:val="single" w:sz="36" w:space="4" w:color="2B50AC" w:themeColor="text2"/>
      </w:pBdr>
      <w:shd w:val="clear" w:color="auto" w:fill="F2F5FC"/>
      <w:spacing w:before="360" w:after="240"/>
      <w:outlineLvl w:val="2"/>
    </w:pPr>
    <w:rPr>
      <w:b/>
      <w:color w:val="1A2029" w:themeColor="text1" w:themeShade="80"/>
      <w:sz w:val="30"/>
      <w:szCs w:val="28"/>
      <w:shd w:val="clear" w:color="auto" w:fill="F3F3F3"/>
    </w:rPr>
  </w:style>
  <w:style w:type="paragraph" w:styleId="Heading4">
    <w:name w:val="heading 4"/>
    <w:basedOn w:val="Normal"/>
    <w:next w:val="Normal"/>
    <w:uiPriority w:val="9"/>
    <w:unhideWhenUsed/>
    <w:qFormat/>
    <w:rsid w:val="00855E47"/>
    <w:pPr>
      <w:keepNext/>
      <w:keepLines/>
      <w:spacing w:before="240" w:after="80"/>
      <w:outlineLvl w:val="3"/>
    </w:pPr>
    <w:rPr>
      <w:b/>
      <w:color w:val="354052" w:themeColor="text1"/>
      <w:sz w:val="2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F158F8"/>
    <w:rPr>
      <w:b/>
      <w:bCs/>
      <w:color w:val="354052" w:themeColor="accent6"/>
    </w:rPr>
  </w:style>
  <w:style w:type="paragraph" w:styleId="ListParagraph">
    <w:name w:val="List Paragraph"/>
    <w:basedOn w:val="Normal"/>
    <w:uiPriority w:val="34"/>
    <w:qFormat/>
    <w:rsid w:val="00B513BF"/>
    <w:pPr>
      <w:numPr>
        <w:numId w:val="1"/>
      </w:numPr>
      <w:spacing w:after="60"/>
      <w:ind w:left="576" w:hanging="288"/>
    </w:pPr>
  </w:style>
  <w:style w:type="numbering" w:customStyle="1" w:styleId="Style1">
    <w:name w:val="Style1"/>
    <w:uiPriority w:val="99"/>
    <w:rsid w:val="007D4834"/>
    <w:pPr>
      <w:numPr>
        <w:numId w:val="3"/>
      </w:numPr>
    </w:pPr>
  </w:style>
  <w:style w:type="character" w:styleId="Hyperlink">
    <w:name w:val="Hyperlink"/>
    <w:basedOn w:val="DefaultParagraphFont"/>
    <w:uiPriority w:val="99"/>
    <w:unhideWhenUsed/>
    <w:rsid w:val="00600638"/>
    <w:rPr>
      <w:color w:val="0000FF" w:themeColor="hyperlink"/>
      <w:u w:val="single"/>
    </w:rPr>
  </w:style>
  <w:style w:type="character" w:styleId="UnresolvedMention">
    <w:name w:val="Unresolved Mention"/>
    <w:basedOn w:val="DefaultParagraphFont"/>
    <w:uiPriority w:val="99"/>
    <w:semiHidden/>
    <w:unhideWhenUsed/>
    <w:rsid w:val="00600638"/>
    <w:rPr>
      <w:color w:val="605E5C"/>
      <w:shd w:val="clear" w:color="auto" w:fill="E1DFDD"/>
    </w:rPr>
  </w:style>
  <w:style w:type="character" w:styleId="CommentReference">
    <w:name w:val="annotation reference"/>
    <w:basedOn w:val="DefaultParagraphFont"/>
    <w:uiPriority w:val="99"/>
    <w:semiHidden/>
    <w:unhideWhenUsed/>
    <w:rsid w:val="00EB20B8"/>
    <w:rPr>
      <w:sz w:val="16"/>
      <w:szCs w:val="16"/>
    </w:rPr>
  </w:style>
  <w:style w:type="paragraph" w:styleId="CommentText">
    <w:name w:val="annotation text"/>
    <w:basedOn w:val="Normal"/>
    <w:link w:val="CommentTextChar"/>
    <w:uiPriority w:val="99"/>
    <w:unhideWhenUsed/>
    <w:rsid w:val="00EB20B8"/>
    <w:rPr>
      <w:sz w:val="20"/>
      <w:szCs w:val="20"/>
    </w:rPr>
  </w:style>
  <w:style w:type="character" w:customStyle="1" w:styleId="CommentTextChar">
    <w:name w:val="Comment Text Char"/>
    <w:basedOn w:val="DefaultParagraphFont"/>
    <w:link w:val="CommentText"/>
    <w:uiPriority w:val="99"/>
    <w:rsid w:val="00EB20B8"/>
    <w:rPr>
      <w:sz w:val="20"/>
      <w:szCs w:val="20"/>
    </w:rPr>
  </w:style>
  <w:style w:type="paragraph" w:styleId="CommentSubject">
    <w:name w:val="annotation subject"/>
    <w:basedOn w:val="CommentText"/>
    <w:next w:val="CommentText"/>
    <w:link w:val="CommentSubjectChar"/>
    <w:uiPriority w:val="99"/>
    <w:semiHidden/>
    <w:unhideWhenUsed/>
    <w:rsid w:val="00EB20B8"/>
    <w:rPr>
      <w:b/>
      <w:bCs/>
    </w:rPr>
  </w:style>
  <w:style w:type="character" w:customStyle="1" w:styleId="CommentSubjectChar">
    <w:name w:val="Comment Subject Char"/>
    <w:basedOn w:val="CommentTextChar"/>
    <w:link w:val="CommentSubject"/>
    <w:uiPriority w:val="99"/>
    <w:semiHidden/>
    <w:rsid w:val="00EB20B8"/>
    <w:rPr>
      <w:b/>
      <w:bCs/>
      <w:sz w:val="20"/>
      <w:szCs w:val="20"/>
    </w:rPr>
  </w:style>
  <w:style w:type="table" w:styleId="GridTable1Light">
    <w:name w:val="Grid Table 1 Light"/>
    <w:basedOn w:val="TableNormal"/>
    <w:uiPriority w:val="46"/>
    <w:rsid w:val="00EB20B8"/>
    <w:tblPr>
      <w:tblStyleRowBandSize w:val="1"/>
      <w:tblStyleColBandSize w:val="1"/>
      <w:tblBorders>
        <w:top w:val="single" w:sz="4" w:space="0" w:color="A3B0C4" w:themeColor="text1" w:themeTint="66"/>
        <w:left w:val="single" w:sz="4" w:space="0" w:color="A3B0C4" w:themeColor="text1" w:themeTint="66"/>
        <w:bottom w:val="single" w:sz="4" w:space="0" w:color="A3B0C4" w:themeColor="text1" w:themeTint="66"/>
        <w:right w:val="single" w:sz="4" w:space="0" w:color="A3B0C4" w:themeColor="text1" w:themeTint="66"/>
        <w:insideH w:val="single" w:sz="4" w:space="0" w:color="A3B0C4" w:themeColor="text1" w:themeTint="66"/>
        <w:insideV w:val="single" w:sz="4" w:space="0" w:color="A3B0C4" w:themeColor="text1" w:themeTint="66"/>
      </w:tblBorders>
    </w:tblPr>
    <w:tblStylePr w:type="firstRow">
      <w:rPr>
        <w:b/>
        <w:bCs/>
      </w:rPr>
      <w:tblPr/>
      <w:tcPr>
        <w:tcBorders>
          <w:bottom w:val="single" w:sz="12" w:space="0" w:color="7688A6" w:themeColor="text1" w:themeTint="99"/>
        </w:tcBorders>
      </w:tcPr>
    </w:tblStylePr>
    <w:tblStylePr w:type="lastRow">
      <w:rPr>
        <w:b/>
        <w:bCs/>
      </w:rPr>
      <w:tblPr/>
      <w:tcPr>
        <w:tcBorders>
          <w:top w:val="double" w:sz="2" w:space="0" w:color="7688A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BC2EDF"/>
    <w:tblPr>
      <w:tblStyleRowBandSize w:val="1"/>
      <w:tblStyleColBandSize w:val="1"/>
      <w:tblBorders>
        <w:top w:val="single" w:sz="4" w:space="0" w:color="7688A6" w:themeColor="text1" w:themeTint="99"/>
        <w:left w:val="single" w:sz="4" w:space="0" w:color="7688A6" w:themeColor="text1" w:themeTint="99"/>
        <w:bottom w:val="single" w:sz="4" w:space="0" w:color="7688A6" w:themeColor="text1" w:themeTint="99"/>
        <w:right w:val="single" w:sz="4" w:space="0" w:color="7688A6" w:themeColor="text1" w:themeTint="99"/>
        <w:insideH w:val="single" w:sz="4" w:space="0" w:color="7688A6" w:themeColor="text1" w:themeTint="99"/>
        <w:insideV w:val="single" w:sz="4" w:space="0" w:color="7688A6" w:themeColor="text1" w:themeTint="99"/>
      </w:tblBorders>
    </w:tblPr>
    <w:tblStylePr w:type="firstRow">
      <w:rPr>
        <w:b/>
        <w:bCs/>
        <w:color w:val="FFFFFF" w:themeColor="background1"/>
      </w:rPr>
      <w:tblPr/>
      <w:tcPr>
        <w:tcBorders>
          <w:top w:val="single" w:sz="4" w:space="0" w:color="354052" w:themeColor="text1"/>
          <w:left w:val="single" w:sz="4" w:space="0" w:color="354052" w:themeColor="text1"/>
          <w:bottom w:val="single" w:sz="4" w:space="0" w:color="354052" w:themeColor="text1"/>
          <w:right w:val="single" w:sz="4" w:space="0" w:color="354052" w:themeColor="text1"/>
          <w:insideH w:val="nil"/>
          <w:insideV w:val="nil"/>
        </w:tcBorders>
        <w:shd w:val="clear" w:color="auto" w:fill="354052" w:themeFill="text1"/>
      </w:tcPr>
    </w:tblStylePr>
    <w:tblStylePr w:type="lastRow">
      <w:rPr>
        <w:b/>
        <w:bCs/>
      </w:rPr>
      <w:tblPr/>
      <w:tcPr>
        <w:tcBorders>
          <w:top w:val="double" w:sz="4" w:space="0" w:color="354052" w:themeColor="text1"/>
        </w:tcBorders>
      </w:tcPr>
    </w:tblStylePr>
    <w:tblStylePr w:type="firstCol">
      <w:rPr>
        <w:b/>
        <w:bCs/>
      </w:rPr>
    </w:tblStylePr>
    <w:tblStylePr w:type="lastCol">
      <w:rPr>
        <w:b/>
        <w:bCs/>
      </w:rPr>
    </w:tblStylePr>
    <w:tblStylePr w:type="band1Vert">
      <w:tblPr/>
      <w:tcPr>
        <w:shd w:val="clear" w:color="auto" w:fill="D1D7E1" w:themeFill="text1" w:themeFillTint="33"/>
      </w:tcPr>
    </w:tblStylePr>
    <w:tblStylePr w:type="band1Horz">
      <w:tblPr/>
      <w:tcPr>
        <w:shd w:val="clear" w:color="auto" w:fill="D1D7E1" w:themeFill="text1" w:themeFillTint="33"/>
      </w:tcPr>
    </w:tblStylePr>
  </w:style>
  <w:style w:type="table" w:styleId="GridTable4-Accent1">
    <w:name w:val="Grid Table 4 Accent 1"/>
    <w:basedOn w:val="TableNormal"/>
    <w:uiPriority w:val="49"/>
    <w:rsid w:val="00BC2EDF"/>
    <w:tblPr>
      <w:tblStyleRowBandSize w:val="1"/>
      <w:tblStyleColBandSize w:val="1"/>
      <w:tblBorders>
        <w:top w:val="single" w:sz="4" w:space="0" w:color="8DA5E2" w:themeColor="accent1" w:themeTint="99"/>
        <w:left w:val="single" w:sz="4" w:space="0" w:color="8DA5E2" w:themeColor="accent1" w:themeTint="99"/>
        <w:bottom w:val="single" w:sz="4" w:space="0" w:color="8DA5E2" w:themeColor="accent1" w:themeTint="99"/>
        <w:right w:val="single" w:sz="4" w:space="0" w:color="8DA5E2" w:themeColor="accent1" w:themeTint="99"/>
        <w:insideH w:val="single" w:sz="4" w:space="0" w:color="8DA5E2" w:themeColor="accent1" w:themeTint="99"/>
        <w:insideV w:val="single" w:sz="4" w:space="0" w:color="8DA5E2" w:themeColor="accent1" w:themeTint="99"/>
      </w:tblBorders>
    </w:tblPr>
    <w:tblStylePr w:type="firstRow">
      <w:rPr>
        <w:b/>
        <w:bCs/>
        <w:color w:val="FFFFFF" w:themeColor="background1"/>
      </w:rPr>
      <w:tblPr/>
      <w:tcPr>
        <w:tcBorders>
          <w:top w:val="single" w:sz="4" w:space="0" w:color="426BD0" w:themeColor="accent1"/>
          <w:left w:val="single" w:sz="4" w:space="0" w:color="426BD0" w:themeColor="accent1"/>
          <w:bottom w:val="single" w:sz="4" w:space="0" w:color="426BD0" w:themeColor="accent1"/>
          <w:right w:val="single" w:sz="4" w:space="0" w:color="426BD0" w:themeColor="accent1"/>
          <w:insideH w:val="nil"/>
          <w:insideV w:val="nil"/>
        </w:tcBorders>
        <w:shd w:val="clear" w:color="auto" w:fill="426BD0" w:themeFill="accent1"/>
      </w:tcPr>
    </w:tblStylePr>
    <w:tblStylePr w:type="lastRow">
      <w:rPr>
        <w:b/>
        <w:bCs/>
      </w:rPr>
      <w:tblPr/>
      <w:tcPr>
        <w:tcBorders>
          <w:top w:val="double" w:sz="4" w:space="0" w:color="426BD0" w:themeColor="accent1"/>
        </w:tcBorders>
      </w:tcPr>
    </w:tblStylePr>
    <w:tblStylePr w:type="firstCol">
      <w:rPr>
        <w:b/>
        <w:bCs/>
      </w:rPr>
    </w:tblStylePr>
    <w:tblStylePr w:type="lastCol">
      <w:rPr>
        <w:b/>
        <w:bCs/>
      </w:rPr>
    </w:tblStylePr>
    <w:tblStylePr w:type="band1Vert">
      <w:tblPr/>
      <w:tcPr>
        <w:shd w:val="clear" w:color="auto" w:fill="D9E1F5" w:themeFill="accent1" w:themeFillTint="33"/>
      </w:tcPr>
    </w:tblStylePr>
    <w:tblStylePr w:type="band1Horz">
      <w:tblPr/>
      <w:tcPr>
        <w:shd w:val="clear" w:color="auto" w:fill="D9E1F5" w:themeFill="accent1" w:themeFillTint="33"/>
      </w:tcPr>
    </w:tblStylePr>
  </w:style>
  <w:style w:type="table" w:styleId="GridTable5Dark-Accent6">
    <w:name w:val="Grid Table 5 Dark Accent 6"/>
    <w:basedOn w:val="TableNormal"/>
    <w:uiPriority w:val="50"/>
    <w:rsid w:val="00BC2ED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40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40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40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4052" w:themeFill="accent6"/>
      </w:tcPr>
    </w:tblStylePr>
    <w:tblStylePr w:type="band1Vert">
      <w:tblPr/>
      <w:tcPr>
        <w:shd w:val="clear" w:color="auto" w:fill="A3B0C4" w:themeFill="accent6" w:themeFillTint="66"/>
      </w:tcPr>
    </w:tblStylePr>
    <w:tblStylePr w:type="band1Horz">
      <w:tblPr/>
      <w:tcPr>
        <w:shd w:val="clear" w:color="auto" w:fill="A3B0C4" w:themeFill="accent6" w:themeFillTint="66"/>
      </w:tcPr>
    </w:tblStylePr>
  </w:style>
  <w:style w:type="table" w:styleId="ListTable3">
    <w:name w:val="List Table 3"/>
    <w:basedOn w:val="TableNormal"/>
    <w:uiPriority w:val="48"/>
    <w:rsid w:val="00BC2EDF"/>
    <w:tblPr>
      <w:tblStyleRowBandSize w:val="1"/>
      <w:tblStyleColBandSize w:val="1"/>
      <w:tblBorders>
        <w:top w:val="single" w:sz="4" w:space="0" w:color="354052" w:themeColor="text1"/>
        <w:left w:val="single" w:sz="4" w:space="0" w:color="354052" w:themeColor="text1"/>
        <w:bottom w:val="single" w:sz="4" w:space="0" w:color="354052" w:themeColor="text1"/>
        <w:right w:val="single" w:sz="4" w:space="0" w:color="354052" w:themeColor="text1"/>
      </w:tblBorders>
    </w:tblPr>
    <w:tblStylePr w:type="firstRow">
      <w:rPr>
        <w:b/>
        <w:bCs/>
        <w:color w:val="FFFFFF" w:themeColor="background1"/>
      </w:rPr>
      <w:tblPr/>
      <w:tcPr>
        <w:shd w:val="clear" w:color="auto" w:fill="354052" w:themeFill="text1"/>
      </w:tcPr>
    </w:tblStylePr>
    <w:tblStylePr w:type="lastRow">
      <w:rPr>
        <w:b/>
        <w:bCs/>
      </w:rPr>
      <w:tblPr/>
      <w:tcPr>
        <w:tcBorders>
          <w:top w:val="double" w:sz="4" w:space="0" w:color="35405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4052" w:themeColor="text1"/>
          <w:right w:val="single" w:sz="4" w:space="0" w:color="354052" w:themeColor="text1"/>
        </w:tcBorders>
      </w:tcPr>
    </w:tblStylePr>
    <w:tblStylePr w:type="band1Horz">
      <w:tblPr/>
      <w:tcPr>
        <w:tcBorders>
          <w:top w:val="single" w:sz="4" w:space="0" w:color="354052" w:themeColor="text1"/>
          <w:bottom w:val="single" w:sz="4" w:space="0" w:color="35405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4052" w:themeColor="text1"/>
          <w:left w:val="nil"/>
        </w:tcBorders>
      </w:tcPr>
    </w:tblStylePr>
    <w:tblStylePr w:type="swCell">
      <w:tblPr/>
      <w:tcPr>
        <w:tcBorders>
          <w:top w:val="double" w:sz="4" w:space="0" w:color="354052" w:themeColor="text1"/>
          <w:right w:val="nil"/>
        </w:tcBorders>
      </w:tcPr>
    </w:tblStylePr>
  </w:style>
  <w:style w:type="table" w:customStyle="1" w:styleId="Style2">
    <w:name w:val="Style2"/>
    <w:basedOn w:val="TableNormal"/>
    <w:uiPriority w:val="99"/>
    <w:rsid w:val="00BC2EDF"/>
    <w:rPr>
      <w:b/>
      <w:color w:val="FFFFFF" w:themeColor="background1"/>
    </w:rPr>
    <w:tblPr/>
    <w:tcPr>
      <w:shd w:val="clear" w:color="auto" w:fill="203B80" w:themeFill="text2" w:themeFillShade="BF"/>
    </w:tcPr>
  </w:style>
  <w:style w:type="table" w:styleId="ListTable3-Accent1">
    <w:name w:val="List Table 3 Accent 1"/>
    <w:basedOn w:val="TableNormal"/>
    <w:uiPriority w:val="48"/>
    <w:rsid w:val="00BC2EDF"/>
    <w:tblPr>
      <w:tblStyleRowBandSize w:val="1"/>
      <w:tblStyleColBandSize w:val="1"/>
      <w:tblBorders>
        <w:top w:val="single" w:sz="4" w:space="0" w:color="426BD0" w:themeColor="accent1"/>
        <w:left w:val="single" w:sz="4" w:space="0" w:color="426BD0" w:themeColor="accent1"/>
        <w:bottom w:val="single" w:sz="4" w:space="0" w:color="426BD0" w:themeColor="accent1"/>
        <w:right w:val="single" w:sz="4" w:space="0" w:color="426BD0" w:themeColor="accent1"/>
      </w:tblBorders>
    </w:tblPr>
    <w:tblStylePr w:type="firstRow">
      <w:rPr>
        <w:b/>
        <w:bCs/>
        <w:color w:val="FFFFFF" w:themeColor="background1"/>
      </w:rPr>
      <w:tblPr/>
      <w:tcPr>
        <w:shd w:val="clear" w:color="auto" w:fill="426BD0" w:themeFill="accent1"/>
      </w:tcPr>
    </w:tblStylePr>
    <w:tblStylePr w:type="lastRow">
      <w:rPr>
        <w:b/>
        <w:bCs/>
      </w:rPr>
      <w:tblPr/>
      <w:tcPr>
        <w:tcBorders>
          <w:top w:val="double" w:sz="4" w:space="0" w:color="426BD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6BD0" w:themeColor="accent1"/>
          <w:right w:val="single" w:sz="4" w:space="0" w:color="426BD0" w:themeColor="accent1"/>
        </w:tcBorders>
      </w:tcPr>
    </w:tblStylePr>
    <w:tblStylePr w:type="band1Horz">
      <w:tblPr/>
      <w:tcPr>
        <w:tcBorders>
          <w:top w:val="single" w:sz="4" w:space="0" w:color="426BD0" w:themeColor="accent1"/>
          <w:bottom w:val="single" w:sz="4" w:space="0" w:color="426BD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6BD0" w:themeColor="accent1"/>
          <w:left w:val="nil"/>
        </w:tcBorders>
      </w:tcPr>
    </w:tblStylePr>
    <w:tblStylePr w:type="swCell">
      <w:tblPr/>
      <w:tcPr>
        <w:tcBorders>
          <w:top w:val="double" w:sz="4" w:space="0" w:color="426BD0" w:themeColor="accent1"/>
          <w:right w:val="nil"/>
        </w:tcBorders>
      </w:tcPr>
    </w:tblStylePr>
  </w:style>
  <w:style w:type="table" w:styleId="GridTable5Dark-Accent1">
    <w:name w:val="Grid Table 5 Dark Accent 1"/>
    <w:aliases w:val="Dashboard"/>
    <w:basedOn w:val="TableNormal"/>
    <w:uiPriority w:val="50"/>
    <w:rsid w:val="00A02D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43" w:type="dxa"/>
      </w:tblCellMar>
    </w:tblPr>
    <w:tcPr>
      <w:shd w:val="clear" w:color="auto" w:fill="F2F5FC"/>
    </w:tcPr>
    <w:tblStylePr w:type="firstRow">
      <w:rPr>
        <w:rFonts w:ascii="Arial" w:hAnsi="Arial"/>
        <w:b/>
        <w:bCs/>
        <w:color w:val="FFFFFF" w:themeColor="background1"/>
        <w:sz w:val="24"/>
      </w:rPr>
      <w:tblPr/>
      <w:tcPr>
        <w:shd w:val="clear" w:color="auto" w:fill="294CA4" w:themeFill="accent1" w:themeFillShade="BF"/>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6BD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6BD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6BD0" w:themeFill="accent1"/>
      </w:tcPr>
    </w:tblStylePr>
    <w:tblStylePr w:type="band1Vert">
      <w:tblPr/>
      <w:tcPr>
        <w:shd w:val="clear" w:color="auto" w:fill="B3C3EC" w:themeFill="accent1" w:themeFillTint="66"/>
      </w:tcPr>
    </w:tblStylePr>
    <w:tblStylePr w:type="band1Horz">
      <w:tblPr/>
      <w:tcPr>
        <w:shd w:val="clear" w:color="auto" w:fill="B3C3EC" w:themeFill="accent1" w:themeFillTint="66"/>
      </w:tcPr>
    </w:tblStylePr>
  </w:style>
  <w:style w:type="table" w:styleId="TableGrid">
    <w:name w:val="Table Grid"/>
    <w:basedOn w:val="TableNormal"/>
    <w:uiPriority w:val="39"/>
    <w:rsid w:val="00BC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92512"/>
    <w:tblPr>
      <w:tblStyleRowBandSize w:val="1"/>
      <w:tblStyleColBandSize w:val="1"/>
      <w:tblBorders>
        <w:top w:val="single" w:sz="4" w:space="0" w:color="7688A6" w:themeColor="accent6" w:themeTint="99"/>
        <w:left w:val="single" w:sz="4" w:space="0" w:color="7688A6" w:themeColor="accent6" w:themeTint="99"/>
        <w:bottom w:val="single" w:sz="4" w:space="0" w:color="7688A6" w:themeColor="accent6" w:themeTint="99"/>
        <w:right w:val="single" w:sz="4" w:space="0" w:color="7688A6" w:themeColor="accent6" w:themeTint="99"/>
        <w:insideH w:val="single" w:sz="4" w:space="0" w:color="7688A6" w:themeColor="accent6" w:themeTint="99"/>
        <w:insideV w:val="single" w:sz="4" w:space="0" w:color="7688A6" w:themeColor="accent6" w:themeTint="99"/>
      </w:tblBorders>
    </w:tblPr>
    <w:tblStylePr w:type="firstRow">
      <w:rPr>
        <w:b/>
        <w:bCs/>
        <w:color w:val="FFFFFF" w:themeColor="background1"/>
      </w:rPr>
      <w:tblPr/>
      <w:tcPr>
        <w:tcBorders>
          <w:top w:val="single" w:sz="4" w:space="0" w:color="354052" w:themeColor="accent6"/>
          <w:left w:val="single" w:sz="4" w:space="0" w:color="354052" w:themeColor="accent6"/>
          <w:bottom w:val="single" w:sz="4" w:space="0" w:color="354052" w:themeColor="accent6"/>
          <w:right w:val="single" w:sz="4" w:space="0" w:color="354052" w:themeColor="accent6"/>
          <w:insideH w:val="nil"/>
          <w:insideV w:val="nil"/>
        </w:tcBorders>
        <w:shd w:val="clear" w:color="auto" w:fill="354052" w:themeFill="accent6"/>
      </w:tcPr>
    </w:tblStylePr>
    <w:tblStylePr w:type="lastRow">
      <w:rPr>
        <w:b/>
        <w:bCs/>
      </w:rPr>
      <w:tblPr/>
      <w:tcPr>
        <w:tcBorders>
          <w:top w:val="double" w:sz="4" w:space="0" w:color="354052" w:themeColor="accent6"/>
        </w:tcBorders>
      </w:tcPr>
    </w:tblStylePr>
    <w:tblStylePr w:type="firstCol">
      <w:rPr>
        <w:b/>
        <w:bCs/>
      </w:rPr>
    </w:tblStylePr>
    <w:tblStylePr w:type="lastCol">
      <w:rPr>
        <w:b/>
        <w:bCs/>
      </w:rPr>
    </w:tblStylePr>
    <w:tblStylePr w:type="band1Vert">
      <w:tblPr/>
      <w:tcPr>
        <w:shd w:val="clear" w:color="auto" w:fill="D1D7E1" w:themeFill="accent6" w:themeFillTint="33"/>
      </w:tcPr>
    </w:tblStylePr>
    <w:tblStylePr w:type="band1Horz">
      <w:tblPr/>
      <w:tcPr>
        <w:shd w:val="clear" w:color="auto" w:fill="D1D7E1" w:themeFill="accent6" w:themeFillTint="33"/>
      </w:tcPr>
    </w:tblStylePr>
  </w:style>
  <w:style w:type="table" w:customStyle="1" w:styleId="Style3">
    <w:name w:val="Style3"/>
    <w:basedOn w:val="TableNormal"/>
    <w:uiPriority w:val="99"/>
    <w:rsid w:val="00A02D4E"/>
    <w:tblPr/>
  </w:style>
  <w:style w:type="numbering" w:customStyle="1" w:styleId="Introlist">
    <w:name w:val="Intro list"/>
    <w:uiPriority w:val="99"/>
    <w:rsid w:val="00AD5F72"/>
    <w:pPr>
      <w:numPr>
        <w:numId w:val="7"/>
      </w:numPr>
    </w:pPr>
  </w:style>
  <w:style w:type="paragraph" w:styleId="BalloonText">
    <w:name w:val="Balloon Text"/>
    <w:basedOn w:val="Normal"/>
    <w:link w:val="BalloonTextChar"/>
    <w:uiPriority w:val="99"/>
    <w:semiHidden/>
    <w:unhideWhenUsed/>
    <w:rsid w:val="00C16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92C"/>
    <w:rPr>
      <w:rFonts w:ascii="Segoe UI" w:hAnsi="Segoe UI" w:cs="Segoe UI"/>
      <w:sz w:val="18"/>
      <w:szCs w:val="18"/>
    </w:rPr>
  </w:style>
  <w:style w:type="character" w:styleId="FollowedHyperlink">
    <w:name w:val="FollowedHyperlink"/>
    <w:basedOn w:val="DefaultParagraphFont"/>
    <w:uiPriority w:val="99"/>
    <w:semiHidden/>
    <w:unhideWhenUsed/>
    <w:rsid w:val="00523C4B"/>
    <w:rPr>
      <w:color w:val="800080" w:themeColor="followedHyperlink"/>
      <w:u w:val="single"/>
    </w:rPr>
  </w:style>
  <w:style w:type="paragraph" w:styleId="Header">
    <w:name w:val="header"/>
    <w:basedOn w:val="Normal"/>
    <w:link w:val="HeaderChar"/>
    <w:uiPriority w:val="99"/>
    <w:unhideWhenUsed/>
    <w:rsid w:val="00380336"/>
    <w:pPr>
      <w:tabs>
        <w:tab w:val="center" w:pos="4680"/>
        <w:tab w:val="right" w:pos="9360"/>
      </w:tabs>
    </w:pPr>
  </w:style>
  <w:style w:type="character" w:customStyle="1" w:styleId="HeaderChar">
    <w:name w:val="Header Char"/>
    <w:basedOn w:val="DefaultParagraphFont"/>
    <w:link w:val="Header"/>
    <w:uiPriority w:val="99"/>
    <w:rsid w:val="00380336"/>
  </w:style>
  <w:style w:type="paragraph" w:styleId="Footer">
    <w:name w:val="footer"/>
    <w:basedOn w:val="Normal"/>
    <w:link w:val="FooterChar"/>
    <w:uiPriority w:val="99"/>
    <w:unhideWhenUsed/>
    <w:rsid w:val="00380336"/>
    <w:pPr>
      <w:tabs>
        <w:tab w:val="center" w:pos="4680"/>
        <w:tab w:val="right" w:pos="9360"/>
      </w:tabs>
    </w:pPr>
  </w:style>
  <w:style w:type="character" w:customStyle="1" w:styleId="FooterChar">
    <w:name w:val="Footer Char"/>
    <w:basedOn w:val="DefaultParagraphFont"/>
    <w:link w:val="Footer"/>
    <w:uiPriority w:val="99"/>
    <w:rsid w:val="00380336"/>
  </w:style>
  <w:style w:type="paragraph" w:styleId="Revision">
    <w:name w:val="Revision"/>
    <w:hidden/>
    <w:uiPriority w:val="99"/>
    <w:semiHidden/>
    <w:rsid w:val="001C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68301">
      <w:bodyDiv w:val="1"/>
      <w:marLeft w:val="0"/>
      <w:marRight w:val="0"/>
      <w:marTop w:val="0"/>
      <w:marBottom w:val="0"/>
      <w:divBdr>
        <w:top w:val="none" w:sz="0" w:space="0" w:color="auto"/>
        <w:left w:val="none" w:sz="0" w:space="0" w:color="auto"/>
        <w:bottom w:val="none" w:sz="0" w:space="0" w:color="auto"/>
        <w:right w:val="none" w:sz="0" w:space="0" w:color="auto"/>
      </w:divBdr>
    </w:div>
    <w:div w:id="1508864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elpac.cde.ca.gov/caaspp/" TargetMode="External"/><Relationship Id="rId13" Type="http://schemas.openxmlformats.org/officeDocument/2006/relationships/hyperlink" Target="https://www.cde.ca.gov/ds/ad/filesfepsch.asp" TargetMode="External"/><Relationship Id="rId18" Type="http://schemas.openxmlformats.org/officeDocument/2006/relationships/hyperlink" Target="https://dq.cde.ca.gov/dataques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de.ca.gov/ta/ac/cm/documents/ccicollege.pdf" TargetMode="External"/><Relationship Id="rId7" Type="http://schemas.openxmlformats.org/officeDocument/2006/relationships/hyperlink" Target="https://www.caaspp.org/" TargetMode="External"/><Relationship Id="rId12" Type="http://schemas.openxmlformats.org/officeDocument/2006/relationships/hyperlink" Target="https://www.cde.ca.gov/ds/ad/filesfepsch.asp" TargetMode="External"/><Relationship Id="rId17" Type="http://schemas.openxmlformats.org/officeDocument/2006/relationships/hyperlink" Target="https://www6.cde.ca.gov/californiamodel/" TargetMode="External"/><Relationship Id="rId25" Type="http://schemas.openxmlformats.org/officeDocument/2006/relationships/hyperlink" Target="https://dq.cde.ca.gov/dataquest/" TargetMode="External"/><Relationship Id="rId2" Type="http://schemas.openxmlformats.org/officeDocument/2006/relationships/styles" Target="styles.xml"/><Relationship Id="rId16" Type="http://schemas.openxmlformats.org/officeDocument/2006/relationships/hyperlink" Target="https://dq.cde.ca.gov/dataquest/" TargetMode="External"/><Relationship Id="rId20" Type="http://schemas.openxmlformats.org/officeDocument/2006/relationships/hyperlink" Target="https://dq.cde.ca.gov/dataqu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ds/ad/fileselsch.asp" TargetMode="External"/><Relationship Id="rId24" Type="http://schemas.openxmlformats.org/officeDocument/2006/relationships/hyperlink" Target="https://www.cde.ca.gov/ta/ac/cm/localindicators.asp" TargetMode="External"/><Relationship Id="rId5" Type="http://schemas.openxmlformats.org/officeDocument/2006/relationships/footnotes" Target="footnotes.xml"/><Relationship Id="rId15" Type="http://schemas.openxmlformats.org/officeDocument/2006/relationships/hyperlink" Target="https://www.cde.ca.gov/ds/ad/filesltel.asp" TargetMode="External"/><Relationship Id="rId23" Type="http://schemas.openxmlformats.org/officeDocument/2006/relationships/hyperlink" Target="https://dq.cde.ca.gov/dataquest/" TargetMode="External"/><Relationship Id="rId28" Type="http://schemas.openxmlformats.org/officeDocument/2006/relationships/theme" Target="theme/theme1.xml"/><Relationship Id="rId10" Type="http://schemas.openxmlformats.org/officeDocument/2006/relationships/hyperlink" Target="https://caaspp-elpac.cde.ca.gov/caaspp/" TargetMode="External"/><Relationship Id="rId19" Type="http://schemas.openxmlformats.org/officeDocument/2006/relationships/hyperlink" Target="https://www6.cde.ca.gov/californiamodel/" TargetMode="External"/><Relationship Id="rId4" Type="http://schemas.openxmlformats.org/officeDocument/2006/relationships/webSettings" Target="webSettings.xml"/><Relationship Id="rId9" Type="http://schemas.openxmlformats.org/officeDocument/2006/relationships/hyperlink" Target="https://www.elpac.org/" TargetMode="External"/><Relationship Id="rId14" Type="http://schemas.openxmlformats.org/officeDocument/2006/relationships/hyperlink" Target="https://www.cde.ca.gov/ds/ad/filesreclass.asp" TargetMode="External"/><Relationship Id="rId22" Type="http://schemas.openxmlformats.org/officeDocument/2006/relationships/hyperlink" Target="https://www.cde.ca.gov/ta/ac/cm/documents/ccicareer.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ashboard">
      <a:dk1>
        <a:srgbClr val="354052"/>
      </a:dk1>
      <a:lt1>
        <a:sysClr val="window" lastClr="FFFFFF"/>
      </a:lt1>
      <a:dk2>
        <a:srgbClr val="2B50AC"/>
      </a:dk2>
      <a:lt2>
        <a:srgbClr val="EEECE1"/>
      </a:lt2>
      <a:accent1>
        <a:srgbClr val="426BD0"/>
      </a:accent1>
      <a:accent2>
        <a:srgbClr val="009543"/>
      </a:accent2>
      <a:accent3>
        <a:srgbClr val="FFB907"/>
      </a:accent3>
      <a:accent4>
        <a:srgbClr val="FF7418"/>
      </a:accent4>
      <a:accent5>
        <a:srgbClr val="E00D1F"/>
      </a:accent5>
      <a:accent6>
        <a:srgbClr val="354052"/>
      </a:accent6>
      <a:hlink>
        <a:srgbClr val="0000FF"/>
      </a:hlink>
      <a:folHlink>
        <a:srgbClr val="800080"/>
      </a:folHlink>
    </a:clrScheme>
    <a:fontScheme name="PFT">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2712</Words>
  <Characters>15815</Characters>
  <Application>Microsoft Office Word</Application>
  <DocSecurity>0</DocSecurity>
  <Lines>427</Lines>
  <Paragraphs>260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CA Dashboard Reference Guide - California School Dashboard and System of Support (CA Dept of Education)</dc:title>
  <dc:subject>This reference guide labels and provides descriptions of all portions of the new California School Dashboard.</dc:subject>
  <dc:creator/>
  <cp:lastModifiedBy/>
  <cp:revision>1</cp:revision>
  <dcterms:created xsi:type="dcterms:W3CDTF">2025-03-07T18:47:00Z</dcterms:created>
  <dcterms:modified xsi:type="dcterms:W3CDTF">2025-03-07T18:48:00Z</dcterms:modified>
  <dc:language/>
</cp:coreProperties>
</file>